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197485</wp:posOffset>
            </wp:positionV>
            <wp:extent cx="646366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240030</wp:posOffset>
            </wp:positionV>
            <wp:extent cx="64636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63665" cy="8890"/>
                    </a:xfrm>
                    <a:prstGeom prst="rect">
                      <a:avLst/>
                    </a:prstGeom>
                    <a:noFill/>
                  </pic:spPr>
                </pic:pic>
              </a:graphicData>
            </a:graphic>
          </wp:anchor>
        </w:drawing>
      </w:r>
    </w:p>
    <w:p>
      <w:pPr>
        <w:spacing w:after="0" w:line="200" w:lineRule="exact"/>
        <w:rPr>
          <w:sz w:val="24"/>
          <w:szCs w:val="24"/>
          <w:color w:val="auto"/>
        </w:rPr>
      </w:pPr>
    </w:p>
    <w:p>
      <w:pPr>
        <w:spacing w:after="0" w:line="329" w:lineRule="exact"/>
        <w:rPr>
          <w:sz w:val="24"/>
          <w:szCs w:val="24"/>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44" w:lineRule="exact"/>
        <w:rPr>
          <w:sz w:val="24"/>
          <w:szCs w:val="24"/>
          <w:color w:val="auto"/>
        </w:rPr>
      </w:pPr>
    </w:p>
    <w:p>
      <w:pPr>
        <w:ind w:left="27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124460</wp:posOffset>
            </wp:positionV>
            <wp:extent cx="16116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107315</wp:posOffset>
            </wp:positionV>
            <wp:extent cx="16116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ind w:left="500" w:hanging="499"/>
        <w:spacing w:after="0"/>
        <w:tabs>
          <w:tab w:leader="none" w:pos="500"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QUARTERLY REPORT PURSUANT TO SECTION 13 OR 15(d) OF THE SECURITIES EXCHANGE ACT OF 1934</w:t>
      </w:r>
    </w:p>
    <w:p>
      <w:pPr>
        <w:spacing w:after="0" w:line="155" w:lineRule="exact"/>
        <w:rPr>
          <w:rFonts w:ascii="MS PGothic" w:cs="MS PGothic" w:eastAsia="MS PGothic" w:hAnsi="MS PGothic"/>
          <w:sz w:val="17"/>
          <w:szCs w:val="17"/>
          <w:color w:val="auto"/>
          <w:highlight w:val="black"/>
        </w:rPr>
      </w:pPr>
    </w:p>
    <w:p>
      <w:pPr>
        <w:ind w:left="312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8"/>
          <w:szCs w:val="18"/>
          <w:b w:val="1"/>
          <w:bCs w:val="1"/>
          <w:color w:val="auto"/>
        </w:rPr>
        <w:t>For the quarterly period ended September 28, 2024</w:t>
      </w:r>
    </w:p>
    <w:p>
      <w:pPr>
        <w:spacing w:after="0" w:line="144" w:lineRule="exact"/>
        <w:rPr>
          <w:sz w:val="24"/>
          <w:szCs w:val="24"/>
          <w:color w:val="auto"/>
        </w:rPr>
      </w:pPr>
    </w:p>
    <w:p>
      <w:pPr>
        <w:ind w:left="500" w:hanging="499"/>
        <w:spacing w:after="0"/>
        <w:tabs>
          <w:tab w:leader="none" w:pos="50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56" w:lineRule="exact"/>
        <w:rPr>
          <w:sz w:val="24"/>
          <w:szCs w:val="24"/>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For the transition period from _____ to _____</w:t>
      </w:r>
    </w:p>
    <w:p>
      <w:pPr>
        <w:spacing w:after="0" w:line="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#1-4224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2422525</wp:posOffset>
            </wp:positionH>
            <wp:positionV relativeFrom="paragraph">
              <wp:posOffset>97155</wp:posOffset>
            </wp:positionV>
            <wp:extent cx="161163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11630" cy="8255"/>
                    </a:xfrm>
                    <a:prstGeom prst="rect">
                      <a:avLst/>
                    </a:prstGeom>
                    <a:noFill/>
                  </pic:spPr>
                </pic:pic>
              </a:graphicData>
            </a:graphic>
          </wp:anchor>
        </w:drawing>
      </w:r>
    </w:p>
    <w:p>
      <w:pPr>
        <w:spacing w:after="0" w:line="2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AVNET</w:t>
      </w:r>
      <w:r>
        <w:rPr>
          <w:rFonts w:ascii="Times New Roman" w:cs="Times New Roman" w:eastAsia="Times New Roman" w:hAnsi="Times New Roman"/>
          <w:sz w:val="35"/>
          <w:szCs w:val="35"/>
          <w:b w:val="1"/>
          <w:bCs w:val="1"/>
          <w:color w:val="auto"/>
        </w:rPr>
        <w:t>,</w:t>
      </w:r>
      <w:r>
        <w:rPr>
          <w:rFonts w:ascii="Times New Roman" w:cs="Times New Roman" w:eastAsia="Times New Roman" w:hAnsi="Times New Roman"/>
          <w:sz w:val="29"/>
          <w:szCs w:val="29"/>
          <w:b w:val="1"/>
          <w:bCs w:val="1"/>
          <w:color w:val="auto"/>
        </w:rPr>
        <w:t xml:space="preserve"> INC.</w:t>
      </w: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0160"/>
          </w:cols>
          <w:pgMar w:left="860" w:top="661" w:right="879" w:bottom="1440" w:gutter="0" w:footer="0" w:header="0"/>
        </w:sectPr>
      </w:pPr>
    </w:p>
    <w:p>
      <w:pPr>
        <w:spacing w:after="0" w:line="86" w:lineRule="exact"/>
        <w:rPr>
          <w:sz w:val="24"/>
          <w:szCs w:val="24"/>
          <w:color w:val="auto"/>
        </w:rPr>
      </w:pPr>
    </w:p>
    <w:p>
      <w:pPr>
        <w:jc w:val="center"/>
        <w:ind w:right="4000"/>
        <w:spacing w:after="0"/>
        <w:rPr>
          <w:sz w:val="20"/>
          <w:szCs w:val="20"/>
          <w:color w:val="auto"/>
        </w:rPr>
      </w:pPr>
      <w:r>
        <w:rPr>
          <w:rFonts w:ascii="Times New Roman" w:cs="Times New Roman" w:eastAsia="Times New Roman" w:hAnsi="Times New Roman"/>
          <w:sz w:val="18"/>
          <w:szCs w:val="18"/>
          <w:b w:val="1"/>
          <w:bCs w:val="1"/>
          <w:color w:val="auto"/>
        </w:rPr>
        <w:t>New York</w:t>
      </w:r>
    </w:p>
    <w:p>
      <w:pPr>
        <w:jc w:val="center"/>
        <w:ind w:right="4000"/>
        <w:spacing w:after="0" w:line="203" w:lineRule="auto"/>
        <w:rPr>
          <w:sz w:val="20"/>
          <w:szCs w:val="20"/>
          <w:color w:val="auto"/>
        </w:rPr>
      </w:pPr>
      <w:r>
        <w:rPr>
          <w:rFonts w:ascii="Times New Roman" w:cs="Times New Roman" w:eastAsia="Times New Roman" w:hAnsi="Times New Roman"/>
          <w:sz w:val="18"/>
          <w:szCs w:val="18"/>
          <w:color w:val="auto"/>
        </w:rPr>
        <w:t>(State or other jurisdiction</w:t>
      </w:r>
    </w:p>
    <w:p>
      <w:pPr>
        <w:jc w:val="center"/>
        <w:ind w:right="4000"/>
        <w:spacing w:after="0"/>
        <w:rPr>
          <w:sz w:val="20"/>
          <w:szCs w:val="20"/>
          <w:color w:val="auto"/>
        </w:rPr>
      </w:pPr>
      <w:r>
        <w:rPr>
          <w:rFonts w:ascii="Times New Roman" w:cs="Times New Roman" w:eastAsia="Times New Roman" w:hAnsi="Times New Roman"/>
          <w:sz w:val="17"/>
          <w:szCs w:val="17"/>
          <w:color w:val="auto"/>
        </w:rPr>
        <w:t>of incorporation or organization)</w:t>
      </w:r>
    </w:p>
    <w:p>
      <w:pPr>
        <w:spacing w:after="0" w:line="20" w:lineRule="exact"/>
        <w:rPr>
          <w:sz w:val="24"/>
          <w:szCs w:val="24"/>
          <w:color w:val="auto"/>
        </w:rPr>
      </w:pPr>
      <w:r>
        <w:rPr>
          <w:sz w:val="24"/>
          <w:szCs w:val="24"/>
          <w:color w:val="auto"/>
        </w:rPr>
        <w:br w:type="column"/>
      </w:r>
    </w:p>
    <w:p>
      <w:pPr>
        <w:spacing w:after="0" w:line="66"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b w:val="1"/>
          <w:bCs w:val="1"/>
          <w:color w:val="auto"/>
        </w:rPr>
        <w:t>11-1890605</w:t>
      </w:r>
    </w:p>
    <w:p>
      <w:pPr>
        <w:jc w:val="center"/>
        <w:ind w:right="860"/>
        <w:spacing w:after="0" w:line="203" w:lineRule="auto"/>
        <w:rPr>
          <w:sz w:val="20"/>
          <w:szCs w:val="20"/>
          <w:color w:val="auto"/>
        </w:rPr>
      </w:pPr>
      <w:r>
        <w:rPr>
          <w:rFonts w:ascii="Times New Roman" w:cs="Times New Roman" w:eastAsia="Times New Roman" w:hAnsi="Times New Roman"/>
          <w:sz w:val="18"/>
          <w:szCs w:val="18"/>
          <w:color w:val="auto"/>
        </w:rPr>
        <w:t>(IRS Employer</w:t>
      </w:r>
    </w:p>
    <w:p>
      <w:pPr>
        <w:jc w:val="center"/>
        <w:ind w:right="860"/>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11" w:lineRule="exact"/>
        <w:rPr>
          <w:sz w:val="24"/>
          <w:szCs w:val="24"/>
          <w:color w:val="auto"/>
        </w:rPr>
      </w:pPr>
    </w:p>
    <w:p>
      <w:pPr>
        <w:sectPr>
          <w:pgSz w:w="11900" w:h="16838" w:orient="portrait"/>
          <w:cols w:equalWidth="0" w:num="2">
            <w:col w:w="7240" w:space="720"/>
            <w:col w:w="2200"/>
          </w:cols>
          <w:pgMar w:left="860" w:top="661" w:right="879" w:bottom="1440" w:gutter="0" w:footer="0" w:header="0"/>
          <w:type w:val="continuous"/>
        </w:sectPr>
      </w:pPr>
    </w:p>
    <w:p>
      <w:pPr>
        <w:spacing w:after="0" w:line="7"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7"/>
          <w:szCs w:val="17"/>
          <w:b w:val="1"/>
          <w:bCs w:val="1"/>
          <w:color w:val="auto"/>
        </w:rPr>
        <w:t>2211 South 47th Street, Phoenix, Arizona</w:t>
      </w:r>
    </w:p>
    <w:p>
      <w:pPr>
        <w:spacing w:after="0" w:line="4" w:lineRule="exact"/>
        <w:rPr>
          <w:sz w:val="24"/>
          <w:szCs w:val="24"/>
          <w:color w:val="auto"/>
        </w:rPr>
      </w:pPr>
    </w:p>
    <w:p>
      <w:pPr>
        <w:jc w:val="center"/>
        <w:ind w:right="164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85034</w:t>
      </w:r>
    </w:p>
    <w:p>
      <w:pPr>
        <w:jc w:val="center"/>
        <w:ind w:right="2060"/>
        <w:spacing w:after="0"/>
        <w:rPr>
          <w:sz w:val="20"/>
          <w:szCs w:val="20"/>
          <w:color w:val="auto"/>
        </w:rPr>
      </w:pPr>
      <w:r>
        <w:rPr>
          <w:rFonts w:ascii="Times New Roman" w:cs="Times New Roman" w:eastAsia="Times New Roman" w:hAnsi="Times New Roman"/>
          <w:sz w:val="17"/>
          <w:szCs w:val="17"/>
          <w:color w:val="auto"/>
        </w:rPr>
        <w:t>(Zip Code)</w:t>
      </w:r>
    </w:p>
    <w:p>
      <w:pPr>
        <w:spacing w:after="0" w:line="77" w:lineRule="exact"/>
        <w:rPr>
          <w:sz w:val="24"/>
          <w:szCs w:val="24"/>
          <w:color w:val="auto"/>
        </w:rPr>
      </w:pPr>
    </w:p>
    <w:p>
      <w:pPr>
        <w:sectPr>
          <w:pgSz w:w="11900" w:h="16838" w:orient="portrait"/>
          <w:cols w:equalWidth="0" w:num="2">
            <w:col w:w="6600" w:space="720"/>
            <w:col w:w="2840"/>
          </w:cols>
          <w:pgMar w:left="860" w:top="661" w:right="879"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(480) 643-2000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p>
      <w:pPr>
        <w:sectPr>
          <w:pgSz w:w="11900" w:h="16838" w:orient="portrait"/>
          <w:cols w:equalWidth="0" w:num="1">
            <w:col w:w="10160"/>
          </w:cols>
          <w:pgMar w:left="860" w:top="661" w:right="879" w:bottom="1440" w:gutter="0" w:footer="0" w:header="0"/>
          <w:type w:val="continuous"/>
        </w:sectPr>
      </w:pPr>
    </w:p>
    <w:p>
      <w:pPr>
        <w:spacing w:after="0" w:line="1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8" w:lineRule="exact"/>
        <w:rPr>
          <w:sz w:val="24"/>
          <w:szCs w:val="24"/>
          <w:color w:val="auto"/>
        </w:rPr>
      </w:pPr>
    </w:p>
    <w:tbl>
      <w:tblPr>
        <w:tblLayout w:type="fixed"/>
        <w:tblInd w:w="0" w:type="dxa"/>
        <w:tblCellMar>
          <w:top w:w="0" w:type="dxa"/>
          <w:left w:w="0" w:type="dxa"/>
          <w:bottom w:w="0" w:type="dxa"/>
          <w:right w:w="0" w:type="dxa"/>
        </w:tblCellMar>
      </w:tblPr>
      <w:tr>
        <w:trPr>
          <w:trHeight w:val="211"/>
        </w:trPr>
        <w:tc>
          <w:tcPr>
            <w:tcW w:w="374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80" w:type="dxa"/>
            <w:vAlign w:val="bottom"/>
          </w:tcPr>
          <w:p>
            <w:pPr>
              <w:spacing w:after="0"/>
              <w:rPr>
                <w:sz w:val="18"/>
                <w:szCs w:val="18"/>
                <w:color w:val="auto"/>
              </w:rPr>
            </w:pPr>
          </w:p>
        </w:tc>
        <w:tc>
          <w:tcPr>
            <w:tcW w:w="21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18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AVT</w:t>
            </w:r>
          </w:p>
        </w:tc>
        <w:tc>
          <w:tcPr>
            <w:tcW w:w="26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3800" w:type="dxa"/>
            <w:vAlign w:val="bottom"/>
            <w:tcBorders>
              <w:top w:val="single" w:sz="8" w:color="auto"/>
            </w:tcBorders>
          </w:tcPr>
          <w:p>
            <w:pPr>
              <w:jc w:val="center"/>
              <w:ind w:right="270"/>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r>
        <w:trPr>
          <w:trHeight w:val="103"/>
        </w:trPr>
        <w:tc>
          <w:tcPr>
            <w:tcW w:w="3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1900" w:type="dxa"/>
            <w:vAlign w:val="bottom"/>
            <w:tcBorders>
              <w:bottom w:val="single" w:sz="8" w:color="0D0D0D"/>
            </w:tcBorders>
          </w:tcPr>
          <w:p>
            <w:pPr>
              <w:spacing w:after="0"/>
              <w:rPr>
                <w:sz w:val="8"/>
                <w:szCs w:val="8"/>
                <w:color w:val="auto"/>
              </w:rPr>
            </w:pPr>
          </w:p>
        </w:tc>
        <w:tc>
          <w:tcPr>
            <w:tcW w:w="260" w:type="dxa"/>
            <w:vAlign w:val="bottom"/>
            <w:tcBorders>
              <w:bottom w:val="single" w:sz="8" w:color="0D0D0D"/>
            </w:tcBorders>
          </w:tcPr>
          <w:p>
            <w:pPr>
              <w:spacing w:after="0"/>
              <w:rPr>
                <w:sz w:val="8"/>
                <w:szCs w:val="8"/>
                <w:color w:val="auto"/>
              </w:rPr>
            </w:pPr>
          </w:p>
        </w:tc>
        <w:tc>
          <w:tcPr>
            <w:tcW w:w="380" w:type="dxa"/>
            <w:vAlign w:val="bottom"/>
            <w:tcBorders>
              <w:bottom w:val="single" w:sz="8" w:color="0D0D0D"/>
            </w:tcBorders>
          </w:tcPr>
          <w:p>
            <w:pPr>
              <w:spacing w:after="0"/>
              <w:rPr>
                <w:sz w:val="8"/>
                <w:szCs w:val="8"/>
                <w:color w:val="auto"/>
              </w:rPr>
            </w:pPr>
          </w:p>
        </w:tc>
        <w:tc>
          <w:tcPr>
            <w:tcW w:w="3800" w:type="dxa"/>
            <w:vAlign w:val="bottom"/>
          </w:tcPr>
          <w:p>
            <w:pPr>
              <w:spacing w:after="0"/>
              <w:rPr>
                <w:sz w:val="8"/>
                <w:szCs w:val="8"/>
                <w:color w:val="auto"/>
              </w:rPr>
            </w:pPr>
          </w:p>
        </w:tc>
      </w:tr>
    </w:tbl>
    <w:p>
      <w:pPr>
        <w:spacing w:after="0" w:line="157" w:lineRule="exact"/>
        <w:rPr>
          <w:sz w:val="24"/>
          <w:szCs w:val="24"/>
          <w:color w:val="auto"/>
        </w:rPr>
      </w:pPr>
    </w:p>
    <w:p>
      <w:pPr>
        <w:ind w:right="200" w:firstLine="427"/>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w:t>
      </w:r>
    </w:p>
    <w:p>
      <w:pPr>
        <w:spacing w:after="0" w:line="207" w:lineRule="exact"/>
        <w:rPr>
          <w:sz w:val="20"/>
          <w:szCs w:val="20"/>
          <w:color w:val="auto"/>
        </w:rPr>
      </w:pPr>
      <w:r>
        <w:rPr>
          <w:rFonts w:ascii="Times New Roman" w:cs="Times New Roman" w:eastAsia="Times New Roman" w:hAnsi="Times New Roman"/>
          <w:sz w:val="18"/>
          <w:szCs w:val="18"/>
          <w:color w:val="auto"/>
        </w:rPr>
        <w:t xml:space="preserve">(2)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right="560" w:firstLine="432"/>
        <w:spacing w:after="0" w:line="257"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9" w:lineRule="exact"/>
        <w:rPr>
          <w:sz w:val="24"/>
          <w:szCs w:val="24"/>
          <w:color w:val="auto"/>
        </w:rPr>
      </w:pPr>
    </w:p>
    <w:p>
      <w:pPr>
        <w:ind w:right="200" w:firstLine="427"/>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60" w:top="661" w:right="879" w:bottom="1440" w:gutter="0" w:footer="0" w:header="0"/>
          <w:type w:val="continuous"/>
        </w:sectPr>
      </w:pPr>
    </w:p>
    <w:p>
      <w:pPr>
        <w:spacing w:after="0" w:line="41"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25" w:lineRule="exact"/>
        <w:rPr>
          <w:sz w:val="24"/>
          <w:szCs w:val="24"/>
          <w:color w:val="auto"/>
        </w:rPr>
      </w:pPr>
    </w:p>
    <w:p>
      <w:pPr>
        <w:ind w:left="1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ind w:left="1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5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2" w:lineRule="exact"/>
        <w:rPr>
          <w:sz w:val="24"/>
          <w:szCs w:val="24"/>
          <w:color w:val="auto"/>
        </w:rPr>
      </w:pPr>
    </w:p>
    <w:p>
      <w:pPr>
        <w:sectPr>
          <w:pgSz w:w="11900" w:h="16838" w:orient="portrait"/>
          <w:cols w:equalWidth="0" w:num="2">
            <w:col w:w="6020" w:space="720"/>
            <w:col w:w="3420"/>
          </w:cols>
          <w:pgMar w:left="860" w:top="661" w:right="879" w:bottom="1440" w:gutter="0" w:footer="0" w:header="0"/>
          <w:type w:val="continuous"/>
        </w:sectPr>
      </w:pPr>
    </w:p>
    <w:p>
      <w:pPr>
        <w:ind w:right="500" w:firstLine="427"/>
        <w:spacing w:after="0" w:line="23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 w:lineRule="exact"/>
        <w:rPr>
          <w:sz w:val="24"/>
          <w:szCs w:val="24"/>
          <w:color w:val="auto"/>
        </w:rPr>
      </w:pPr>
    </w:p>
    <w:p>
      <w:pPr>
        <w:ind w:left="42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58" w:lineRule="exact"/>
        <w:rPr>
          <w:sz w:val="24"/>
          <w:szCs w:val="24"/>
          <w:color w:val="auto"/>
        </w:rPr>
      </w:pPr>
    </w:p>
    <w:p>
      <w:pPr>
        <w:ind w:right="540" w:firstLine="427"/>
        <w:spacing w:after="0" w:line="282" w:lineRule="auto"/>
        <w:rPr>
          <w:sz w:val="20"/>
          <w:szCs w:val="20"/>
          <w:color w:val="auto"/>
        </w:rPr>
      </w:pPr>
      <w:r>
        <w:rPr>
          <w:rFonts w:ascii="Times New Roman" w:cs="Times New Roman" w:eastAsia="Times New Roman" w:hAnsi="Times New Roman"/>
          <w:sz w:val="18"/>
          <w:szCs w:val="18"/>
          <w:color w:val="auto"/>
        </w:rPr>
        <w:t>As of October 25, 2024, the total number of shares outstanding of the registrant’s Common Stock was 86,940,948 shares, net of treasury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611505</wp:posOffset>
            </wp:positionV>
            <wp:extent cx="6463665"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63665"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88265</wp:posOffset>
            </wp:positionV>
            <wp:extent cx="646366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63665"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71120</wp:posOffset>
            </wp:positionV>
            <wp:extent cx="6463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63665" cy="8255"/>
                    </a:xfrm>
                    <a:prstGeom prst="rect">
                      <a:avLst/>
                    </a:prstGeom>
                    <a:noFill/>
                  </pic:spPr>
                </pic:pic>
              </a:graphicData>
            </a:graphic>
          </wp:anchor>
        </w:drawing>
      </w:r>
    </w:p>
    <w:p>
      <w:pPr>
        <w:sectPr>
          <w:pgSz w:w="11900" w:h="16838" w:orient="portrait"/>
          <w:cols w:equalWidth="0" w:num="1">
            <w:col w:w="10160"/>
          </w:cols>
          <w:pgMar w:left="860" w:top="661" w:right="879" w:bottom="144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07"/>
        </w:trPr>
        <w:tc>
          <w:tcPr>
            <w:tcW w:w="8000" w:type="dxa"/>
            <w:vAlign w:val="bottom"/>
            <w:gridSpan w:val="28"/>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8"/>
        </w:trPr>
        <w:tc>
          <w:tcPr>
            <w:tcW w:w="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960" w:type="dxa"/>
            <w:vAlign w:val="bottom"/>
            <w:gridSpan w:val="12"/>
          </w:tcPr>
          <w:p>
            <w:pPr>
              <w:jc w:val="center"/>
              <w:ind w:right="2120"/>
              <w:spacing w:after="0"/>
              <w:rPr>
                <w:sz w:val="20"/>
                <w:szCs w:val="20"/>
                <w:color w:val="auto"/>
              </w:rPr>
            </w:pPr>
            <w:r>
              <w:rPr>
                <w:rFonts w:ascii="Times New Roman" w:cs="Times New Roman" w:eastAsia="Times New Roman" w:hAnsi="Times New Roman"/>
                <w:sz w:val="18"/>
                <w:szCs w:val="18"/>
                <w:color w:val="auto"/>
                <w:w w:val="98"/>
              </w:rPr>
              <w:t>AVNET, INC. AND SUBSIDIARIES</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460" w:type="dxa"/>
            <w:vAlign w:val="bottom"/>
            <w:gridSpan w:val="11"/>
          </w:tcPr>
          <w:p>
            <w:pPr>
              <w:jc w:val="center"/>
              <w:ind w:right="2620"/>
              <w:spacing w:after="0"/>
              <w:rPr>
                <w:sz w:val="20"/>
                <w:szCs w:val="20"/>
                <w:color w:val="auto"/>
              </w:rPr>
            </w:pPr>
            <w:r>
              <w:rPr>
                <w:rFonts w:ascii="Times New Roman" w:cs="Times New Roman" w:eastAsia="Times New Roman" w:hAnsi="Times New Roman"/>
                <w:sz w:val="18"/>
                <w:szCs w:val="18"/>
                <w:color w:val="auto"/>
                <w:w w:val="99"/>
              </w:rPr>
              <w:t>INDEX</w:t>
            </w: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vMerge w:val="restart"/>
          </w:tcPr>
          <w:p>
            <w:pPr>
              <w:spacing w:after="0"/>
              <w:rPr>
                <w:sz w:val="24"/>
                <w:szCs w:val="24"/>
                <w:color w:val="auto"/>
              </w:rPr>
            </w:pPr>
          </w:p>
        </w:tc>
        <w:tc>
          <w:tcPr>
            <w:tcW w:w="5440" w:type="dxa"/>
            <w:vAlign w:val="bottom"/>
            <w:gridSpan w:val="14"/>
            <w:vMerge w:val="restart"/>
          </w:tcPr>
          <w:p>
            <w:pPr>
              <w:jc w:val="center"/>
              <w:ind w:right="2560"/>
              <w:spacing w:after="0"/>
              <w:rPr>
                <w:sz w:val="20"/>
                <w:szCs w:val="20"/>
                <w:color w:val="auto"/>
              </w:rPr>
            </w:pPr>
            <w:r>
              <w:rPr>
                <w:rFonts w:ascii="Times New Roman" w:cs="Times New Roman" w:eastAsia="Times New Roman" w:hAnsi="Times New Roman"/>
                <w:sz w:val="18"/>
                <w:szCs w:val="18"/>
                <w:color w:val="0000EE"/>
                <w:w w:val="98"/>
              </w:rPr>
              <w:t>PART I. FINANCIAL INFORMATION</w:t>
            </w:r>
          </w:p>
        </w:tc>
        <w:tc>
          <w:tcPr>
            <w:tcW w:w="9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Page No.</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5440" w:type="dxa"/>
            <w:vAlign w:val="bottom"/>
            <w:gridSpan w:val="14"/>
            <w:vMerge w:val="continue"/>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1. Financial Statements (Unaudited)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Balance Sheets at September 28, 2024, and June 29, 2024</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8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Consolidated Statements of Operations for the first quarters ended September 28, 2024, and September</w:t>
            </w:r>
          </w:p>
        </w:tc>
        <w:tc>
          <w:tcPr>
            <w:tcW w:w="180" w:type="dxa"/>
            <w:vAlign w:val="bottom"/>
            <w:gridSpan w:val="3"/>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gridSpan w:val="4"/>
          </w:tcPr>
          <w:p>
            <w:pPr>
              <w:spacing w:after="0"/>
              <w:rPr>
                <w:sz w:val="17"/>
                <w:szCs w:val="17"/>
                <w:color w:val="auto"/>
              </w:rPr>
            </w:pPr>
          </w:p>
        </w:tc>
        <w:tc>
          <w:tcPr>
            <w:tcW w:w="64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30, 2023</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Comprehensive Income for the first quarters ended September 28, 2024, and</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September 30, 2023</w:t>
            </w:r>
          </w:p>
        </w:tc>
        <w:tc>
          <w:tcPr>
            <w:tcW w:w="5940" w:type="dxa"/>
            <w:vAlign w:val="bottom"/>
            <w:tcBorders>
              <w:top w:val="single" w:sz="8" w:color="0000EE"/>
            </w:tcBorders>
            <w:gridSpan w:val="16"/>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340" w:type="dxa"/>
            <w:vAlign w:val="bottom"/>
            <w:tcBorders>
              <w:bottom w:val="single" w:sz="8" w:color="0000EE"/>
            </w:tcBorders>
            <w:gridSpan w:val="21"/>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for the first quarters ended September 28, 2024, and</w:t>
            </w:r>
          </w:p>
        </w:tc>
        <w:tc>
          <w:tcPr>
            <w:tcW w:w="220" w:type="dxa"/>
            <w:vAlign w:val="bottom"/>
            <w:gridSpan w:val="4"/>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4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EE"/>
              </w:rPr>
              <w:t>September 30, 2023</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Consolidated Statements of Cash Flows for the first quarters ended September 28, 2024, and September</w:t>
            </w: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40" w:type="dxa"/>
            <w:vAlign w:val="bottom"/>
            <w:gridSpan w:val="3"/>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64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30, 2023</w:t>
            </w: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3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500" w:type="dxa"/>
            <w:vAlign w:val="bottom"/>
            <w:tcBorders>
              <w:top w:val="single" w:sz="8" w:color="0000EE"/>
            </w:tcBorders>
          </w:tcPr>
          <w:p>
            <w:pPr>
              <w:spacing w:after="0"/>
              <w:rPr>
                <w:sz w:val="17"/>
                <w:szCs w:val="17"/>
                <w:color w:val="auto"/>
              </w:rPr>
            </w:pPr>
          </w:p>
        </w:tc>
        <w:tc>
          <w:tcPr>
            <w:tcW w:w="14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40" w:type="dxa"/>
            <w:vAlign w:val="bottom"/>
            <w:tcBorders>
              <w:top w:val="single" w:sz="8" w:color="0000EE"/>
            </w:tcBorders>
          </w:tcPr>
          <w:p>
            <w:pPr>
              <w:spacing w:after="0"/>
              <w:rPr>
                <w:sz w:val="17"/>
                <w:szCs w:val="17"/>
                <w:color w:val="auto"/>
              </w:rPr>
            </w:pPr>
          </w:p>
        </w:tc>
        <w:tc>
          <w:tcPr>
            <w:tcW w:w="7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56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Notes to Consolidated Financial Statements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right w:val="single" w:sz="8" w:color="0000EE"/>
            </w:tcBorders>
          </w:tcPr>
          <w:p>
            <w:pPr>
              <w:spacing w:after="0" w:line="20" w:lineRule="exact"/>
              <w:rPr>
                <w:sz w:val="1"/>
                <w:szCs w:val="1"/>
                <w:color w:val="auto"/>
              </w:rPr>
            </w:pPr>
          </w:p>
        </w:tc>
        <w:tc>
          <w:tcPr>
            <w:tcW w:w="72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20" w:type="dxa"/>
            <w:vAlign w:val="bottom"/>
            <w:gridSpan w:val="2"/>
            <w:shd w:val="clear" w:color="auto" w:fill="0000EE"/>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40" w:type="dxa"/>
            <w:vAlign w:val="bottom"/>
            <w:tcBorders>
              <w:top w:val="single" w:sz="8" w:color="0000EE"/>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2080" w:type="dxa"/>
            <w:vAlign w:val="bottom"/>
            <w:tcBorders>
              <w:top w:val="single" w:sz="8" w:color="0000EE"/>
            </w:tcBorders>
            <w:gridSpan w:val="4"/>
          </w:tcPr>
          <w:p>
            <w:pPr>
              <w:spacing w:after="0"/>
              <w:rPr>
                <w:sz w:val="24"/>
                <w:szCs w:val="24"/>
                <w:color w:val="auto"/>
              </w:rPr>
            </w:pPr>
          </w:p>
        </w:tc>
        <w:tc>
          <w:tcPr>
            <w:tcW w:w="920" w:type="dxa"/>
            <w:vAlign w:val="bottom"/>
            <w:gridSpan w:val="5"/>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color w:val="0000EE"/>
                <w:w w:val="98"/>
              </w:rPr>
              <w:t>PART II. OTHER INFORMATION</w:t>
            </w:r>
          </w:p>
        </w:tc>
        <w:tc>
          <w:tcPr>
            <w:tcW w:w="2700" w:type="dxa"/>
            <w:vAlign w:val="bottom"/>
            <w:gridSpan w:val="8"/>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0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Item 1. Legal Proceedings</w:t>
            </w:r>
          </w:p>
        </w:tc>
        <w:tc>
          <w:tcPr>
            <w:tcW w:w="6040" w:type="dxa"/>
            <w:vAlign w:val="bottom"/>
            <w:gridSpan w:val="18"/>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9"/>
              </w:rPr>
              <w:t>Item 1A. Risk Factors</w:t>
            </w:r>
          </w:p>
        </w:tc>
        <w:tc>
          <w:tcPr>
            <w:tcW w:w="6340" w:type="dxa"/>
            <w:vAlign w:val="bottom"/>
            <w:gridSpan w:val="19"/>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20" w:type="dxa"/>
            <w:vAlign w:val="bottom"/>
            <w:tcBorders>
              <w:bottom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w w:val="99"/>
              </w:rPr>
              <w:t>Item 2. Unregistered Sales of Equity Securities and Use of Proceeds</w:t>
            </w:r>
          </w:p>
        </w:tc>
        <w:tc>
          <w:tcPr>
            <w:tcW w:w="3020" w:type="dxa"/>
            <w:vAlign w:val="bottom"/>
            <w:gridSpan w:val="1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940" w:type="dxa"/>
            <w:vAlign w:val="bottom"/>
            <w:gridSpan w:val="26"/>
          </w:tcPr>
          <w:p>
            <w:pPr>
              <w:spacing w:after="0"/>
              <w:rPr>
                <w:sz w:val="20"/>
                <w:szCs w:val="20"/>
                <w:color w:val="auto"/>
              </w:rPr>
            </w:pPr>
            <w:r>
              <w:rPr>
                <w:rFonts w:ascii="Times New Roman" w:cs="Times New Roman" w:eastAsia="Times New Roman" w:hAnsi="Times New Roman"/>
                <w:sz w:val="18"/>
                <w:szCs w:val="18"/>
                <w:color w:val="0000EE"/>
              </w:rPr>
              <w:t>Item 6. Exhibits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Signature Page</w:t>
            </w:r>
          </w:p>
        </w:tc>
        <w:tc>
          <w:tcPr>
            <w:tcW w:w="60" w:type="dxa"/>
            <w:vAlign w:val="bottom"/>
            <w:tcBorders>
              <w:top w:val="single" w:sz="8" w:color="0000EE"/>
            </w:tcBorders>
          </w:tcPr>
          <w:p>
            <w:pPr>
              <w:spacing w:after="0"/>
              <w:rPr>
                <w:sz w:val="24"/>
                <w:szCs w:val="24"/>
                <w:color w:val="auto"/>
              </w:rPr>
            </w:pPr>
          </w:p>
        </w:tc>
        <w:tc>
          <w:tcPr>
            <w:tcW w:w="6780" w:type="dxa"/>
            <w:vAlign w:val="bottom"/>
            <w:gridSpan w:val="21"/>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898"/>
        </w:trPr>
        <w:tc>
          <w:tcPr>
            <w:tcW w:w="4980" w:type="dxa"/>
            <w:vAlign w:val="bottom"/>
            <w:gridSpan w:val="18"/>
          </w:tcPr>
          <w:p>
            <w:pPr>
              <w:jc w:val="center"/>
              <w:ind w:left="3850"/>
              <w:spacing w:after="0"/>
              <w:rPr>
                <w:sz w:val="20"/>
                <w:szCs w:val="20"/>
                <w:color w:val="auto"/>
              </w:rPr>
            </w:pPr>
            <w:r>
              <w:rPr>
                <w:rFonts w:ascii="Times New Roman" w:cs="Times New Roman" w:eastAsia="Times New Roman" w:hAnsi="Times New Roman"/>
                <w:sz w:val="18"/>
                <w:szCs w:val="18"/>
                <w:color w:val="auto"/>
                <w:w w:val="88"/>
              </w:rPr>
              <w:t>1</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51"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5420" w:type="dxa"/>
            <w:vAlign w:val="bottom"/>
          </w:tcPr>
          <w:p>
            <w:pPr>
              <w:jc w:val="center"/>
              <w:ind w:left="1510"/>
              <w:spacing w:after="0"/>
              <w:rPr>
                <w:sz w:val="20"/>
                <w:szCs w:val="20"/>
                <w:color w:val="auto"/>
              </w:rPr>
            </w:pPr>
            <w:r>
              <w:rPr>
                <w:rFonts w:ascii="Times New Roman" w:cs="Times New Roman" w:eastAsia="Times New Roman" w:hAnsi="Times New Roman"/>
                <w:sz w:val="18"/>
                <w:szCs w:val="18"/>
                <w:b w:val="1"/>
                <w:bCs w:val="1"/>
                <w:color w:val="auto"/>
                <w:w w:val="95"/>
              </w:rPr>
              <w:t>PART I</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8"/>
        </w:trPr>
        <w:tc>
          <w:tcPr>
            <w:tcW w:w="940" w:type="dxa"/>
            <w:vAlign w:val="bottom"/>
          </w:tcPr>
          <w:p>
            <w:pPr>
              <w:spacing w:after="0"/>
              <w:rPr>
                <w:sz w:val="21"/>
                <w:szCs w:val="21"/>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FINANCIAL INFORMATION</w:t>
            </w: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40" w:type="dxa"/>
            <w:vAlign w:val="bottom"/>
          </w:tcPr>
          <w:p>
            <w:pPr>
              <w:spacing w:after="0"/>
              <w:rPr>
                <w:sz w:val="18"/>
                <w:szCs w:val="18"/>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940" w:type="dxa"/>
            <w:vAlign w:val="bottom"/>
          </w:tcPr>
          <w:p>
            <w:pPr>
              <w:spacing w:after="0"/>
              <w:rPr>
                <w:sz w:val="20"/>
                <w:szCs w:val="20"/>
                <w:color w:val="auto"/>
              </w:rPr>
            </w:pPr>
          </w:p>
        </w:tc>
        <w:tc>
          <w:tcPr>
            <w:tcW w:w="5420" w:type="dxa"/>
            <w:vAlign w:val="bottom"/>
          </w:tcPr>
          <w:p>
            <w:pPr>
              <w:jc w:val="center"/>
              <w:ind w:left="14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56"/>
        </w:trPr>
        <w:tc>
          <w:tcPr>
            <w:tcW w:w="9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260" w:type="dxa"/>
            <w:vAlign w:val="bottom"/>
            <w:gridSpan w:val="3"/>
          </w:tcPr>
          <w:p>
            <w:pPr>
              <w:ind w:left="160"/>
              <w:spacing w:after="0"/>
              <w:rPr>
                <w:sz w:val="20"/>
                <w:szCs w:val="20"/>
                <w:color w:val="auto"/>
              </w:rPr>
            </w:pPr>
            <w:r>
              <w:rPr>
                <w:rFonts w:ascii="Times New Roman" w:cs="Times New Roman" w:eastAsia="Times New Roman" w:hAnsi="Times New Roman"/>
                <w:sz w:val="18"/>
                <w:szCs w:val="18"/>
                <w:b w:val="1"/>
                <w:bCs w:val="1"/>
                <w:color w:val="auto"/>
                <w:w w:val="98"/>
              </w:rPr>
              <w:t>September 28,</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940" w:type="dxa"/>
            <w:vAlign w:val="bottom"/>
          </w:tcPr>
          <w:p>
            <w:pPr>
              <w:spacing w:after="0"/>
              <w:rPr>
                <w:sz w:val="21"/>
                <w:szCs w:val="21"/>
                <w:color w:val="auto"/>
              </w:rPr>
            </w:pPr>
          </w:p>
        </w:tc>
        <w:tc>
          <w:tcPr>
            <w:tcW w:w="5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180"/>
        </w:trPr>
        <w:tc>
          <w:tcPr>
            <w:tcW w:w="94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right"/>
              <w:ind w:right="110"/>
              <w:spacing w:after="0" w:line="180" w:lineRule="exact"/>
              <w:rPr>
                <w:sz w:val="20"/>
                <w:szCs w:val="20"/>
                <w:color w:val="auto"/>
              </w:rPr>
            </w:pPr>
            <w:r>
              <w:rPr>
                <w:rFonts w:ascii="Times New Roman" w:cs="Times New Roman" w:eastAsia="Times New Roman" w:hAnsi="Times New Roman"/>
                <w:sz w:val="18"/>
                <w:szCs w:val="18"/>
                <w:b w:val="1"/>
                <w:bCs w:val="1"/>
                <w:color w:val="auto"/>
              </w:rPr>
              <w:t>(Thousands, except share</w:t>
            </w:r>
          </w:p>
        </w:tc>
        <w:tc>
          <w:tcPr>
            <w:tcW w:w="60" w:type="dxa"/>
            <w:vAlign w:val="bottom"/>
          </w:tcPr>
          <w:p>
            <w:pPr>
              <w:spacing w:after="0"/>
              <w:rPr>
                <w:sz w:val="15"/>
                <w:szCs w:val="15"/>
                <w:color w:val="auto"/>
              </w:rPr>
            </w:pPr>
          </w:p>
        </w:tc>
      </w:tr>
      <w:tr>
        <w:trPr>
          <w:trHeight w:val="238"/>
        </w:trPr>
        <w:tc>
          <w:tcPr>
            <w:tcW w:w="940" w:type="dxa"/>
            <w:vAlign w:val="bottom"/>
          </w:tcPr>
          <w:p>
            <w:pPr>
              <w:spacing w:after="0"/>
              <w:rPr>
                <w:sz w:val="20"/>
                <w:szCs w:val="20"/>
                <w:color w:val="auto"/>
              </w:rPr>
            </w:pPr>
          </w:p>
        </w:tc>
        <w:tc>
          <w:tcPr>
            <w:tcW w:w="5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4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amounts)</w:t>
            </w:r>
          </w:p>
        </w:tc>
      </w:tr>
      <w:tr>
        <w:trPr>
          <w:trHeight w:val="216"/>
        </w:trPr>
        <w:tc>
          <w:tcPr>
            <w:tcW w:w="940" w:type="dxa"/>
            <w:vAlign w:val="bottom"/>
            <w:shd w:val="clear" w:color="auto" w:fill="CCEEFF"/>
          </w:tcPr>
          <w:p>
            <w:pPr>
              <w:spacing w:after="0"/>
              <w:rPr>
                <w:sz w:val="18"/>
                <w:szCs w:val="18"/>
                <w:color w:val="auto"/>
              </w:rPr>
            </w:pPr>
          </w:p>
        </w:tc>
        <w:tc>
          <w:tcPr>
            <w:tcW w:w="5420" w:type="dxa"/>
            <w:vAlign w:val="bottom"/>
            <w:shd w:val="clear" w:color="auto" w:fill="CCEEFF"/>
          </w:tcPr>
          <w:p>
            <w:pPr>
              <w:jc w:val="center"/>
              <w:ind w:right="89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267,521</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Receivables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4,575,854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4,391,187</w:t>
            </w:r>
          </w:p>
        </w:tc>
        <w:tc>
          <w:tcPr>
            <w:tcW w:w="6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Inventories</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5,614,102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5,468,730</w:t>
            </w:r>
          </w:p>
        </w:tc>
        <w:tc>
          <w:tcPr>
            <w:tcW w:w="6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221,767</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199,694</w:t>
            </w:r>
          </w:p>
        </w:tc>
        <w:tc>
          <w:tcPr>
            <w:tcW w:w="60" w:type="dxa"/>
            <w:vAlign w:val="bottom"/>
            <w:tcBorders>
              <w:bottom w:val="single" w:sz="8" w:color="CCEEFF"/>
            </w:tcBorders>
          </w:tcPr>
          <w:p>
            <w:pPr>
              <w:spacing w:after="0"/>
              <w:rPr>
                <w:sz w:val="19"/>
                <w:szCs w:val="19"/>
                <w:color w:val="auto"/>
              </w:rPr>
            </w:pPr>
          </w:p>
        </w:tc>
      </w:tr>
      <w:tr>
        <w:trPr>
          <w:trHeight w:val="216"/>
        </w:trPr>
        <w:tc>
          <w:tcPr>
            <w:tcW w:w="6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10,679,244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10,370,552</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584,119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568,169</w:t>
            </w:r>
          </w:p>
        </w:tc>
        <w:tc>
          <w:tcPr>
            <w:tcW w:w="60" w:type="dxa"/>
            <w:vAlign w:val="bottom"/>
          </w:tcPr>
          <w:p>
            <w:pPr>
              <w:spacing w:after="0"/>
              <w:rPr>
                <w:sz w:val="18"/>
                <w:szCs w:val="18"/>
                <w:color w:val="auto"/>
              </w:rPr>
            </w:pPr>
          </w:p>
        </w:tc>
      </w:tr>
      <w:tr>
        <w:trPr>
          <w:trHeight w:val="216"/>
        </w:trPr>
        <w:tc>
          <w:tcPr>
            <w:tcW w:w="9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Goodwill</w:t>
            </w:r>
          </w:p>
        </w:tc>
        <w:tc>
          <w:tcPr>
            <w:tcW w:w="5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Operating lease assets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211,736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208,971</w:t>
            </w:r>
          </w:p>
        </w:tc>
        <w:tc>
          <w:tcPr>
            <w:tcW w:w="60" w:type="dxa"/>
            <w:vAlign w:val="bottom"/>
          </w:tcPr>
          <w:p>
            <w:pPr>
              <w:spacing w:after="0"/>
              <w:rPr>
                <w:sz w:val="18"/>
                <w:szCs w:val="18"/>
                <w:color w:val="auto"/>
              </w:rPr>
            </w:pPr>
          </w:p>
        </w:tc>
      </w:tr>
      <w:tr>
        <w:trPr>
          <w:trHeight w:val="236"/>
        </w:trPr>
        <w:tc>
          <w:tcPr>
            <w:tcW w:w="63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303,607</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280,471</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43"/>
        </w:trPr>
        <w:tc>
          <w:tcPr>
            <w:tcW w:w="636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12,597,564</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12,209,147</w:t>
            </w:r>
          </w:p>
        </w:tc>
        <w:tc>
          <w:tcPr>
            <w:tcW w:w="60" w:type="dxa"/>
            <w:vAlign w:val="bottom"/>
            <w:tcBorders>
              <w:bottom w:val="single" w:sz="8" w:color="CCEEFF"/>
            </w:tcBorders>
          </w:tcPr>
          <w:p>
            <w:pPr>
              <w:spacing w:after="0"/>
              <w:rPr>
                <w:sz w:val="21"/>
                <w:szCs w:val="21"/>
                <w:color w:val="auto"/>
              </w:rPr>
            </w:pPr>
          </w:p>
        </w:tc>
      </w:tr>
      <w:tr>
        <w:trPr>
          <w:trHeight w:val="197"/>
        </w:trPr>
        <w:tc>
          <w:tcPr>
            <w:tcW w:w="940" w:type="dxa"/>
            <w:vAlign w:val="bottom"/>
            <w:shd w:val="clear" w:color="auto" w:fill="CCEEFF"/>
          </w:tcPr>
          <w:p>
            <w:pPr>
              <w:spacing w:after="0"/>
              <w:rPr>
                <w:sz w:val="17"/>
                <w:szCs w:val="17"/>
                <w:color w:val="auto"/>
              </w:rPr>
            </w:pPr>
          </w:p>
        </w:tc>
        <w:tc>
          <w:tcPr>
            <w:tcW w:w="5420" w:type="dxa"/>
            <w:vAlign w:val="bottom"/>
            <w:shd w:val="clear" w:color="auto" w:fill="CCEEFF"/>
          </w:tcPr>
          <w:p>
            <w:pPr>
              <w:jc w:val="center"/>
              <w:ind w:right="89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63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Short-term debt</w:t>
            </w:r>
          </w:p>
        </w:tc>
        <w:tc>
          <w:tcPr>
            <w:tcW w:w="3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524,055</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492,711</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3,588,033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3,345,510</w:t>
            </w:r>
          </w:p>
        </w:tc>
        <w:tc>
          <w:tcPr>
            <w:tcW w:w="6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580,257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573,055</w:t>
            </w:r>
          </w:p>
        </w:tc>
        <w:tc>
          <w:tcPr>
            <w:tcW w:w="6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Short-term operating lease liabilities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55,538</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53,993</w:t>
            </w:r>
          </w:p>
        </w:tc>
        <w:tc>
          <w:tcPr>
            <w:tcW w:w="60" w:type="dxa"/>
            <w:vAlign w:val="bottom"/>
            <w:tcBorders>
              <w:bottom w:val="single" w:sz="8" w:color="CCEEFF"/>
            </w:tcBorders>
          </w:tcPr>
          <w:p>
            <w:pPr>
              <w:spacing w:after="0"/>
              <w:rPr>
                <w:sz w:val="19"/>
                <w:szCs w:val="19"/>
                <w:color w:val="auto"/>
              </w:rPr>
            </w:pPr>
          </w:p>
        </w:tc>
      </w:tr>
      <w:tr>
        <w:trPr>
          <w:trHeight w:val="216"/>
        </w:trPr>
        <w:tc>
          <w:tcPr>
            <w:tcW w:w="636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4,747,883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4,465,269</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2,430,730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2,406,629</w:t>
            </w:r>
          </w:p>
        </w:tc>
        <w:tc>
          <w:tcPr>
            <w:tcW w:w="60" w:type="dxa"/>
            <w:vAlign w:val="bottom"/>
          </w:tcPr>
          <w:p>
            <w:pPr>
              <w:spacing w:after="0"/>
              <w:rPr>
                <w:sz w:val="18"/>
                <w:szCs w:val="18"/>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Long-term operating lease liabilities</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175,330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173,886</w:t>
            </w:r>
          </w:p>
        </w:tc>
        <w:tc>
          <w:tcPr>
            <w:tcW w:w="60" w:type="dxa"/>
            <w:vAlign w:val="bottom"/>
            <w:shd w:val="clear" w:color="auto" w:fill="CCEEFF"/>
          </w:tcPr>
          <w:p>
            <w:pPr>
              <w:spacing w:after="0"/>
              <w:rPr>
                <w:sz w:val="18"/>
                <w:szCs w:val="18"/>
                <w:color w:val="auto"/>
              </w:rPr>
            </w:pPr>
          </w:p>
        </w:tc>
      </w:tr>
      <w:tr>
        <w:trPr>
          <w:trHeight w:val="223"/>
        </w:trPr>
        <w:tc>
          <w:tcPr>
            <w:tcW w:w="636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205,886</w:t>
            </w:r>
          </w:p>
        </w:tc>
        <w:tc>
          <w:tcPr>
            <w:tcW w:w="2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237,859</w:t>
            </w:r>
          </w:p>
        </w:tc>
        <w:tc>
          <w:tcPr>
            <w:tcW w:w="60" w:type="dxa"/>
            <w:vAlign w:val="bottom"/>
            <w:tcBorders>
              <w:bottom w:val="single" w:sz="8" w:color="CCEEFF"/>
            </w:tcBorders>
          </w:tcPr>
          <w:p>
            <w:pPr>
              <w:spacing w:after="0"/>
              <w:rPr>
                <w:sz w:val="19"/>
                <w:szCs w:val="19"/>
                <w:color w:val="auto"/>
              </w:rPr>
            </w:pPr>
          </w:p>
        </w:tc>
      </w:tr>
      <w:tr>
        <w:trPr>
          <w:trHeight w:val="236"/>
        </w:trPr>
        <w:tc>
          <w:tcPr>
            <w:tcW w:w="63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7,559,829</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7,283,643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03"/>
        </w:trPr>
        <w:tc>
          <w:tcPr>
            <w:tcW w:w="6360" w:type="dxa"/>
            <w:vAlign w:val="bottom"/>
            <w:gridSpan w:val="2"/>
          </w:tcPr>
          <w:p>
            <w:pPr>
              <w:ind w:left="100"/>
              <w:spacing w:after="0" w:line="203" w:lineRule="exact"/>
              <w:rPr>
                <w:sz w:val="20"/>
                <w:szCs w:val="20"/>
                <w:color w:val="auto"/>
              </w:rPr>
            </w:pPr>
            <w:r>
              <w:rPr>
                <w:rFonts w:ascii="Times New Roman" w:cs="Times New Roman" w:eastAsia="Times New Roman" w:hAnsi="Times New Roman"/>
                <w:sz w:val="18"/>
                <w:szCs w:val="18"/>
                <w:color w:val="auto"/>
              </w:rPr>
              <w:t>Commitments and contingencies (Note 6)</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63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6360" w:type="dxa"/>
            <w:vAlign w:val="bottom"/>
            <w:gridSpan w:val="2"/>
          </w:tcPr>
          <w:p>
            <w:pPr>
              <w:ind w:left="220"/>
              <w:spacing w:after="0" w:line="198" w:lineRule="exact"/>
              <w:rPr>
                <w:sz w:val="20"/>
                <w:szCs w:val="20"/>
                <w:color w:val="auto"/>
              </w:rPr>
            </w:pPr>
            <w:r>
              <w:rPr>
                <w:rFonts w:ascii="Times New Roman" w:cs="Times New Roman" w:eastAsia="Times New Roman" w:hAnsi="Times New Roman"/>
                <w:sz w:val="18"/>
                <w:szCs w:val="18"/>
                <w:color w:val="auto"/>
              </w:rPr>
              <w:t>Common stock $1.00 par; authorized 300,000,000 shares; issued 87,253,739 shares</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and 89,045,996 shares, respectively</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87,254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89,046</w:t>
            </w:r>
          </w:p>
        </w:tc>
        <w:tc>
          <w:tcPr>
            <w:tcW w:w="60" w:type="dxa"/>
            <w:vAlign w:val="bottom"/>
          </w:tcPr>
          <w:p>
            <w:pPr>
              <w:spacing w:after="0"/>
              <w:rPr>
                <w:sz w:val="20"/>
                <w:szCs w:val="20"/>
                <w:color w:val="auto"/>
              </w:rPr>
            </w:pPr>
          </w:p>
        </w:tc>
      </w:tr>
      <w:tr>
        <w:trPr>
          <w:trHeight w:val="216"/>
        </w:trPr>
        <w:tc>
          <w:tcPr>
            <w:tcW w:w="63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1,736,027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1,721,369</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3,533,854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3,601,812</w:t>
            </w:r>
          </w:p>
        </w:tc>
        <w:tc>
          <w:tcPr>
            <w:tcW w:w="60" w:type="dxa"/>
            <w:vAlign w:val="bottom"/>
          </w:tcPr>
          <w:p>
            <w:pPr>
              <w:spacing w:after="0"/>
              <w:rPr>
                <w:sz w:val="18"/>
                <w:szCs w:val="18"/>
                <w:color w:val="auto"/>
              </w:rPr>
            </w:pPr>
          </w:p>
        </w:tc>
      </w:tr>
      <w:tr>
        <w:trPr>
          <w:trHeight w:val="236"/>
        </w:trPr>
        <w:tc>
          <w:tcPr>
            <w:tcW w:w="63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(319,400)</w:t>
            </w:r>
          </w:p>
        </w:tc>
        <w:tc>
          <w:tcPr>
            <w:tcW w:w="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(486,723)</w:t>
            </w:r>
          </w:p>
        </w:tc>
        <w:tc>
          <w:tcPr>
            <w:tcW w:w="60" w:type="dxa"/>
            <w:vAlign w:val="bottom"/>
            <w:tcBorders>
              <w:bottom w:val="single" w:sz="8" w:color="CCEEFF"/>
            </w:tcBorders>
            <w:shd w:val="clear" w:color="auto" w:fill="CCEEFF"/>
          </w:tcPr>
          <w:p>
            <w:pPr>
              <w:spacing w:after="0"/>
              <w:rPr>
                <w:sz w:val="20"/>
                <w:szCs w:val="20"/>
                <w:color w:val="auto"/>
              </w:rPr>
            </w:pPr>
          </w:p>
        </w:tc>
      </w:tr>
      <w:tr>
        <w:trPr>
          <w:trHeight w:val="210"/>
        </w:trPr>
        <w:tc>
          <w:tcPr>
            <w:tcW w:w="6360" w:type="dxa"/>
            <w:vAlign w:val="bottom"/>
            <w:tcBorders>
              <w:bottom w:val="single" w:sz="8" w:color="CCEEFF"/>
            </w:tcBorders>
            <w:gridSpan w:val="2"/>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shareholders’ equity</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5,037,735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4,925,504</w:t>
            </w:r>
          </w:p>
        </w:tc>
        <w:tc>
          <w:tcPr>
            <w:tcW w:w="60" w:type="dxa"/>
            <w:vAlign w:val="bottom"/>
            <w:tcBorders>
              <w:bottom w:val="single" w:sz="8" w:color="CCEEFF"/>
            </w:tcBorders>
          </w:tcPr>
          <w:p>
            <w:pPr>
              <w:spacing w:after="0"/>
              <w:rPr>
                <w:sz w:val="18"/>
                <w:szCs w:val="18"/>
                <w:color w:val="auto"/>
              </w:rPr>
            </w:pPr>
          </w:p>
        </w:tc>
      </w:tr>
      <w:tr>
        <w:trPr>
          <w:trHeight w:val="216"/>
        </w:trPr>
        <w:tc>
          <w:tcPr>
            <w:tcW w:w="6360" w:type="dxa"/>
            <w:vAlign w:val="bottom"/>
            <w:tcBorders>
              <w:bottom w:val="single" w:sz="8" w:color="CCEEFF"/>
            </w:tcBorders>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12,597,564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12,209,147</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9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3300" w:type="dxa"/>
            <w:vAlign w:val="bottom"/>
            <w:tcBorders>
              <w:bottom w:val="single" w:sz="8" w:color="auto"/>
            </w:tcBorders>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80" w:type="dxa"/>
            <w:vAlign w:val="bottom"/>
          </w:tcPr>
          <w:p>
            <w:pPr>
              <w:jc w:val="right"/>
              <w:ind w:right="190"/>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60" w:type="dxa"/>
            <w:vAlign w:val="bottom"/>
            <w:gridSpan w:val="2"/>
          </w:tcPr>
          <w:p>
            <w:pPr>
              <w:ind w:left="60"/>
              <w:spacing w:after="0" w:line="202" w:lineRule="exact"/>
              <w:rPr>
                <w:sz w:val="20"/>
                <w:szCs w:val="20"/>
                <w:color w:val="auto"/>
              </w:rPr>
            </w:pPr>
            <w:r>
              <w:rPr>
                <w:rFonts w:ascii="Times New Roman" w:cs="Times New Roman" w:eastAsia="Times New Roman" w:hAnsi="Times New Roman"/>
                <w:sz w:val="18"/>
                <w:szCs w:val="18"/>
                <w:b w:val="1"/>
                <w:bCs w:val="1"/>
                <w:color w:val="auto"/>
              </w:rPr>
              <w:t>(Thousands, except</w:t>
            </w:r>
          </w:p>
        </w:tc>
        <w:tc>
          <w:tcPr>
            <w:tcW w:w="1640" w:type="dxa"/>
            <w:vAlign w:val="bottom"/>
            <w:gridSpan w:val="2"/>
          </w:tcPr>
          <w:p>
            <w:pPr>
              <w:jc w:val="right"/>
              <w:ind w:right="130"/>
              <w:spacing w:after="0" w:line="202" w:lineRule="exact"/>
              <w:rPr>
                <w:sz w:val="20"/>
                <w:szCs w:val="20"/>
                <w:color w:val="auto"/>
              </w:rPr>
            </w:pPr>
            <w:r>
              <w:rPr>
                <w:rFonts w:ascii="Times New Roman" w:cs="Times New Roman" w:eastAsia="Times New Roman" w:hAnsi="Times New Roman"/>
                <w:sz w:val="18"/>
                <w:szCs w:val="18"/>
                <w:b w:val="1"/>
                <w:bCs w:val="1"/>
                <w:color w:val="auto"/>
                <w:w w:val="93"/>
              </w:rPr>
              <w:t>per share amounts)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5,604,152</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6,335,648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Cost of sales</w:t>
            </w:r>
          </w:p>
        </w:tc>
        <w:tc>
          <w:tcPr>
            <w:tcW w:w="108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4,996,785</w:t>
            </w:r>
          </w:p>
        </w:tc>
        <w:tc>
          <w:tcPr>
            <w:tcW w:w="2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607,367</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438,791</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487,286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142,225</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(3,043)</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(64,444)</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(70,796)</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86,499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36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Income before taxes</w:t>
            </w: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74,738</w:t>
            </w: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275,432</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0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spacing w:after="0"/>
              <w:rPr>
                <w:sz w:val="20"/>
                <w:szCs w:val="20"/>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w:t>
            </w:r>
          </w:p>
        </w:tc>
        <w:tc>
          <w:tcPr>
            <w:tcW w:w="26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66,164</w:t>
            </w:r>
          </w:p>
        </w:tc>
        <w:tc>
          <w:tcPr>
            <w:tcW w:w="0" w:type="dxa"/>
            <w:vAlign w:val="bottom"/>
          </w:tcPr>
          <w:p>
            <w:pPr>
              <w:spacing w:after="0"/>
              <w:rPr>
                <w:sz w:val="1"/>
                <w:szCs w:val="1"/>
                <w:color w:val="auto"/>
              </w:rPr>
            </w:pPr>
          </w:p>
        </w:tc>
      </w:tr>
      <w:tr>
        <w:trPr>
          <w:trHeight w:val="243"/>
        </w:trPr>
        <w:tc>
          <w:tcPr>
            <w:tcW w:w="43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Net income</w:t>
            </w:r>
          </w:p>
        </w:tc>
        <w:tc>
          <w:tcPr>
            <w:tcW w:w="108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58,956</w:t>
            </w:r>
          </w:p>
        </w:tc>
        <w:tc>
          <w:tcPr>
            <w:tcW w:w="26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209,268</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0.67</w:t>
            </w:r>
          </w:p>
        </w:tc>
        <w:tc>
          <w:tcPr>
            <w:tcW w:w="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Borders>
              <w:top w:val="single" w:sz="8" w:color="CCEEFF"/>
              <w:bottom w:val="single" w:sz="8" w:color="CCEEFF"/>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360" w:type="dxa"/>
            <w:vAlign w:val="bottom"/>
            <w:tcBorders>
              <w:bottom w:val="single" w:sz="8" w:color="CCEEFF"/>
            </w:tcBorders>
            <w:vMerge w:val="continue"/>
          </w:tcPr>
          <w:p>
            <w:pPr>
              <w:spacing w:after="0"/>
              <w:rPr>
                <w:sz w:val="20"/>
                <w:szCs w:val="20"/>
                <w:color w:val="auto"/>
              </w:rPr>
            </w:pPr>
          </w:p>
        </w:tc>
        <w:tc>
          <w:tcPr>
            <w:tcW w:w="1080" w:type="dxa"/>
            <w:vAlign w:val="bottom"/>
            <w:tcBorders>
              <w:bottom w:val="single" w:sz="8" w:color="CCEEFF"/>
            </w:tcBorders>
            <w:vMerge w:val="continue"/>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0.66</w:t>
            </w:r>
          </w:p>
        </w:tc>
        <w:tc>
          <w:tcPr>
            <w:tcW w:w="260" w:type="dxa"/>
            <w:vAlign w:val="bottom"/>
            <w:tcBorders>
              <w:bottom w:val="single" w:sz="8" w:color="CCEEFF"/>
            </w:tcBorders>
            <w:vMerge w:val="continue"/>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Shares used to compute earnings per share:</w:t>
            </w: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Basic</w:t>
            </w:r>
          </w:p>
        </w:tc>
        <w:tc>
          <w:tcPr>
            <w:tcW w:w="10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88,092</w:t>
            </w:r>
          </w:p>
        </w:tc>
        <w:tc>
          <w:tcPr>
            <w:tcW w:w="2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Diluted</w:t>
            </w: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4360" w:type="dxa"/>
            <w:vAlign w:val="bottom"/>
            <w:tcBorders>
              <w:bottom w:val="single" w:sz="8" w:color="CCEEFF"/>
            </w:tcBorders>
            <w:vMerge w:val="continue"/>
          </w:tcPr>
          <w:p>
            <w:pPr>
              <w:spacing w:after="0"/>
              <w:rPr>
                <w:sz w:val="20"/>
                <w:szCs w:val="20"/>
                <w:color w:val="auto"/>
              </w:rPr>
            </w:pPr>
          </w:p>
        </w:tc>
        <w:tc>
          <w:tcPr>
            <w:tcW w:w="10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89,392</w:t>
            </w:r>
          </w:p>
        </w:tc>
        <w:tc>
          <w:tcPr>
            <w:tcW w:w="26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93,178</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36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Cash dividends paid per common share</w:t>
            </w:r>
          </w:p>
        </w:tc>
        <w:tc>
          <w:tcPr>
            <w:tcW w:w="10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0.33</w:t>
            </w:r>
          </w:p>
        </w:tc>
        <w:tc>
          <w:tcPr>
            <w:tcW w:w="2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0.31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60" w:right="79"/>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COMPREHENSIVE INCOME (Unaudited)</w:t>
      </w:r>
    </w:p>
    <w:p>
      <w:pPr>
        <w:spacing w:after="0" w:line="200" w:lineRule="exact"/>
        <w:rPr>
          <w:sz w:val="20"/>
          <w:szCs w:val="20"/>
          <w:color w:val="auto"/>
        </w:rPr>
      </w:pPr>
    </w:p>
    <w:p>
      <w:pPr>
        <w:spacing w:after="0" w:line="211"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5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5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28,</w:t>
            </w:r>
          </w:p>
        </w:tc>
        <w:tc>
          <w:tcPr>
            <w:tcW w:w="132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5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2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w w:val="94"/>
              </w:rPr>
              <w:t>2023</w:t>
            </w:r>
          </w:p>
        </w:tc>
      </w:tr>
      <w:tr>
        <w:trPr>
          <w:trHeight w:val="203"/>
        </w:trPr>
        <w:tc>
          <w:tcPr>
            <w:tcW w:w="5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740" w:type="dxa"/>
            <w:vAlign w:val="bottom"/>
          </w:tcPr>
          <w:p>
            <w:pPr>
              <w:spacing w:after="0"/>
              <w:rPr>
                <w:sz w:val="17"/>
                <w:szCs w:val="17"/>
                <w:color w:val="auto"/>
              </w:rPr>
            </w:pPr>
          </w:p>
        </w:tc>
      </w:tr>
      <w:tr>
        <w:trPr>
          <w:trHeight w:val="216"/>
        </w:trPr>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60" w:type="dxa"/>
            <w:vAlign w:val="bottom"/>
            <w:gridSpan w:val="2"/>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58,956</w:t>
            </w:r>
          </w:p>
        </w:tc>
        <w:tc>
          <w:tcPr>
            <w:tcW w:w="580" w:type="dxa"/>
            <w:vAlign w:val="bottom"/>
            <w:gridSpan w:val="2"/>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209,268</w:t>
            </w:r>
          </w:p>
        </w:tc>
      </w:tr>
      <w:tr>
        <w:trPr>
          <w:trHeight w:val="216"/>
        </w:trPr>
        <w:tc>
          <w:tcPr>
            <w:tcW w:w="51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5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and other</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185,833</w:t>
            </w:r>
          </w:p>
        </w:tc>
        <w:tc>
          <w:tcPr>
            <w:tcW w:w="2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(107,036)</w:t>
            </w:r>
          </w:p>
        </w:tc>
      </w:tr>
      <w:tr>
        <w:trPr>
          <w:trHeight w:val="216"/>
        </w:trPr>
        <w:tc>
          <w:tcPr>
            <w:tcW w:w="5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Cross-currency swap</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(19,610)</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11,808</w:t>
            </w:r>
          </w:p>
        </w:tc>
      </w:tr>
      <w:tr>
        <w:trPr>
          <w:trHeight w:val="236"/>
        </w:trPr>
        <w:tc>
          <w:tcPr>
            <w:tcW w:w="514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adjustments</w:t>
            </w:r>
          </w:p>
        </w:tc>
        <w:tc>
          <w:tcPr>
            <w:tcW w:w="1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w:t>
            </w:r>
          </w:p>
        </w:tc>
      </w:tr>
      <w:tr>
        <w:trPr>
          <w:trHeight w:val="210"/>
        </w:trPr>
        <w:tc>
          <w:tcPr>
            <w:tcW w:w="5140" w:type="dxa"/>
            <w:vAlign w:val="bottom"/>
            <w:tcBorders>
              <w:bottom w:val="single" w:sz="8" w:color="CCEEFF"/>
            </w:tcBorders>
          </w:tcPr>
          <w:p>
            <w:pPr>
              <w:ind w:left="100"/>
              <w:spacing w:after="0" w:line="203" w:lineRule="exact"/>
              <w:rPr>
                <w:sz w:val="20"/>
                <w:szCs w:val="20"/>
                <w:color w:val="auto"/>
              </w:rPr>
            </w:pPr>
            <w:r>
              <w:rPr>
                <w:rFonts w:ascii="Times New Roman" w:cs="Times New Roman" w:eastAsia="Times New Roman" w:hAnsi="Times New Roman"/>
                <w:sz w:val="18"/>
                <w:szCs w:val="18"/>
                <w:color w:val="auto"/>
              </w:rPr>
              <w:t>Total other comprehensive income (loss), net of tax</w:t>
            </w:r>
          </w:p>
        </w:tc>
        <w:tc>
          <w:tcPr>
            <w:tcW w:w="13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167,323</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(93,761)</w:t>
            </w:r>
          </w:p>
        </w:tc>
      </w:tr>
      <w:tr>
        <w:trPr>
          <w:trHeight w:val="216"/>
        </w:trPr>
        <w:tc>
          <w:tcPr>
            <w:tcW w:w="5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comprehensive income, net of tax</w:t>
            </w:r>
          </w:p>
        </w:tc>
        <w:tc>
          <w:tcPr>
            <w:tcW w:w="13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226,279</w:t>
            </w:r>
          </w:p>
        </w:tc>
        <w:tc>
          <w:tcPr>
            <w:tcW w:w="22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115,507</w:t>
            </w:r>
          </w:p>
        </w:tc>
      </w:tr>
      <w:tr>
        <w:trPr>
          <w:trHeight w:val="20"/>
        </w:trPr>
        <w:tc>
          <w:tcPr>
            <w:tcW w:w="51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35" w:lineRule="exact"/>
        <w:rPr>
          <w:sz w:val="20"/>
          <w:szCs w:val="20"/>
          <w:color w:val="auto"/>
        </w:rPr>
      </w:pPr>
    </w:p>
    <w:p>
      <w:pPr>
        <w:jc w:val="center"/>
        <w:ind w:left="1500" w:right="1760"/>
        <w:spacing w:after="0" w:line="278" w:lineRule="auto"/>
        <w:rPr>
          <w:sz w:val="20"/>
          <w:szCs w:val="20"/>
          <w:color w:val="auto"/>
        </w:rPr>
      </w:pPr>
      <w:r>
        <w:rPr>
          <w:rFonts w:ascii="Times New Roman" w:cs="Times New Roman" w:eastAsia="Times New Roman" w:hAnsi="Times New Roman"/>
          <w:sz w:val="18"/>
          <w:szCs w:val="18"/>
          <w:b w:val="1"/>
          <w:bCs w:val="1"/>
          <w:color w:val="auto"/>
        </w:rPr>
        <w:t>AVNET, INC. AND SUBSIDIARIES CONSOLIDATED STATEMENTS OF SHAREHOLDERS’ EQUITY (Unaudited)</w:t>
      </w:r>
    </w:p>
    <w:p>
      <w:pPr>
        <w:spacing w:after="0" w:line="395" w:lineRule="exact"/>
        <w:rPr>
          <w:sz w:val="20"/>
          <w:szCs w:val="20"/>
          <w:color w:val="auto"/>
        </w:rPr>
      </w:pPr>
    </w:p>
    <w:tbl>
      <w:tblPr>
        <w:tblLayout w:type="fixed"/>
        <w:tblInd w:w="4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June 29, 2024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89,046</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$ 89,046</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$ 1,721,369</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$ 3,601,812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(486,723)</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4,925,504</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58,956</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58,956</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income</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167,323</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167,323</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(28,861)</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(1,888)</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(1,888)</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(98,053)</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(99,941)</w:t>
            </w:r>
          </w:p>
        </w:tc>
      </w:tr>
      <w:tr>
        <w:trPr>
          <w:trHeight w:val="209"/>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14,658</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14,754</w:t>
            </w:r>
          </w:p>
        </w:tc>
      </w:tr>
      <w:tr>
        <w:trPr>
          <w:trHeight w:val="203"/>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28, 2024</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87,254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$ 87,254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$ 1,736,027</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$ 3,533,854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(319,400)</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5,037,735</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657"/>
        </w:trPr>
        <w:tc>
          <w:tcPr>
            <w:tcW w:w="2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Accumulated</w:t>
            </w: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Common</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Common</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Additional</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center"/>
              <w:ind w:right="480"/>
              <w:spacing w:after="0"/>
              <w:rPr>
                <w:sz w:val="20"/>
                <w:szCs w:val="20"/>
                <w:color w:val="auto"/>
              </w:rPr>
            </w:pPr>
            <w:r>
              <w:rPr>
                <w:rFonts w:ascii="Times New Roman" w:cs="Times New Roman" w:eastAsia="Times New Roman" w:hAnsi="Times New Roman"/>
                <w:sz w:val="17"/>
                <w:szCs w:val="17"/>
                <w:b w:val="1"/>
                <w:bCs w:val="1"/>
                <w:color w:val="auto"/>
              </w:rPr>
              <w:t>Other</w:t>
            </w:r>
          </w:p>
        </w:tc>
        <w:tc>
          <w:tcPr>
            <w:tcW w:w="220" w:type="dxa"/>
            <w:vAlign w:val="bottom"/>
          </w:tcPr>
          <w:p>
            <w:pPr>
              <w:spacing w:after="0"/>
              <w:rPr>
                <w:sz w:val="17"/>
                <w:szCs w:val="17"/>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2"/>
              </w:rPr>
              <w:t>Total</w:t>
            </w:r>
          </w:p>
        </w:tc>
      </w:tr>
      <w:tr>
        <w:trPr>
          <w:trHeight w:val="203"/>
        </w:trPr>
        <w:tc>
          <w:tcPr>
            <w:tcW w:w="2640" w:type="dxa"/>
            <w:vAlign w:val="bottom"/>
          </w:tcPr>
          <w:p>
            <w:pPr>
              <w:spacing w:after="0"/>
              <w:rPr>
                <w:sz w:val="17"/>
                <w:szCs w:val="17"/>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9"/>
              </w:rPr>
              <w:t>Stock-</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Paid-In</w:t>
            </w:r>
          </w:p>
        </w:tc>
        <w:tc>
          <w:tcPr>
            <w:tcW w:w="16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Retained</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w w:val="98"/>
              </w:rPr>
              <w:t>Comprehensive</w:t>
            </w: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Shareholders’</w:t>
            </w:r>
          </w:p>
        </w:tc>
      </w:tr>
      <w:tr>
        <w:trPr>
          <w:trHeight w:val="235"/>
        </w:trPr>
        <w:tc>
          <w:tcPr>
            <w:tcW w:w="2640" w:type="dxa"/>
            <w:vAlign w:val="bottom"/>
          </w:tcPr>
          <w:p>
            <w:pPr>
              <w:spacing w:after="0"/>
              <w:rPr>
                <w:sz w:val="20"/>
                <w:szCs w:val="20"/>
                <w:color w:val="auto"/>
              </w:rPr>
            </w:pPr>
          </w:p>
        </w:tc>
        <w:tc>
          <w:tcPr>
            <w:tcW w:w="88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gridSpan w:val="2"/>
          </w:tcPr>
          <w:p>
            <w:pPr>
              <w:jc w:val="center"/>
              <w:ind w:right="160"/>
              <w:spacing w:after="0"/>
              <w:rPr>
                <w:sz w:val="20"/>
                <w:szCs w:val="20"/>
                <w:color w:val="auto"/>
              </w:rPr>
            </w:pPr>
            <w:r>
              <w:rPr>
                <w:rFonts w:ascii="Times New Roman" w:cs="Times New Roman" w:eastAsia="Times New Roman" w:hAnsi="Times New Roman"/>
                <w:sz w:val="17"/>
                <w:szCs w:val="17"/>
                <w:b w:val="1"/>
                <w:bCs w:val="1"/>
                <w:color w:val="auto"/>
              </w:rPr>
              <w:t>Amount</w:t>
            </w:r>
          </w:p>
        </w:tc>
        <w:tc>
          <w:tcPr>
            <w:tcW w:w="88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Capital</w:t>
            </w:r>
          </w:p>
        </w:tc>
        <w:tc>
          <w:tcPr>
            <w:tcW w:w="16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b w:val="1"/>
                <w:bCs w:val="1"/>
                <w:color w:val="auto"/>
              </w:rPr>
              <w:t>Earnings</w:t>
            </w:r>
          </w:p>
        </w:tc>
        <w:tc>
          <w:tcPr>
            <w:tcW w:w="1340" w:type="dxa"/>
            <w:vAlign w:val="bottom"/>
            <w:gridSpan w:val="3"/>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(Loss) Income</w:t>
            </w:r>
          </w:p>
        </w:tc>
        <w:tc>
          <w:tcPr>
            <w:tcW w:w="220" w:type="dxa"/>
            <w:vAlign w:val="bottom"/>
          </w:tcPr>
          <w:p>
            <w:pPr>
              <w:spacing w:after="0"/>
              <w:rPr>
                <w:sz w:val="20"/>
                <w:szCs w:val="20"/>
                <w:color w:val="auto"/>
              </w:rPr>
            </w:pPr>
          </w:p>
        </w:tc>
        <w:tc>
          <w:tcPr>
            <w:tcW w:w="820" w:type="dxa"/>
            <w:vAlign w:val="bottom"/>
          </w:tcPr>
          <w:p>
            <w:pPr>
              <w:jc w:val="center"/>
              <w:ind w:right="135"/>
              <w:spacing w:after="0"/>
              <w:rPr>
                <w:sz w:val="20"/>
                <w:szCs w:val="20"/>
                <w:color w:val="auto"/>
              </w:rPr>
            </w:pPr>
            <w:r>
              <w:rPr>
                <w:rFonts w:ascii="Times New Roman" w:cs="Times New Roman" w:eastAsia="Times New Roman" w:hAnsi="Times New Roman"/>
                <w:sz w:val="17"/>
                <w:szCs w:val="17"/>
                <w:b w:val="1"/>
                <w:bCs w:val="1"/>
                <w:color w:val="auto"/>
                <w:w w:val="97"/>
              </w:rPr>
              <w:t>Equity</w:t>
            </w:r>
          </w:p>
        </w:tc>
      </w:tr>
      <w:tr>
        <w:trPr>
          <w:trHeight w:val="189"/>
        </w:trPr>
        <w:tc>
          <w:tcPr>
            <w:tcW w:w="264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Borders>
              <w:top w:val="single" w:sz="8" w:color="auto"/>
            </w:tcBorders>
          </w:tcPr>
          <w:p>
            <w:pPr>
              <w:jc w:val="right"/>
              <w:ind w:right="15"/>
              <w:spacing w:after="0" w:line="189" w:lineRule="exact"/>
              <w:rPr>
                <w:sz w:val="20"/>
                <w:szCs w:val="20"/>
                <w:color w:val="auto"/>
              </w:rPr>
            </w:pPr>
            <w:r>
              <w:rPr>
                <w:rFonts w:ascii="Times New Roman" w:cs="Times New Roman" w:eastAsia="Times New Roman" w:hAnsi="Times New Roman"/>
                <w:sz w:val="17"/>
                <w:szCs w:val="17"/>
                <w:b w:val="1"/>
                <w:bCs w:val="1"/>
                <w:color w:val="auto"/>
                <w:w w:val="85"/>
              </w:rPr>
              <w:t>(Thousands)</w:t>
            </w:r>
          </w:p>
        </w:tc>
        <w:tc>
          <w:tcPr>
            <w:tcW w:w="18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July 1, 2023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91,504</w:t>
            </w: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$ 91,504</w:t>
            </w: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$ 1,691,334</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$ 3,378,212</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(409,381)</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4,751,669</w:t>
            </w:r>
          </w:p>
        </w:tc>
      </w:tr>
      <w:tr>
        <w:trPr>
          <w:trHeight w:val="202"/>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income</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209,268</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209,268</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comprehensive loss</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(93,761)</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(93,761)</w:t>
            </w:r>
          </w:p>
        </w:tc>
      </w:tr>
      <w:tr>
        <w:trPr>
          <w:trHeight w:val="203"/>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dividends</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(28,320)</w:t>
            </w:r>
          </w:p>
        </w:tc>
        <w:tc>
          <w:tcPr>
            <w:tcW w:w="30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(28,320)</w:t>
            </w:r>
          </w:p>
        </w:tc>
      </w:tr>
      <w:tr>
        <w:trPr>
          <w:trHeight w:val="203"/>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Repurchases of common stock</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(559)</w:t>
            </w:r>
          </w:p>
        </w:tc>
        <w:tc>
          <w:tcPr>
            <w:tcW w:w="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(559)</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(26,484)</w:t>
            </w:r>
          </w:p>
        </w:tc>
        <w:tc>
          <w:tcPr>
            <w:tcW w:w="3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(27,043)</w:t>
            </w:r>
          </w:p>
        </w:tc>
      </w:tr>
      <w:tr>
        <w:trPr>
          <w:trHeight w:val="210"/>
        </w:trPr>
        <w:tc>
          <w:tcPr>
            <w:tcW w:w="2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Stock-based compensation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10,731</w:t>
            </w:r>
          </w:p>
        </w:tc>
        <w:tc>
          <w:tcPr>
            <w:tcW w:w="1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8"/>
                <w:szCs w:val="18"/>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10,770</w:t>
            </w:r>
          </w:p>
        </w:tc>
      </w:tr>
      <w:tr>
        <w:trPr>
          <w:trHeight w:val="203"/>
        </w:trPr>
        <w:tc>
          <w:tcPr>
            <w:tcW w:w="26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Balance, September 30, 2023</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90,984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$ 90,984</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$ 1,702,065</w:t>
            </w: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$ 3,532,676</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(503,142)</w:t>
            </w:r>
          </w:p>
        </w:tc>
        <w:tc>
          <w:tcPr>
            <w:tcW w:w="18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4,822,583</w:t>
            </w:r>
          </w:p>
        </w:tc>
      </w:tr>
      <w:tr>
        <w:trPr>
          <w:trHeight w:val="20"/>
        </w:trPr>
        <w:tc>
          <w:tcPr>
            <w:tcW w:w="26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6" w:name="page7"/>
    <w:bookmarkEnd w:id="6"/>
    <w:tbl>
      <w:tblPr>
        <w:tblLayout w:type="fixed"/>
        <w:tblInd w:w="40" w:type="dxa"/>
        <w:tblCellMar>
          <w:top w:w="0" w:type="dxa"/>
          <w:left w:w="0" w:type="dxa"/>
          <w:bottom w:w="0" w:type="dxa"/>
          <w:right w:w="0" w:type="dxa"/>
        </w:tblCellMar>
      </w:tblPr>
      <w:tr>
        <w:trPr>
          <w:trHeight w:val="207"/>
        </w:trPr>
        <w:tc>
          <w:tcPr>
            <w:tcW w:w="66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60"/>
        </w:trPr>
        <w:tc>
          <w:tcPr>
            <w:tcW w:w="20" w:type="dxa"/>
            <w:vAlign w:val="bottom"/>
            <w:tcBorders>
              <w:top w:val="single" w:sz="8" w:color="0000EE"/>
            </w:tcBorders>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3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AVNET, INC. AND SUBSIDIARIES</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5320" w:type="dxa"/>
            <w:vAlign w:val="bottom"/>
          </w:tcPr>
          <w:p>
            <w:pPr>
              <w:jc w:val="center"/>
              <w:ind w:left="9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w w:val="96"/>
              </w:rPr>
              <w:t>September 28,</w:t>
            </w:r>
          </w:p>
        </w:tc>
        <w:tc>
          <w:tcPr>
            <w:tcW w:w="1200" w:type="dxa"/>
            <w:vAlign w:val="bottom"/>
            <w:gridSpan w:val="3"/>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5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00" w:type="dxa"/>
            <w:vAlign w:val="bottom"/>
            <w:gridSpan w:val="4"/>
          </w:tcPr>
          <w:p>
            <w:pPr>
              <w:jc w:val="right"/>
              <w:ind w:right="5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58,956</w:t>
            </w:r>
          </w:p>
        </w:tc>
        <w:tc>
          <w:tcPr>
            <w:tcW w:w="32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Non-cash and other reconciling items: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19,883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Amortization of operating lease assets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Deferred income taxes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10,987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19,337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Changes in (net of effects from businesses acquired and divested):</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Receivables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(94,393)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Inventories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(29,230)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Accounts payable</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213,610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gridSpan w:val="2"/>
          </w:tcPr>
          <w:p>
            <w:pPr>
              <w:ind w:left="320"/>
              <w:spacing w:after="0"/>
              <w:rPr>
                <w:sz w:val="20"/>
                <w:szCs w:val="20"/>
                <w:color w:val="auto"/>
              </w:rPr>
            </w:pPr>
            <w:r>
              <w:rPr>
                <w:rFonts w:ascii="Times New Roman" w:cs="Times New Roman" w:eastAsia="Times New Roman" w:hAnsi="Times New Roman"/>
                <w:sz w:val="18"/>
                <w:szCs w:val="18"/>
                <w:color w:val="auto"/>
              </w:rPr>
              <w:t>Accrued expenses and other, net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(89,179)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provided by (used for) operating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106,325</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Borrowings (repayments) under accounts receivable securitization,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27,900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(Repayments) borrowings under senior unsecured credit facility, net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243,613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Repayments under bank credit facilities and other debt, net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(99,995)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Dividends paid on common stock</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(28,861)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(28,320)</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80" w:type="dxa"/>
            <w:vAlign w:val="bottom"/>
            <w:tcBorders>
              <w:bottom w:val="single" w:sz="8" w:color="CCEEFF"/>
            </w:tcBorders>
            <w:gridSpan w:val="2"/>
          </w:tcPr>
          <w:p>
            <w:pPr>
              <w:ind w:left="420"/>
              <w:spacing w:after="0" w:line="203" w:lineRule="exact"/>
              <w:rPr>
                <w:sz w:val="20"/>
                <w:szCs w:val="20"/>
                <w:color w:val="auto"/>
              </w:rPr>
            </w:pPr>
            <w:r>
              <w:rPr>
                <w:rFonts w:ascii="Times New Roman" w:cs="Times New Roman" w:eastAsia="Times New Roman" w:hAnsi="Times New Roman"/>
                <w:sz w:val="18"/>
                <w:szCs w:val="18"/>
                <w:color w:val="auto"/>
              </w:rPr>
              <w:t>Net cash flows (used for) provided by financing activities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(109,367)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100,150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5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(31,776)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(76,089)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Other, net</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80" w:type="dxa"/>
            <w:vAlign w:val="bottom"/>
            <w:tcBorders>
              <w:bottom w:val="single" w:sz="8" w:color="CCEEFF"/>
            </w:tcBorders>
            <w:gridSpan w:val="2"/>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cash flows used for investing activities</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(31,446)</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currency exchange rate changes on cash and cash equivalents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decrease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(9,551)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65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at beginning of period</w:t>
            </w: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310,941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288,230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58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 at end of period</w:t>
            </w:r>
          </w:p>
        </w:tc>
        <w:tc>
          <w:tcPr>
            <w:tcW w:w="20" w:type="dxa"/>
            <w:vAlign w:val="bottom"/>
          </w:tcPr>
          <w:p>
            <w:pPr>
              <w:spacing w:after="0"/>
              <w:rPr>
                <w:sz w:val="17"/>
                <w:szCs w:val="17"/>
                <w:color w:val="auto"/>
              </w:rPr>
            </w:pPr>
          </w:p>
        </w:tc>
        <w:tc>
          <w:tcPr>
            <w:tcW w:w="20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267,521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278,679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320" w:type="dxa"/>
            <w:vAlign w:val="bottom"/>
            <w:vMerge w:val="restart"/>
          </w:tcPr>
          <w:p>
            <w:pPr>
              <w:jc w:val="center"/>
              <w:ind w:left="970"/>
              <w:spacing w:after="0"/>
              <w:rPr>
                <w:sz w:val="20"/>
                <w:szCs w:val="20"/>
                <w:color w:val="auto"/>
              </w:rPr>
            </w:pPr>
            <w:r>
              <w:rPr>
                <w:rFonts w:ascii="Times New Roman" w:cs="Times New Roman" w:eastAsia="Times New Roman" w:hAnsi="Times New Roman"/>
                <w:sz w:val="18"/>
                <w:szCs w:val="18"/>
                <w:color w:val="auto"/>
                <w:w w:val="99"/>
              </w:rPr>
              <w:t>See notes to consolidated financial statements.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532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42"/>
        </w:trPr>
        <w:tc>
          <w:tcPr>
            <w:tcW w:w="6600" w:type="dxa"/>
            <w:vAlign w:val="bottom"/>
            <w:gridSpan w:val="3"/>
          </w:tcPr>
          <w:p>
            <w:pPr>
              <w:jc w:val="center"/>
              <w:ind w:left="2230"/>
              <w:spacing w:after="0"/>
              <w:rPr>
                <w:sz w:val="20"/>
                <w:szCs w:val="20"/>
                <w:color w:val="auto"/>
              </w:rPr>
            </w:pPr>
            <w:r>
              <w:rPr>
                <w:rFonts w:ascii="Times New Roman" w:cs="Times New Roman" w:eastAsia="Times New Roman" w:hAnsi="Times New Roman"/>
                <w:sz w:val="18"/>
                <w:szCs w:val="18"/>
                <w:color w:val="auto"/>
                <w:w w:val="88"/>
              </w:rPr>
              <w:t>6</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27"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left="40" w:right="59"/>
        <w:spacing w:after="0" w:line="315" w:lineRule="auto"/>
        <w:rPr>
          <w:sz w:val="20"/>
          <w:szCs w:val="20"/>
          <w:color w:val="auto"/>
        </w:rPr>
      </w:pPr>
      <w:r>
        <w:rPr>
          <w:rFonts w:ascii="Times New Roman" w:cs="Times New Roman" w:eastAsia="Times New Roman" w:hAnsi="Times New Roman"/>
          <w:sz w:val="18"/>
          <w:szCs w:val="18"/>
          <w:b w:val="1"/>
          <w:bCs w:val="1"/>
          <w:color w:val="auto"/>
        </w:rPr>
        <w:t>AVNET, INC. AND SUBSIDIARIES NOTES TO CONSOLIDATED FINANCIAL STATEMENTS (Unaudited)</w:t>
      </w:r>
    </w:p>
    <w:p>
      <w:pPr>
        <w:spacing w:after="0" w:line="3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Basis of presentation and new accounting pronouncements</w:t>
      </w:r>
    </w:p>
    <w:p>
      <w:pPr>
        <w:spacing w:after="0" w:line="189" w:lineRule="exact"/>
        <w:rPr>
          <w:sz w:val="20"/>
          <w:szCs w:val="20"/>
          <w:color w:val="auto"/>
        </w:rPr>
      </w:pPr>
    </w:p>
    <w:p>
      <w:pPr>
        <w:ind w:left="60" w:right="219" w:firstLine="427"/>
        <w:spacing w:after="0" w:line="258"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adjustments necessary to present fairly Avnet, Inc. and its consolidated subsidiaries’ (collectively, the “Company” or “Avnet”) financial position, results of operations, comprehensive income, and cash flows. All such adjustments are of a normal recurring nature. Certain reclassifications have been made to fiscal 2024 balances to correspond to the fiscal 2025 consolidated financial statement presentation.</w:t>
      </w:r>
    </w:p>
    <w:p>
      <w:pPr>
        <w:spacing w:after="0" w:line="183" w:lineRule="exact"/>
        <w:rPr>
          <w:sz w:val="20"/>
          <w:szCs w:val="20"/>
          <w:color w:val="auto"/>
        </w:rPr>
      </w:pPr>
    </w:p>
    <w:p>
      <w:pPr>
        <w:ind w:left="60" w:right="299" w:firstLine="427"/>
        <w:spacing w:after="0" w:line="266" w:lineRule="auto"/>
        <w:rPr>
          <w:sz w:val="20"/>
          <w:szCs w:val="20"/>
          <w:color w:val="auto"/>
        </w:rPr>
      </w:pPr>
      <w:r>
        <w:rPr>
          <w:rFonts w:ascii="Times New Roman" w:cs="Times New Roman" w:eastAsia="Times New Roman" w:hAnsi="Times New Roman"/>
          <w:sz w:val="18"/>
          <w:szCs w:val="18"/>
          <w:color w:val="auto"/>
        </w:rPr>
        <w:t>Preparing financial statements in accordance with generally accepted accounting principles in the United States (“GAAP”) requires management to make estimates and assumptions that affect the amounts reported in the consolidated financial statements. Actual results may differ from these estimates and assumptions.</w:t>
      </w:r>
    </w:p>
    <w:p>
      <w:pPr>
        <w:spacing w:after="0" w:line="176" w:lineRule="exact"/>
        <w:rPr>
          <w:sz w:val="20"/>
          <w:szCs w:val="20"/>
          <w:color w:val="auto"/>
        </w:rPr>
      </w:pPr>
    </w:p>
    <w:p>
      <w:pPr>
        <w:ind w:left="60" w:right="459" w:firstLine="427"/>
        <w:spacing w:after="0" w:line="289" w:lineRule="auto"/>
        <w:rPr>
          <w:sz w:val="20"/>
          <w:szCs w:val="20"/>
          <w:color w:val="auto"/>
        </w:rPr>
      </w:pPr>
      <w:r>
        <w:rPr>
          <w:rFonts w:ascii="Times New Roman" w:cs="Times New Roman" w:eastAsia="Times New Roman" w:hAnsi="Times New Roman"/>
          <w:sz w:val="17"/>
          <w:szCs w:val="17"/>
          <w:color w:val="auto"/>
        </w:rPr>
        <w:t>Interim results of operations do not necessarily indicate the results to be expected for the full fiscal year. The information included in this Form 10-Q should be read in conjunction with the consolidated financial statements and accompanying notes included in the Company’s Annual Report on Form 10-K for the fiscal year ended June 29, 2024.</w:t>
      </w:r>
    </w:p>
    <w:p>
      <w:pPr>
        <w:spacing w:after="0" w:line="1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Recently issued accounting pronouncements</w:t>
      </w:r>
    </w:p>
    <w:p>
      <w:pPr>
        <w:spacing w:after="0" w:line="185" w:lineRule="exact"/>
        <w:rPr>
          <w:sz w:val="20"/>
          <w:szCs w:val="20"/>
          <w:color w:val="auto"/>
        </w:rPr>
      </w:pPr>
    </w:p>
    <w:p>
      <w:pPr>
        <w:ind w:left="60" w:right="11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 December 2023, the FASB issued ASU No. 2023-09, </w:t>
      </w:r>
      <w:r>
        <w:rPr>
          <w:rFonts w:ascii="Times New Roman" w:cs="Times New Roman" w:eastAsia="Times New Roman" w:hAnsi="Times New Roman"/>
          <w:sz w:val="18"/>
          <w:szCs w:val="18"/>
          <w:i w:val="1"/>
          <w:iCs w:val="1"/>
          <w:color w:val="auto"/>
        </w:rPr>
        <w:t>Income Taxes (Topic 740): Improvements to Tax Disclosures</w:t>
      </w:r>
      <w:r>
        <w:rPr>
          <w:rFonts w:ascii="Times New Roman" w:cs="Times New Roman" w:eastAsia="Times New Roman" w:hAnsi="Times New Roman"/>
          <w:sz w:val="18"/>
          <w:szCs w:val="18"/>
          <w:color w:val="auto"/>
        </w:rPr>
        <w:t xml:space="preserve"> (“ASU No. 2023-09”), which updates income tax disclosures related to the effective income tax rate reconciliation and requires disclosure of income taxes paid by jurisdiction. ASU No. 2023-09 also provides further disclosure comparability. ASU No. 2023-09 will be effective for the Company in fiscal year 2026 and early adoption is permitted. The Company is currently evaluating the impact of adopting ASU No. 2023-09 on its disclosures.</w:t>
      </w:r>
    </w:p>
    <w:p>
      <w:pPr>
        <w:spacing w:after="0" w:line="143"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 November 2023, the FASB issued ASU No. 2023-07, </w:t>
      </w:r>
      <w:r>
        <w:rPr>
          <w:rFonts w:ascii="Times New Roman" w:cs="Times New Roman" w:eastAsia="Times New Roman" w:hAnsi="Times New Roman"/>
          <w:sz w:val="18"/>
          <w:szCs w:val="18"/>
          <w:i w:val="1"/>
          <w:iCs w:val="1"/>
          <w:color w:val="auto"/>
        </w:rPr>
        <w:t>Segment reporting (Topic 280): Improvements to Reportable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Segment Disclosures </w:t>
      </w:r>
      <w:r>
        <w:rPr>
          <w:rFonts w:ascii="Times New Roman" w:cs="Times New Roman" w:eastAsia="Times New Roman" w:hAnsi="Times New Roman"/>
          <w:sz w:val="18"/>
          <w:szCs w:val="18"/>
          <w:color w:val="auto"/>
        </w:rPr>
        <w:t>(“ASU No. 2023-07”) requiring enhanced segment disclosures primarily through increased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disclosures about significant segment expenses. ASU No. 2023-07 will be effective for the Company in fiscal year 2025, and interim periods beginning in fiscal year 2026 with early adoption permitted. The Company is currently evaluating the impact of adopting ASU No. 2023-07 on its disclosures.</w:t>
      </w:r>
    </w:p>
    <w:p>
      <w:pPr>
        <w:spacing w:after="0" w:line="181" w:lineRule="exact"/>
        <w:rPr>
          <w:sz w:val="20"/>
          <w:szCs w:val="20"/>
          <w:color w:val="auto"/>
        </w:rPr>
      </w:pPr>
    </w:p>
    <w:p>
      <w:pPr>
        <w:ind w:left="480" w:right="7539" w:hanging="430"/>
        <w:spacing w:after="0" w:line="491" w:lineRule="auto"/>
        <w:tabs>
          <w:tab w:leader="none" w:pos="233" w:val="left"/>
        </w:tabs>
        <w:numPr>
          <w:ilvl w:val="0"/>
          <w:numId w:val="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Working capital </w:t>
      </w:r>
      <w:r>
        <w:rPr>
          <w:rFonts w:ascii="Times New Roman" w:cs="Times New Roman" w:eastAsia="Times New Roman" w:hAnsi="Times New Roman"/>
          <w:sz w:val="17"/>
          <w:szCs w:val="17"/>
          <w:b w:val="1"/>
          <w:bCs w:val="1"/>
          <w:i w:val="1"/>
          <w:iCs w:val="1"/>
          <w:color w:val="auto"/>
        </w:rPr>
        <w:t>Receivables</w:t>
      </w:r>
    </w:p>
    <w:p>
      <w:pPr>
        <w:ind w:left="48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color w:val="auto"/>
        </w:rPr>
        <w:t>The Company’s receivables and allowance for credit losses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September 28,</w:t>
            </w:r>
          </w:p>
        </w:tc>
        <w:tc>
          <w:tcPr>
            <w:tcW w:w="200" w:type="dxa"/>
            <w:vAlign w:val="bottom"/>
          </w:tcPr>
          <w:p>
            <w:pPr>
              <w:spacing w:after="0"/>
              <w:rPr>
                <w:sz w:val="18"/>
                <w:szCs w:val="18"/>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3300" w:type="dxa"/>
            <w:vAlign w:val="bottom"/>
          </w:tcPr>
          <w:p>
            <w:pPr>
              <w:spacing w:after="0"/>
              <w:rPr>
                <w:sz w:val="21"/>
                <w:szCs w:val="21"/>
                <w:color w:val="auto"/>
              </w:rPr>
            </w:pPr>
          </w:p>
        </w:tc>
        <w:tc>
          <w:tcPr>
            <w:tcW w:w="29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 w:type="dxa"/>
            <w:vAlign w:val="bottom"/>
          </w:tcPr>
          <w:p>
            <w:pPr>
              <w:spacing w:after="0"/>
              <w:rPr>
                <w:sz w:val="21"/>
                <w:szCs w:val="21"/>
                <w:color w:val="auto"/>
              </w:rPr>
            </w:pPr>
          </w:p>
        </w:tc>
      </w:tr>
      <w:tr>
        <w:trPr>
          <w:trHeight w:val="203"/>
        </w:trPr>
        <w:tc>
          <w:tcPr>
            <w:tcW w:w="330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4"/>
          </w:tcPr>
          <w:p>
            <w:pPr>
              <w:jc w:val="right"/>
              <w:ind w:right="7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3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Receivables</w:t>
            </w:r>
          </w:p>
        </w:tc>
        <w:tc>
          <w:tcPr>
            <w:tcW w:w="3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4,688,102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4,499,691</w:t>
            </w:r>
          </w:p>
        </w:tc>
        <w:tc>
          <w:tcPr>
            <w:tcW w:w="20" w:type="dxa"/>
            <w:vAlign w:val="bottom"/>
          </w:tcPr>
          <w:p>
            <w:pPr>
              <w:spacing w:after="0"/>
              <w:rPr>
                <w:sz w:val="18"/>
                <w:szCs w:val="18"/>
                <w:color w:val="auto"/>
              </w:rPr>
            </w:pPr>
          </w:p>
        </w:tc>
      </w:tr>
      <w:tr>
        <w:trPr>
          <w:trHeight w:val="234"/>
        </w:trPr>
        <w:tc>
          <w:tcPr>
            <w:tcW w:w="3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(112,248)</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20" w:type="dxa"/>
            <w:vAlign w:val="bottom"/>
          </w:tcPr>
          <w:p>
            <w:pPr>
              <w:spacing w:after="0"/>
              <w:rPr>
                <w:sz w:val="20"/>
                <w:szCs w:val="20"/>
                <w:color w:val="auto"/>
              </w:rPr>
            </w:pPr>
          </w:p>
        </w:tc>
      </w:tr>
      <w:tr>
        <w:trPr>
          <w:trHeight w:val="846"/>
        </w:trPr>
        <w:tc>
          <w:tcPr>
            <w:tcW w:w="3300" w:type="dxa"/>
            <w:vAlign w:val="bottom"/>
          </w:tcPr>
          <w:p>
            <w:pPr>
              <w:spacing w:after="0"/>
              <w:rPr>
                <w:sz w:val="24"/>
                <w:szCs w:val="24"/>
                <w:color w:val="auto"/>
              </w:rPr>
            </w:pPr>
          </w:p>
        </w:tc>
        <w:tc>
          <w:tcPr>
            <w:tcW w:w="2940" w:type="dxa"/>
            <w:vAlign w:val="bottom"/>
          </w:tcPr>
          <w:p>
            <w:pPr>
              <w:jc w:val="right"/>
              <w:ind w:right="16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auto"/>
        </w:rPr>
        <w:t>The Company had the following activity in the allowance for credit losses during the first quarters of fiscal 2025 and fiscal 2024:</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8"/>
              </w:rPr>
              <w:t>September 28,</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624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w w:val="99"/>
              </w:rPr>
              <w:t>2023</w:t>
            </w:r>
          </w:p>
        </w:tc>
      </w:tr>
      <w:tr>
        <w:trPr>
          <w:trHeight w:val="203"/>
        </w:trPr>
        <w:tc>
          <w:tcPr>
            <w:tcW w:w="6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80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the period</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108,504</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112,843</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Credit Loss Provisions</w:t>
            </w: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4,157</w:t>
            </w:r>
          </w:p>
        </w:tc>
      </w:tr>
      <w:tr>
        <w:trPr>
          <w:trHeight w:val="216"/>
        </w:trPr>
        <w:tc>
          <w:tcPr>
            <w:tcW w:w="62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Credit Loss Recoveries</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Receivables Write Offs</w:t>
            </w:r>
          </w:p>
        </w:tc>
        <w:tc>
          <w:tcPr>
            <w:tcW w:w="10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(1,170)</w:t>
            </w: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w:t>
            </w:r>
          </w:p>
        </w:tc>
      </w:tr>
      <w:tr>
        <w:trPr>
          <w:trHeight w:val="236"/>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Currency Effect and Other</w:t>
            </w:r>
          </w:p>
        </w:tc>
        <w:tc>
          <w:tcPr>
            <w:tcW w:w="10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1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Balance at end of the period</w:t>
            </w:r>
          </w:p>
        </w:tc>
        <w:tc>
          <w:tcPr>
            <w:tcW w:w="1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112,248</w:t>
            </w:r>
          </w:p>
        </w:tc>
        <w:tc>
          <w:tcPr>
            <w:tcW w:w="160" w:type="dxa"/>
            <w:vAlign w:val="bottom"/>
          </w:tcPr>
          <w:p>
            <w:pPr>
              <w:spacing w:after="0"/>
              <w:rPr>
                <w:sz w:val="17"/>
                <w:szCs w:val="17"/>
                <w:color w:val="auto"/>
              </w:rPr>
            </w:pPr>
          </w:p>
        </w:tc>
        <w:tc>
          <w:tcPr>
            <w:tcW w:w="400" w:type="dxa"/>
            <w:vAlign w:val="bottom"/>
            <w:tcBorders>
              <w:bottom w:val="single" w:sz="8" w:color="auto"/>
            </w:tcBorders>
          </w:tcPr>
          <w:p>
            <w:pPr>
              <w:jc w:val="right"/>
              <w:ind w:right="21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113,489</w:t>
            </w:r>
          </w:p>
        </w:tc>
      </w:tr>
      <w:tr>
        <w:trPr>
          <w:trHeight w:val="20"/>
        </w:trPr>
        <w:tc>
          <w:tcPr>
            <w:tcW w:w="6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Inventories</w:t>
      </w:r>
    </w:p>
    <w:p>
      <w:pPr>
        <w:spacing w:after="0" w:line="202"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The Company’s inventories are primarily comprised of electronic components purchased from the Company’s suppliers, which are available for sale to customers in the normal course of the Company’s electronic component distribution business. Classified within inventories are electronic components held for supply chain service engagements (components) where the Company is acting as an agent on behalf of a customer or in some cases the component supplier. Given that these supply chain services involve purchasing, warehousing and providing logistics services for components as part of the services, the Company classifies the underlying components within inventories on the consolidated balance sheets. Components held for supply chain services where the Company is acting as an agent represented approximately 6% of inventories as of September 28, 2024, and approximately 7% of inventories as of June 29, 2024.</w:t>
      </w:r>
    </w:p>
    <w:p>
      <w:pPr>
        <w:spacing w:after="0" w:line="21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Goodwill</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presents the change in goodwill by reportable segment for the first quarter ended September 28,</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Electronic</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45"/>
        </w:trPr>
        <w:tc>
          <w:tcPr>
            <w:tcW w:w="2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8"/>
              </w:rPr>
              <w:t>Components</w:t>
            </w:r>
          </w:p>
        </w:tc>
        <w:tc>
          <w:tcPr>
            <w:tcW w:w="12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Farnell</w:t>
            </w:r>
          </w:p>
        </w:tc>
        <w:tc>
          <w:tcPr>
            <w:tcW w:w="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3"/>
        </w:trPr>
        <w:tc>
          <w:tcPr>
            <w:tcW w:w="2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4000" w:type="dxa"/>
            <w:vAlign w:val="bottom"/>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June 29, 2024 </w:t>
            </w:r>
            <w:r>
              <w:rPr>
                <w:rFonts w:ascii="Times New Roman" w:cs="Times New Roman" w:eastAsia="Times New Roman" w:hAnsi="Times New Roman"/>
                <w:sz w:val="25"/>
                <w:szCs w:val="25"/>
                <w:color w:val="auto"/>
                <w:vertAlign w:val="superscript"/>
              </w:rPr>
              <w:t>(1)</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295,957</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485,027</w:t>
            </w:r>
          </w:p>
        </w:tc>
        <w:tc>
          <w:tcPr>
            <w:tcW w:w="40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780,984</w:t>
            </w:r>
          </w:p>
        </w:tc>
      </w:tr>
      <w:tr>
        <w:trPr>
          <w:trHeight w:val="223"/>
        </w:trPr>
        <w:tc>
          <w:tcPr>
            <w:tcW w:w="20" w:type="dxa"/>
            <w:vAlign w:val="bottom"/>
          </w:tcPr>
          <w:p>
            <w:pPr>
              <w:spacing w:after="0"/>
              <w:rPr>
                <w:sz w:val="19"/>
                <w:szCs w:val="19"/>
                <w:color w:val="auto"/>
              </w:rPr>
            </w:pPr>
          </w:p>
        </w:tc>
        <w:tc>
          <w:tcPr>
            <w:tcW w:w="4000" w:type="dxa"/>
            <w:vAlign w:val="bottom"/>
            <w:tcBorders>
              <w:bottom w:val="single" w:sz="8" w:color="CCEEFF"/>
            </w:tcBorders>
            <w:gridSpan w:val="2"/>
          </w:tcPr>
          <w:p>
            <w:pPr>
              <w:ind w:left="10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0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29,763</w:t>
            </w:r>
          </w:p>
        </w:tc>
        <w:tc>
          <w:tcPr>
            <w:tcW w:w="1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37,874</w:t>
            </w:r>
          </w:p>
        </w:tc>
      </w:tr>
      <w:tr>
        <w:trPr>
          <w:trHeight w:val="216"/>
        </w:trPr>
        <w:tc>
          <w:tcPr>
            <w:tcW w:w="20" w:type="dxa"/>
            <w:vAlign w:val="bottom"/>
          </w:tcPr>
          <w:p>
            <w:pPr>
              <w:spacing w:after="0"/>
              <w:rPr>
                <w:sz w:val="18"/>
                <w:szCs w:val="18"/>
                <w:color w:val="auto"/>
              </w:rPr>
            </w:pPr>
          </w:p>
        </w:tc>
        <w:tc>
          <w:tcPr>
            <w:tcW w:w="4000" w:type="dxa"/>
            <w:vAlign w:val="bottom"/>
            <w:tcBorders>
              <w:bottom w:val="single" w:sz="8" w:color="CCEEFF"/>
            </w:tcBorders>
            <w:gridSpan w:val="2"/>
            <w:shd w:val="clear" w:color="auto" w:fill="CCEEFF"/>
          </w:tcPr>
          <w:p>
            <w:pPr>
              <w:spacing w:after="0" w:line="216" w:lineRule="exact"/>
              <w:rPr>
                <w:sz w:val="20"/>
                <w:szCs w:val="20"/>
                <w:color w:val="auto"/>
              </w:rPr>
            </w:pPr>
            <w:r>
              <w:rPr>
                <w:rFonts w:ascii="Times New Roman" w:cs="Times New Roman" w:eastAsia="Times New Roman" w:hAnsi="Times New Roman"/>
                <w:sz w:val="17"/>
                <w:szCs w:val="17"/>
                <w:color w:val="auto"/>
              </w:rPr>
              <w:t xml:space="preserve">Carrying value at September 28, 2024 </w:t>
            </w:r>
            <w:r>
              <w:rPr>
                <w:rFonts w:ascii="Times New Roman" w:cs="Times New Roman" w:eastAsia="Times New Roman" w:hAnsi="Times New Roman"/>
                <w:sz w:val="25"/>
                <w:szCs w:val="25"/>
                <w:color w:val="auto"/>
                <w:vertAlign w:val="superscript"/>
              </w:rPr>
              <w:t>(1)</w:t>
            </w:r>
          </w:p>
        </w:tc>
        <w:tc>
          <w:tcPr>
            <w:tcW w:w="10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304,068</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514,790</w:t>
            </w:r>
          </w:p>
        </w:tc>
        <w:tc>
          <w:tcPr>
            <w:tcW w:w="1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818,858</w:t>
            </w: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95"/>
        </w:trPr>
        <w:tc>
          <w:tcPr>
            <w:tcW w:w="20" w:type="dxa"/>
            <w:vAlign w:val="bottom"/>
            <w:tcBorders>
              <w:bottom w:val="single" w:sz="8" w:color="0D0D0D"/>
            </w:tcBorders>
          </w:tcPr>
          <w:p>
            <w:pPr>
              <w:spacing w:after="0"/>
              <w:rPr>
                <w:sz w:val="8"/>
                <w:szCs w:val="8"/>
                <w:color w:val="auto"/>
              </w:rPr>
            </w:pPr>
          </w:p>
        </w:tc>
        <w:tc>
          <w:tcPr>
            <w:tcW w:w="2220" w:type="dxa"/>
            <w:vAlign w:val="bottom"/>
            <w:tcBorders>
              <w:bottom w:val="single" w:sz="8" w:color="0D0D0D"/>
            </w:tcBorders>
          </w:tcPr>
          <w:p>
            <w:pPr>
              <w:spacing w:after="0"/>
              <w:rPr>
                <w:sz w:val="8"/>
                <w:szCs w:val="8"/>
                <w:color w:val="auto"/>
              </w:rPr>
            </w:pPr>
          </w:p>
        </w:tc>
        <w:tc>
          <w:tcPr>
            <w:tcW w:w="17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240" w:type="dxa"/>
            <w:vAlign w:val="bottom"/>
          </w:tcPr>
          <w:p>
            <w:pPr>
              <w:spacing w:after="0"/>
              <w:rPr>
                <w:sz w:val="8"/>
                <w:szCs w:val="8"/>
                <w:color w:val="auto"/>
              </w:rPr>
            </w:pPr>
          </w:p>
        </w:tc>
        <w:tc>
          <w:tcPr>
            <w:tcW w:w="960" w:type="dxa"/>
            <w:vAlign w:val="bottom"/>
          </w:tcPr>
          <w:p>
            <w:pPr>
              <w:spacing w:after="0"/>
              <w:rPr>
                <w:sz w:val="8"/>
                <w:szCs w:val="8"/>
                <w:color w:val="auto"/>
              </w:rPr>
            </w:pPr>
          </w:p>
        </w:tc>
      </w:tr>
    </w:tbl>
    <w:p>
      <w:pPr>
        <w:spacing w:after="0" w:line="54" w:lineRule="exact"/>
        <w:rPr>
          <w:sz w:val="20"/>
          <w:szCs w:val="20"/>
          <w:color w:val="auto"/>
        </w:rPr>
      </w:pPr>
    </w:p>
    <w:p>
      <w:pPr>
        <w:ind w:left="300" w:hanging="250"/>
        <w:spacing w:after="0"/>
        <w:tabs>
          <w:tab w:leader="none" w:pos="30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6"/>
          <w:szCs w:val="16"/>
          <w:color w:val="auto"/>
        </w:rPr>
        <w:t>Includes accumulated impairments of $1,482,677 from prior fiscal years.</w:t>
      </w:r>
    </w:p>
    <w:p>
      <w:pPr>
        <w:spacing w:after="0" w:line="200" w:lineRule="exact"/>
        <w:rPr>
          <w:rFonts w:ascii="Times New Roman" w:cs="Times New Roman" w:eastAsia="Times New Roman" w:hAnsi="Times New Roman"/>
          <w:sz w:val="12"/>
          <w:szCs w:val="12"/>
          <w:color w:val="auto"/>
        </w:rPr>
      </w:pPr>
    </w:p>
    <w:p>
      <w:pPr>
        <w:spacing w:after="0" w:line="200" w:lineRule="exact"/>
        <w:rPr>
          <w:rFonts w:ascii="Times New Roman" w:cs="Times New Roman" w:eastAsia="Times New Roman" w:hAnsi="Times New Roman"/>
          <w:sz w:val="12"/>
          <w:szCs w:val="12"/>
          <w:color w:val="auto"/>
        </w:rPr>
      </w:pPr>
    </w:p>
    <w:p>
      <w:pPr>
        <w:spacing w:after="0" w:line="235" w:lineRule="exact"/>
        <w:rPr>
          <w:rFonts w:ascii="Times New Roman" w:cs="Times New Roman" w:eastAsia="Times New Roman" w:hAnsi="Times New Roman"/>
          <w:sz w:val="12"/>
          <w:szCs w:val="12"/>
          <w:color w:val="auto"/>
        </w:rPr>
      </w:pPr>
    </w:p>
    <w:p>
      <w:pPr>
        <w:ind w:left="4460"/>
        <w:spacing w:after="0"/>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Debt</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Short-term debt consists of the following (carrying balances in thousands):</w:t>
      </w:r>
    </w:p>
    <w:p>
      <w:pPr>
        <w:spacing w:after="0" w:line="221"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8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w w:val="98"/>
              </w:rPr>
              <w:t>September 28,</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June 29,</w:t>
            </w:r>
          </w:p>
        </w:tc>
        <w:tc>
          <w:tcPr>
            <w:tcW w:w="140" w:type="dxa"/>
            <w:vAlign w:val="bottom"/>
          </w:tcPr>
          <w:p>
            <w:pPr>
              <w:spacing w:after="0"/>
              <w:rPr>
                <w:sz w:val="18"/>
                <w:szCs w:val="18"/>
                <w:color w:val="auto"/>
              </w:rPr>
            </w:pPr>
          </w:p>
        </w:tc>
        <w:tc>
          <w:tcPr>
            <w:tcW w:w="12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20" w:type="dxa"/>
            <w:vAlign w:val="bottom"/>
          </w:tcPr>
          <w:p>
            <w:pPr>
              <w:spacing w:after="0"/>
              <w:rPr>
                <w:sz w:val="18"/>
                <w:szCs w:val="18"/>
                <w:color w:val="auto"/>
              </w:rPr>
            </w:pP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4840" w:type="dxa"/>
            <w:vAlign w:val="bottom"/>
          </w:tcPr>
          <w:p>
            <w:pPr>
              <w:spacing w:after="0"/>
              <w:rPr>
                <w:sz w:val="21"/>
                <w:szCs w:val="21"/>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1880" w:type="dxa"/>
            <w:vAlign w:val="bottom"/>
            <w:tcBorders>
              <w:bottom w:val="single" w:sz="8" w:color="auto"/>
            </w:tcBorders>
            <w:gridSpan w:val="3"/>
          </w:tcPr>
          <w:p>
            <w:pPr>
              <w:jc w:val="right"/>
              <w:ind w:right="35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gridSpan w:val="4"/>
          </w:tcPr>
          <w:p>
            <w:pPr>
              <w:jc w:val="right"/>
              <w:ind w:right="250"/>
              <w:spacing w:after="0" w:line="202" w:lineRule="exact"/>
              <w:rPr>
                <w:sz w:val="20"/>
                <w:szCs w:val="20"/>
                <w:color w:val="auto"/>
              </w:rPr>
            </w:pPr>
            <w:r>
              <w:rPr>
                <w:rFonts w:ascii="Times New Roman" w:cs="Times New Roman" w:eastAsia="Times New Roman" w:hAnsi="Times New Roman"/>
                <w:sz w:val="18"/>
                <w:szCs w:val="18"/>
                <w:b w:val="1"/>
                <w:bCs w:val="1"/>
                <w:color w:val="auto"/>
              </w:rPr>
              <w:t>Carrying Balance</w:t>
            </w:r>
          </w:p>
        </w:tc>
        <w:tc>
          <w:tcPr>
            <w:tcW w:w="60" w:type="dxa"/>
            <w:vAlign w:val="bottom"/>
            <w:tcBorders>
              <w:bottom w:val="single" w:sz="8" w:color="CCEEFF"/>
            </w:tcBorders>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198"/>
        </w:trPr>
        <w:tc>
          <w:tcPr>
            <w:tcW w:w="4840" w:type="dxa"/>
            <w:vAlign w:val="bottom"/>
          </w:tcPr>
          <w:p>
            <w:pPr>
              <w:ind w:left="100"/>
              <w:spacing w:after="0" w:line="198" w:lineRule="exact"/>
              <w:rPr>
                <w:sz w:val="20"/>
                <w:szCs w:val="20"/>
                <w:color w:val="auto"/>
              </w:rPr>
            </w:pPr>
            <w:r>
              <w:rPr>
                <w:rFonts w:ascii="Times New Roman" w:cs="Times New Roman" w:eastAsia="Times New Roman" w:hAnsi="Times New Roman"/>
                <w:sz w:val="18"/>
                <w:szCs w:val="18"/>
                <w:color w:val="auto"/>
              </w:rPr>
              <w:t>Accounts receivable securitization program (due December</w:t>
            </w: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8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2024)</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5.70 %</w:t>
            </w: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6.19 %</w:t>
            </w:r>
          </w:p>
        </w:tc>
        <w:tc>
          <w:tcPr>
            <w:tcW w:w="3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443,000</w:t>
            </w:r>
          </w:p>
        </w:tc>
        <w:tc>
          <w:tcPr>
            <w:tcW w:w="140" w:type="dxa"/>
            <w:vAlign w:val="bottom"/>
          </w:tcPr>
          <w:p>
            <w:pPr>
              <w:spacing w:after="0"/>
              <w:rPr>
                <w:sz w:val="20"/>
                <w:szCs w:val="20"/>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7"/>
              </w:rPr>
              <w:t>$ 415,100</w:t>
            </w:r>
          </w:p>
        </w:tc>
        <w:tc>
          <w:tcPr>
            <w:tcW w:w="60" w:type="dxa"/>
            <w:vAlign w:val="bottom"/>
          </w:tcPr>
          <w:p>
            <w:pPr>
              <w:spacing w:after="0"/>
              <w:rPr>
                <w:sz w:val="20"/>
                <w:szCs w:val="20"/>
                <w:color w:val="auto"/>
              </w:rPr>
            </w:pPr>
          </w:p>
        </w:tc>
      </w:tr>
      <w:tr>
        <w:trPr>
          <w:trHeight w:val="236"/>
        </w:trPr>
        <w:tc>
          <w:tcPr>
            <w:tcW w:w="4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short-term debt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4.62 %</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81,055</w:t>
            </w:r>
          </w:p>
        </w:tc>
        <w:tc>
          <w:tcPr>
            <w:tcW w:w="14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77,611</w:t>
            </w:r>
          </w:p>
        </w:tc>
        <w:tc>
          <w:tcPr>
            <w:tcW w:w="60" w:type="dxa"/>
            <w:vAlign w:val="bottom"/>
            <w:shd w:val="clear" w:color="auto" w:fill="CCEEFF"/>
          </w:tcPr>
          <w:p>
            <w:pPr>
              <w:spacing w:after="0"/>
              <w:rPr>
                <w:sz w:val="20"/>
                <w:szCs w:val="20"/>
                <w:color w:val="auto"/>
              </w:rPr>
            </w:pPr>
          </w:p>
        </w:tc>
      </w:tr>
      <w:tr>
        <w:trPr>
          <w:trHeight w:val="203"/>
        </w:trPr>
        <w:tc>
          <w:tcPr>
            <w:tcW w:w="4840" w:type="dxa"/>
            <w:vAlign w:val="bottom"/>
            <w:tcBorders>
              <w:top w:val="single" w:sz="8" w:color="CCEEFF"/>
            </w:tcBorders>
          </w:tcPr>
          <w:p>
            <w:pPr>
              <w:ind w:left="320"/>
              <w:spacing w:after="0" w:line="203" w:lineRule="exact"/>
              <w:rPr>
                <w:sz w:val="20"/>
                <w:szCs w:val="20"/>
                <w:color w:val="auto"/>
              </w:rPr>
            </w:pPr>
            <w:r>
              <w:rPr>
                <w:rFonts w:ascii="Times New Roman" w:cs="Times New Roman" w:eastAsia="Times New Roman" w:hAnsi="Times New Roman"/>
                <w:sz w:val="18"/>
                <w:szCs w:val="18"/>
                <w:color w:val="auto"/>
              </w:rPr>
              <w:t>Short-term debt</w:t>
            </w:r>
          </w:p>
        </w:tc>
        <w:tc>
          <w:tcPr>
            <w:tcW w:w="110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200" w:type="dxa"/>
            <w:vAlign w:val="bottom"/>
            <w:tcBorders>
              <w:top w:val="single" w:sz="8" w:color="auto"/>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524,055</w:t>
            </w:r>
          </w:p>
        </w:tc>
        <w:tc>
          <w:tcPr>
            <w:tcW w:w="140" w:type="dxa"/>
            <w:vAlign w:val="bottom"/>
            <w:tcBorders>
              <w:top w:val="single" w:sz="8" w:color="CCEEFF"/>
            </w:tcBorders>
          </w:tcPr>
          <w:p>
            <w:pPr>
              <w:spacing w:after="0"/>
              <w:rPr>
                <w:sz w:val="17"/>
                <w:szCs w:val="17"/>
                <w:color w:val="auto"/>
              </w:rPr>
            </w:pPr>
          </w:p>
        </w:tc>
        <w:tc>
          <w:tcPr>
            <w:tcW w:w="20" w:type="dxa"/>
            <w:vAlign w:val="bottom"/>
            <w:tcBorders>
              <w:top w:val="single" w:sz="8" w:color="CCEEFF"/>
              <w:bottom w:val="single" w:sz="8" w:color="auto"/>
            </w:tcBorders>
          </w:tcPr>
          <w:p>
            <w:pPr>
              <w:spacing w:after="0"/>
              <w:rPr>
                <w:sz w:val="17"/>
                <w:szCs w:val="17"/>
                <w:color w:val="auto"/>
              </w:rPr>
            </w:pP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w w:val="94"/>
              </w:rPr>
              <w:t>$ 492,711</w:t>
            </w:r>
          </w:p>
        </w:tc>
        <w:tc>
          <w:tcPr>
            <w:tcW w:w="60" w:type="dxa"/>
            <w:vAlign w:val="bottom"/>
            <w:tcBorders>
              <w:top w:val="single" w:sz="8" w:color="CCEEFF"/>
            </w:tcBorders>
          </w:tcPr>
          <w:p>
            <w:pPr>
              <w:spacing w:after="0"/>
              <w:rPr>
                <w:sz w:val="17"/>
                <w:szCs w:val="17"/>
                <w:color w:val="auto"/>
              </w:rPr>
            </w:pPr>
          </w:p>
        </w:tc>
      </w:tr>
      <w:tr>
        <w:trPr>
          <w:trHeight w:val="20"/>
        </w:trPr>
        <w:tc>
          <w:tcPr>
            <w:tcW w:w="48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119" w:firstLine="432"/>
        <w:spacing w:after="0" w:line="271" w:lineRule="auto"/>
        <w:rPr>
          <w:sz w:val="20"/>
          <w:szCs w:val="20"/>
          <w:color w:val="auto"/>
        </w:rPr>
      </w:pPr>
      <w:r>
        <w:rPr>
          <w:rFonts w:ascii="Times New Roman" w:cs="Times New Roman" w:eastAsia="Times New Roman" w:hAnsi="Times New Roman"/>
          <w:sz w:val="17"/>
          <w:szCs w:val="17"/>
          <w:color w:val="auto"/>
        </w:rPr>
        <w:t>The Company has a trade accounts receivable securitization program (the “Securitization Program”) in the United States with a group of financial institutions. The Securitization Program allows the Company to transfer, on an ongoing revolving basis, an undivided interest in a designated pool of trade accounts receivable, to provide security or collateral for borrowings of up to $700 million. The Securitization Program does not qualify for off balance sheet accounting treatment and any borrowings under the Securitization Program are recorded as debt in the consolidated balance sheets. Under the Securitization Program, the Company legally sells and isolates certain U.S. trade accounts receivable into a wholly owned and consolidated bankruptcy remote special purpose entity. Such receivables, which are recorded within “Receivables” in the consolidated balance sheets, totaled $1.01 billion and $1.05 billion at September 28, 2024, and June 29, 2024, respectively. The Securitization Program contains certain covenants relating to the quality of the receivables sold.</w:t>
      </w:r>
    </w:p>
    <w:p>
      <w:pPr>
        <w:spacing w:after="0" w:line="173" w:lineRule="exact"/>
        <w:rPr>
          <w:sz w:val="20"/>
          <w:szCs w:val="20"/>
          <w:color w:val="auto"/>
        </w:rPr>
      </w:pPr>
    </w:p>
    <w:p>
      <w:pPr>
        <w:ind w:left="60" w:right="319" w:firstLine="432"/>
        <w:spacing w:after="0" w:line="266" w:lineRule="auto"/>
        <w:rPr>
          <w:sz w:val="20"/>
          <w:szCs w:val="20"/>
          <w:color w:val="auto"/>
        </w:rPr>
      </w:pPr>
      <w:r>
        <w:rPr>
          <w:rFonts w:ascii="Times New Roman" w:cs="Times New Roman" w:eastAsia="Times New Roman" w:hAnsi="Times New Roman"/>
          <w:sz w:val="18"/>
          <w:szCs w:val="18"/>
          <w:color w:val="auto"/>
        </w:rPr>
        <w:t>Other short-term debt consists of various committed and uncommitted lines of credit and other forms of bank debt with financial institutions utilized primarily to support the ongoing working capital requirements of the Company, including its foreign operations.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Long-term debt consists of the following (carrying balances in thousands):</w:t>
      </w:r>
    </w:p>
    <w:p>
      <w:pPr>
        <w:spacing w:after="0" w:line="19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8"/>
              </w:rPr>
              <w:t>September 28,</w:t>
            </w:r>
          </w:p>
        </w:tc>
        <w:tc>
          <w:tcPr>
            <w:tcW w:w="204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June 29, September 28,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4740" w:type="dxa"/>
            <w:vAlign w:val="bottom"/>
          </w:tcPr>
          <w:p>
            <w:pPr>
              <w:spacing w:after="0"/>
              <w:rPr>
                <w:sz w:val="21"/>
                <w:szCs w:val="21"/>
                <w:color w:val="auto"/>
              </w:rPr>
            </w:pPr>
          </w:p>
        </w:tc>
        <w:tc>
          <w:tcPr>
            <w:tcW w:w="11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6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60" w:type="dxa"/>
            <w:vAlign w:val="bottom"/>
          </w:tcPr>
          <w:p>
            <w:pPr>
              <w:spacing w:after="0"/>
              <w:rPr>
                <w:sz w:val="21"/>
                <w:szCs w:val="21"/>
                <w:color w:val="auto"/>
              </w:rPr>
            </w:pPr>
          </w:p>
        </w:tc>
      </w:tr>
      <w:tr>
        <w:trPr>
          <w:trHeight w:val="210"/>
        </w:trPr>
        <w:tc>
          <w:tcPr>
            <w:tcW w:w="4740" w:type="dxa"/>
            <w:vAlign w:val="bottom"/>
            <w:tcBorders>
              <w:bottom w:val="single" w:sz="8" w:color="CCEEFF"/>
            </w:tcBorders>
          </w:tcPr>
          <w:p>
            <w:pPr>
              <w:spacing w:after="0"/>
              <w:rPr>
                <w:sz w:val="18"/>
                <w:szCs w:val="18"/>
                <w:color w:val="auto"/>
              </w:rPr>
            </w:pPr>
          </w:p>
        </w:tc>
        <w:tc>
          <w:tcPr>
            <w:tcW w:w="1940" w:type="dxa"/>
            <w:vAlign w:val="bottom"/>
            <w:tcBorders>
              <w:bottom w:val="single" w:sz="8" w:color="auto"/>
            </w:tcBorders>
            <w:gridSpan w:val="3"/>
          </w:tcPr>
          <w:p>
            <w:pPr>
              <w:ind w:left="460"/>
              <w:spacing w:after="0" w:line="202" w:lineRule="exact"/>
              <w:rPr>
                <w:sz w:val="20"/>
                <w:szCs w:val="20"/>
                <w:color w:val="auto"/>
              </w:rPr>
            </w:pPr>
            <w:r>
              <w:rPr>
                <w:rFonts w:ascii="Times New Roman" w:cs="Times New Roman" w:eastAsia="Times New Roman" w:hAnsi="Times New Roman"/>
                <w:sz w:val="18"/>
                <w:szCs w:val="18"/>
                <w:b w:val="1"/>
                <w:bCs w:val="1"/>
                <w:color w:val="auto"/>
              </w:rPr>
              <w:t>Interest Rate</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spacing w:after="0" w:line="202" w:lineRule="exact"/>
              <w:rPr>
                <w:sz w:val="20"/>
                <w:szCs w:val="20"/>
                <w:color w:val="auto"/>
              </w:rPr>
            </w:pPr>
            <w:r>
              <w:rPr>
                <w:rFonts w:ascii="Times New Roman" w:cs="Times New Roman" w:eastAsia="Times New Roman" w:hAnsi="Times New Roman"/>
                <w:sz w:val="18"/>
                <w:szCs w:val="18"/>
                <w:b w:val="1"/>
                <w:bCs w:val="1"/>
                <w:color w:val="auto"/>
              </w:rPr>
              <w:t>Balance</w:t>
            </w:r>
          </w:p>
        </w:tc>
        <w:tc>
          <w:tcPr>
            <w:tcW w:w="60" w:type="dxa"/>
            <w:vAlign w:val="bottom"/>
            <w:tcBorders>
              <w:bottom w:val="single" w:sz="8" w:color="CCEEFF"/>
            </w:tcBorders>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facilities: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Credit Facility (due August 2027)</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5.05 %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5.05 %</w:t>
            </w:r>
          </w:p>
        </w:tc>
        <w:tc>
          <w:tcPr>
            <w:tcW w:w="3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768,612</w:t>
            </w: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745,480</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debt</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4.74 %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23,059</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22,748</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Public notes due:</w:t>
            </w: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April 2026</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4.63 %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60" w:type="dxa"/>
            <w:vAlign w:val="bottom"/>
            <w:shd w:val="clear" w:color="auto" w:fill="CCEEFF"/>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May 2031</w:t>
            </w:r>
          </w:p>
        </w:tc>
        <w:tc>
          <w:tcPr>
            <w:tcW w:w="1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3.00 %</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3.00 %</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tcPr>
          <w:p>
            <w:pPr>
              <w:spacing w:after="0"/>
              <w:rPr>
                <w:sz w:val="18"/>
                <w:szCs w:val="18"/>
                <w:color w:val="auto"/>
              </w:rPr>
            </w:pPr>
          </w:p>
        </w:tc>
      </w:tr>
      <w:tr>
        <w:trPr>
          <w:trHeight w:val="216"/>
        </w:trPr>
        <w:tc>
          <w:tcPr>
            <w:tcW w:w="47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June 2032</w:t>
            </w:r>
          </w:p>
        </w:tc>
        <w:tc>
          <w:tcPr>
            <w:tcW w:w="1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5.50 %</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60" w:type="dxa"/>
            <w:vAlign w:val="bottom"/>
            <w:shd w:val="clear" w:color="auto" w:fill="CCEEFF"/>
          </w:tcPr>
          <w:p>
            <w:pPr>
              <w:spacing w:after="0"/>
              <w:rPr>
                <w:sz w:val="18"/>
                <w:szCs w:val="18"/>
                <w:color w:val="auto"/>
              </w:rPr>
            </w:pPr>
          </w:p>
        </w:tc>
      </w:tr>
      <w:tr>
        <w:trPr>
          <w:trHeight w:val="223"/>
        </w:trPr>
        <w:tc>
          <w:tcPr>
            <w:tcW w:w="474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March 2028</w:t>
            </w:r>
          </w:p>
        </w:tc>
        <w:tc>
          <w:tcPr>
            <w:tcW w:w="1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6.25 %</w:t>
            </w:r>
          </w:p>
        </w:tc>
        <w:tc>
          <w:tcPr>
            <w:tcW w:w="84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6.25 %</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60" w:type="dxa"/>
            <w:vAlign w:val="bottom"/>
            <w:tcBorders>
              <w:bottom w:val="single" w:sz="8" w:color="CCEEFF"/>
            </w:tcBorders>
          </w:tcPr>
          <w:p>
            <w:pPr>
              <w:spacing w:after="0"/>
              <w:rPr>
                <w:sz w:val="19"/>
                <w:szCs w:val="19"/>
                <w:color w:val="auto"/>
              </w:rPr>
            </w:pPr>
          </w:p>
        </w:tc>
      </w:tr>
      <w:tr>
        <w:trPr>
          <w:trHeight w:val="216"/>
        </w:trPr>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before discount and debt issuance costs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2,441,671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2,418,228</w:t>
            </w:r>
          </w:p>
        </w:tc>
        <w:tc>
          <w:tcPr>
            <w:tcW w:w="60" w:type="dxa"/>
            <w:vAlign w:val="bottom"/>
            <w:shd w:val="clear" w:color="auto" w:fill="CCEEFF"/>
          </w:tcPr>
          <w:p>
            <w:pPr>
              <w:spacing w:after="0"/>
              <w:rPr>
                <w:sz w:val="18"/>
                <w:szCs w:val="18"/>
                <w:color w:val="auto"/>
              </w:rPr>
            </w:pPr>
          </w:p>
        </w:tc>
      </w:tr>
      <w:tr>
        <w:trPr>
          <w:trHeight w:val="223"/>
        </w:trPr>
        <w:tc>
          <w:tcPr>
            <w:tcW w:w="4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Discount and debt issuance costs – unamortized</w:t>
            </w:r>
          </w:p>
        </w:tc>
        <w:tc>
          <w:tcPr>
            <w:tcW w:w="110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(10,941)</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(11,599)</w:t>
            </w:r>
          </w:p>
        </w:tc>
        <w:tc>
          <w:tcPr>
            <w:tcW w:w="60" w:type="dxa"/>
            <w:vAlign w:val="bottom"/>
            <w:tcBorders>
              <w:bottom w:val="single" w:sz="8" w:color="CCEEFF"/>
            </w:tcBorders>
          </w:tcPr>
          <w:p>
            <w:pPr>
              <w:spacing w:after="0"/>
              <w:rPr>
                <w:sz w:val="19"/>
                <w:szCs w:val="19"/>
                <w:color w:val="auto"/>
              </w:rPr>
            </w:pPr>
          </w:p>
        </w:tc>
      </w:tr>
      <w:tr>
        <w:trPr>
          <w:trHeight w:val="216"/>
        </w:trPr>
        <w:tc>
          <w:tcPr>
            <w:tcW w:w="47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Long-term debt</w:t>
            </w:r>
          </w:p>
        </w:tc>
        <w:tc>
          <w:tcPr>
            <w:tcW w:w="1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2,430,730</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2,406,629</w:t>
            </w:r>
          </w:p>
        </w:tc>
        <w:tc>
          <w:tcPr>
            <w:tcW w:w="60" w:type="dxa"/>
            <w:vAlign w:val="bottom"/>
            <w:tcBorders>
              <w:bottom w:val="single" w:sz="8" w:color="CCEEFF"/>
            </w:tcBorders>
            <w:shd w:val="clear" w:color="auto" w:fill="CCEEFF"/>
          </w:tcPr>
          <w:p>
            <w:pPr>
              <w:spacing w:after="0"/>
              <w:rPr>
                <w:sz w:val="18"/>
                <w:szCs w:val="18"/>
                <w:color w:val="auto"/>
              </w:rPr>
            </w:pPr>
          </w:p>
        </w:tc>
      </w:tr>
      <w:tr>
        <w:trPr>
          <w:trHeight w:val="20"/>
        </w:trPr>
        <w:tc>
          <w:tcPr>
            <w:tcW w:w="4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71" w:lineRule="exact"/>
        <w:rPr>
          <w:sz w:val="20"/>
          <w:szCs w:val="20"/>
          <w:color w:val="auto"/>
        </w:rPr>
      </w:pPr>
    </w:p>
    <w:p>
      <w:pPr>
        <w:jc w:val="both"/>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 has a five-year $1.50 billion revolving credit facility (the “Credit Facility”) with a syndicate of banks, which expires in August 2027. It consists of revolving credit facilities and the issuance of up to $200.0 million of letters of credit and up to $300.0 million of loans in certain approved currencies. As of September 28, 2024, and June 29, 2024, there were $0.9 million in letters of credit issued under the Credit Facility. Under the Credit Facility, the Company</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199"/>
        <w:spacing w:after="0" w:line="261" w:lineRule="auto"/>
        <w:rPr>
          <w:sz w:val="20"/>
          <w:szCs w:val="20"/>
          <w:color w:val="auto"/>
        </w:rPr>
      </w:pPr>
      <w:r>
        <w:rPr>
          <w:rFonts w:ascii="Times New Roman" w:cs="Times New Roman" w:eastAsia="Times New Roman" w:hAnsi="Times New Roman"/>
          <w:sz w:val="18"/>
          <w:szCs w:val="18"/>
          <w:color w:val="auto"/>
        </w:rPr>
        <w:t>may select from various interest rate options, currencies, and maturities. The Credit Facility contains certain covenants, including various limitations on debt incurrence, share repurchases, dividends, investments, and capital expenditures. The Credit Facility also includes a financial covenant requiring the Company to maintain a leverage ratio not to exceed a certain threshold, which the Company was in compliance with as of September 28, 2024, and June 29, 2024.</w:t>
      </w:r>
    </w:p>
    <w:p>
      <w:pPr>
        <w:spacing w:after="0" w:line="180" w:lineRule="exact"/>
        <w:rPr>
          <w:sz w:val="20"/>
          <w:szCs w:val="20"/>
          <w:color w:val="auto"/>
        </w:rPr>
      </w:pPr>
    </w:p>
    <w:p>
      <w:pPr>
        <w:jc w:val="both"/>
        <w:ind w:left="60" w:right="199" w:firstLine="427"/>
        <w:spacing w:after="0" w:line="281" w:lineRule="auto"/>
        <w:rPr>
          <w:sz w:val="20"/>
          <w:szCs w:val="20"/>
          <w:color w:val="auto"/>
        </w:rPr>
      </w:pPr>
      <w:r>
        <w:rPr>
          <w:rFonts w:ascii="Times New Roman" w:cs="Times New Roman" w:eastAsia="Times New Roman" w:hAnsi="Times New Roman"/>
          <w:sz w:val="17"/>
          <w:szCs w:val="17"/>
          <w:color w:val="auto"/>
        </w:rPr>
        <w:t>As of September 28, 2024, the carrying value and fair value of the Company’s total debt was $2.95 billion. At June 29, 2024, the carrying value and fair value of the Company’s total debt was $2.90 billion and $2.85 billion, respectively. Fair value for public notes was estimated based on quoted market prices (Level 1) and, for other forms of debt, fair value approximates carrying value due to the market based variable nature of the interest rates on those debt facilities (Level 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Derivative financial instruments</w:t>
      </w:r>
    </w:p>
    <w:p>
      <w:pPr>
        <w:spacing w:after="0" w:line="189" w:lineRule="exact"/>
        <w:rPr>
          <w:sz w:val="20"/>
          <w:szCs w:val="20"/>
          <w:color w:val="auto"/>
        </w:rPr>
      </w:pPr>
    </w:p>
    <w:p>
      <w:pPr>
        <w:ind w:left="60" w:right="199" w:firstLine="427"/>
        <w:spacing w:after="0" w:line="255" w:lineRule="auto"/>
        <w:rPr>
          <w:sz w:val="20"/>
          <w:szCs w:val="20"/>
          <w:color w:val="auto"/>
        </w:rPr>
      </w:pPr>
      <w:r>
        <w:rPr>
          <w:rFonts w:ascii="Times New Roman" w:cs="Times New Roman" w:eastAsia="Times New Roman" w:hAnsi="Times New Roman"/>
          <w:sz w:val="18"/>
          <w:szCs w:val="18"/>
          <w:color w:val="auto"/>
        </w:rPr>
        <w:t>Many of the Company’s subsidiaries purchase and sell products in currencies other than their functional currencies, which subjects the Company to the risks associated with fluctuations in currency exchange rates. This foreign currency exposure relates primarily to international transactions where the currency collected from customers can be different from the currency used to purchase from suppliers. The Company’s transactions are denominated primarily in the following currencies: U.S. Dollar, Euro, British Pound, Japanese Yen, Chinese Yuan, Taiwan Dollar, Canadian Dollar, and Mexican Peso. The Company also, to a lesser extent, has foreign operations transactions in other EMEA and Asian foreign currencies.</w:t>
      </w:r>
    </w:p>
    <w:p>
      <w:pPr>
        <w:spacing w:after="0" w:line="187" w:lineRule="exact"/>
        <w:rPr>
          <w:sz w:val="20"/>
          <w:szCs w:val="20"/>
          <w:color w:val="auto"/>
        </w:rPr>
      </w:pPr>
    </w:p>
    <w:p>
      <w:pPr>
        <w:ind w:left="60" w:right="99" w:firstLine="427"/>
        <w:spacing w:after="0" w:line="270" w:lineRule="auto"/>
        <w:rPr>
          <w:sz w:val="20"/>
          <w:szCs w:val="20"/>
          <w:color w:val="auto"/>
        </w:rPr>
      </w:pPr>
      <w:r>
        <w:rPr>
          <w:rFonts w:ascii="Times New Roman" w:cs="Times New Roman" w:eastAsia="Times New Roman" w:hAnsi="Times New Roman"/>
          <w:sz w:val="17"/>
          <w:szCs w:val="17"/>
          <w:color w:val="auto"/>
        </w:rPr>
        <w:t>The Company uses economic hedges to reduce this risk utilizing natural hedging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offsetting receivables and payables in the same foreign currency) and creating offsetting positions using derivative financial instruments (primarily forward foreign exchange contracts typically with maturities of less than 60 days, but no longer than one year). The Company continues to have exposure to foreign currency risks to the extent they are not economically hedged. The fair value of forward foreign exchange contracts is based on Level 2 criteria under the ASC 820 fair value hierarchy. The Company’s master netting and other similar arrangements with various financial institutions related to derivative financial instruments allow for the right of offset. The Company’s policy is to present derivative financial instruments with the same counterparty as either a net asset or liability when the right of offset exists. Under the Company’s economic hedging policies, gains and losses on the derivative financial instruments are classified within the same line item in the consolidated statements of operations as the remeasurement of the underlying assets or liabilities being economically hedged.</w:t>
      </w:r>
    </w:p>
    <w:p>
      <w:pPr>
        <w:spacing w:after="0" w:line="179"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The Company has a fixed-to-fixed rate cross currency swap (the “cross-currency swap”) with a notional amount of $500.0 million, or €472.6 million, that is set to mature in March 2028. The Company designated this derivative contract as a net investment hedge of its European operations and elected the spot method for measuring hedge effectiveness. Changes in fair value of the cross-currency swap is presented in “Accumulated other comprehensive loss” in the consolidated balance sheets. Amounts related to the cross-currency swap recognized directly in net income represent net periodic interest settlements and accruals, which are recognized in “Interest and other financing expenses, net,” on the consolidated statements of operations. The fair value of the cross-currency swaps is based on Level 2 criteria under the ASC 820 fair value hierarchy.</w:t>
      </w:r>
    </w:p>
    <w:p>
      <w:pPr>
        <w:spacing w:after="0" w:line="192" w:lineRule="exact"/>
        <w:rPr>
          <w:sz w:val="20"/>
          <w:szCs w:val="20"/>
          <w:color w:val="auto"/>
        </w:rPr>
      </w:pPr>
    </w:p>
    <w:p>
      <w:pPr>
        <w:ind w:left="60" w:right="139" w:firstLine="427"/>
        <w:spacing w:after="0" w:line="266" w:lineRule="auto"/>
        <w:rPr>
          <w:sz w:val="20"/>
          <w:szCs w:val="20"/>
          <w:color w:val="auto"/>
        </w:rPr>
      </w:pPr>
      <w:r>
        <w:rPr>
          <w:rFonts w:ascii="Times New Roman" w:cs="Times New Roman" w:eastAsia="Times New Roman" w:hAnsi="Times New Roman"/>
          <w:sz w:val="18"/>
          <w:szCs w:val="18"/>
          <w:color w:val="auto"/>
        </w:rPr>
        <w:t>The Company uses these derivative financial instruments to manage risks associated with foreign currency exchange rates and interest rates. The Company does not enter derivative financial instruments for trading or speculative purposes and monitors the financial stability and credit standing of its counterparties.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540" w:firstLine="427"/>
        <w:spacing w:after="0" w:line="282" w:lineRule="auto"/>
        <w:rPr>
          <w:sz w:val="20"/>
          <w:szCs w:val="20"/>
          <w:color w:val="auto"/>
        </w:rPr>
      </w:pPr>
      <w:r>
        <w:rPr>
          <w:rFonts w:ascii="Times New Roman" w:cs="Times New Roman" w:eastAsia="Times New Roman" w:hAnsi="Times New Roman"/>
          <w:sz w:val="18"/>
          <w:szCs w:val="18"/>
          <w:color w:val="auto"/>
        </w:rPr>
        <w:t>The locations and fair values of the Company’s derivative financial instruments in the Company’s consolidated balance sheets are as follows:</w:t>
      </w:r>
    </w:p>
    <w:p>
      <w:pPr>
        <w:spacing w:after="0" w:line="13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660" w:type="dxa"/>
            <w:vAlign w:val="bottom"/>
          </w:tcPr>
          <w:p>
            <w:pPr>
              <w:spacing w:after="0"/>
              <w:rPr>
                <w:sz w:val="18"/>
                <w:szCs w:val="18"/>
                <w:color w:val="auto"/>
              </w:rPr>
            </w:pPr>
          </w:p>
        </w:tc>
        <w:tc>
          <w:tcPr>
            <w:tcW w:w="13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28,</w:t>
            </w:r>
          </w:p>
        </w:tc>
        <w:tc>
          <w:tcPr>
            <w:tcW w:w="120" w:type="dxa"/>
            <w:vAlign w:val="bottom"/>
          </w:tcPr>
          <w:p>
            <w:pPr>
              <w:spacing w:after="0"/>
              <w:rPr>
                <w:sz w:val="18"/>
                <w:szCs w:val="18"/>
                <w:color w:val="auto"/>
              </w:rPr>
            </w:pPr>
          </w:p>
        </w:tc>
        <w:tc>
          <w:tcPr>
            <w:tcW w:w="8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June 29,</w:t>
            </w:r>
          </w:p>
        </w:tc>
      </w:tr>
      <w:tr>
        <w:trPr>
          <w:trHeight w:val="245"/>
        </w:trPr>
        <w:tc>
          <w:tcPr>
            <w:tcW w:w="66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02"/>
        </w:trPr>
        <w:tc>
          <w:tcPr>
            <w:tcW w:w="6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0" w:type="dxa"/>
            <w:vAlign w:val="bottom"/>
            <w:gridSpan w:val="4"/>
          </w:tcPr>
          <w:p>
            <w:pPr>
              <w:jc w:val="right"/>
              <w:ind w:right="5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6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6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11,990</w:t>
            </w:r>
          </w:p>
        </w:tc>
        <w:tc>
          <w:tcPr>
            <w:tcW w:w="1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other</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16,957</w:t>
            </w: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Cross-currency swap</w:t>
            </w: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6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16,241</w:t>
            </w:r>
          </w:p>
        </w:tc>
      </w:tr>
    </w:tbl>
    <w:p>
      <w:pPr>
        <w:spacing w:after="0" w:line="198" w:lineRule="exact"/>
        <w:rPr>
          <w:sz w:val="20"/>
          <w:szCs w:val="20"/>
          <w:color w:val="auto"/>
        </w:rPr>
      </w:pPr>
    </w:p>
    <w:p>
      <w:pPr>
        <w:ind w:left="60" w:right="480" w:firstLine="427"/>
        <w:spacing w:after="0" w:line="282" w:lineRule="auto"/>
        <w:rPr>
          <w:sz w:val="20"/>
          <w:szCs w:val="20"/>
          <w:color w:val="auto"/>
        </w:rPr>
      </w:pPr>
      <w:r>
        <w:rPr>
          <w:rFonts w:ascii="Times New Roman" w:cs="Times New Roman" w:eastAsia="Times New Roman" w:hAnsi="Times New Roman"/>
          <w:sz w:val="18"/>
          <w:szCs w:val="18"/>
          <w:color w:val="auto"/>
        </w:rPr>
        <w:t>The locations of derivative financial instruments on the Company’s consolidated statements of operations are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18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460" w:type="dxa"/>
            <w:vAlign w:val="bottom"/>
            <w:gridSpan w:val="5"/>
          </w:tcPr>
          <w:p>
            <w:pPr>
              <w:ind w:left="26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1800" w:type="dxa"/>
            <w:vAlign w:val="bottom"/>
          </w:tcPr>
          <w:p>
            <w:pPr>
              <w:spacing w:after="0"/>
              <w:rPr>
                <w:sz w:val="16"/>
                <w:szCs w:val="16"/>
                <w:color w:val="auto"/>
              </w:rPr>
            </w:pPr>
          </w:p>
        </w:tc>
        <w:tc>
          <w:tcPr>
            <w:tcW w:w="4480" w:type="dxa"/>
            <w:vAlign w:val="bottom"/>
          </w:tcPr>
          <w:p>
            <w:pPr>
              <w:spacing w:after="0"/>
              <w:rPr>
                <w:sz w:val="16"/>
                <w:szCs w:val="16"/>
                <w:color w:val="auto"/>
              </w:rPr>
            </w:pPr>
          </w:p>
        </w:tc>
        <w:tc>
          <w:tcPr>
            <w:tcW w:w="1420" w:type="dxa"/>
            <w:vAlign w:val="bottom"/>
            <w:tcBorders>
              <w:top w:val="single" w:sz="8" w:color="auto"/>
            </w:tcBorders>
            <w:gridSpan w:val="3"/>
          </w:tcPr>
          <w:p>
            <w:pPr>
              <w:ind w:left="8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8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right"/>
              <w:ind w:right="10"/>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20" w:type="dxa"/>
            <w:vAlign w:val="bottom"/>
          </w:tcPr>
          <w:p>
            <w:pPr>
              <w:spacing w:after="0"/>
              <w:rPr>
                <w:sz w:val="16"/>
                <w:szCs w:val="16"/>
                <w:color w:val="auto"/>
              </w:rPr>
            </w:pPr>
          </w:p>
        </w:tc>
      </w:tr>
      <w:tr>
        <w:trPr>
          <w:trHeight w:val="245"/>
        </w:trPr>
        <w:tc>
          <w:tcPr>
            <w:tcW w:w="180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1800" w:type="dxa"/>
            <w:vAlign w:val="bottom"/>
          </w:tcPr>
          <w:p>
            <w:pPr>
              <w:spacing w:after="0"/>
              <w:rPr>
                <w:sz w:val="17"/>
                <w:szCs w:val="17"/>
                <w:color w:val="auto"/>
              </w:rPr>
            </w:pPr>
          </w:p>
        </w:tc>
        <w:tc>
          <w:tcPr>
            <w:tcW w:w="4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40" w:type="dxa"/>
            <w:vAlign w:val="bottom"/>
            <w:gridSpan w:val="4"/>
          </w:tcPr>
          <w:p>
            <w:pPr>
              <w:jc w:val="right"/>
              <w:ind w:right="7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1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Economic hedges</w:t>
            </w:r>
          </w:p>
        </w:tc>
        <w:tc>
          <w:tcPr>
            <w:tcW w:w="448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24,037</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w:t>
            </w:r>
          </w:p>
        </w:tc>
        <w:tc>
          <w:tcPr>
            <w:tcW w:w="20" w:type="dxa"/>
            <w:vAlign w:val="bottom"/>
          </w:tcPr>
          <w:p>
            <w:pPr>
              <w:spacing w:after="0"/>
              <w:rPr>
                <w:sz w:val="18"/>
                <w:szCs w:val="18"/>
                <w:color w:val="auto"/>
              </w:rPr>
            </w:pPr>
          </w:p>
        </w:tc>
      </w:tr>
      <w:tr>
        <w:trPr>
          <w:trHeight w:val="234"/>
        </w:trPr>
        <w:tc>
          <w:tcPr>
            <w:tcW w:w="1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Cross currency swap</w:t>
            </w:r>
          </w:p>
        </w:tc>
        <w:tc>
          <w:tcPr>
            <w:tcW w:w="448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Interest and other financing expense, net</w:t>
            </w:r>
          </w:p>
        </w:tc>
        <w:tc>
          <w:tcPr>
            <w:tcW w:w="260" w:type="dxa"/>
            <w:vAlign w:val="bottom"/>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18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0"/>
                <w:szCs w:val="20"/>
                <w:color w:val="auto"/>
              </w:rPr>
            </w:pPr>
          </w:p>
        </w:tc>
      </w:tr>
    </w:tbl>
    <w:p>
      <w:pPr>
        <w:spacing w:after="0" w:line="13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89" w:lineRule="exact"/>
        <w:rPr>
          <w:sz w:val="20"/>
          <w:szCs w:val="20"/>
          <w:color w:val="auto"/>
        </w:rPr>
      </w:pPr>
    </w:p>
    <w:p>
      <w:pPr>
        <w:ind w:left="60" w:right="180" w:firstLine="427"/>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become a party to, or be otherwise involved in, various lawsuits, claims, investigations, and other legal proceedings arising in the ordinary course of conducting its business. While litigation is subject to inherent uncertainties, management does not anticipate that any such matters will have a material adverse effect on the Company’s financial condition, liquidity, or results of operations.</w:t>
      </w:r>
    </w:p>
    <w:p>
      <w:pPr>
        <w:spacing w:after="0" w:line="180" w:lineRule="exact"/>
        <w:rPr>
          <w:sz w:val="20"/>
          <w:szCs w:val="20"/>
          <w:color w:val="auto"/>
        </w:rPr>
      </w:pPr>
    </w:p>
    <w:p>
      <w:pPr>
        <w:ind w:left="60" w:right="140" w:firstLine="427"/>
        <w:spacing w:after="0" w:line="256" w:lineRule="auto"/>
        <w:rPr>
          <w:sz w:val="20"/>
          <w:szCs w:val="20"/>
          <w:color w:val="auto"/>
        </w:rPr>
      </w:pPr>
      <w:r>
        <w:rPr>
          <w:rFonts w:ascii="Times New Roman" w:cs="Times New Roman" w:eastAsia="Times New Roman" w:hAnsi="Times New Roman"/>
          <w:sz w:val="18"/>
          <w:szCs w:val="18"/>
          <w:color w:val="auto"/>
        </w:rPr>
        <w:t>The Company is also currently subject to various pending and potential legal matters and investigations relating to compliance with governmental laws and regulations. For certain of these matters, it is not possible to determine the ultimate outcome, and the Company cannot reasonably estimate the maximum potential exposure or the range of possible loss, particularly regarding matters in early stages.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87" w:lineRule="exact"/>
        <w:rPr>
          <w:sz w:val="20"/>
          <w:szCs w:val="20"/>
          <w:color w:val="auto"/>
        </w:rPr>
      </w:pPr>
    </w:p>
    <w:p>
      <w:pPr>
        <w:ind w:left="60" w:right="200" w:firstLine="427"/>
        <w:spacing w:after="0" w:line="266" w:lineRule="auto"/>
        <w:rPr>
          <w:sz w:val="20"/>
          <w:szCs w:val="20"/>
          <w:color w:val="auto"/>
        </w:rPr>
      </w:pPr>
      <w:r>
        <w:rPr>
          <w:rFonts w:ascii="Times New Roman" w:cs="Times New Roman" w:eastAsia="Times New Roman" w:hAnsi="Times New Roman"/>
          <w:sz w:val="18"/>
          <w:szCs w:val="18"/>
          <w:color w:val="auto"/>
        </w:rPr>
        <w:t>As of September 28, 2024, and June 29, 2024, the Company had aggregate estimated liabilities of $13.7 million and $17.2 million, respectively, classified within accrued expenses and other for such compliance-related matters that were reasonably estimable as of such dates.</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Gain on Legal Settlements and Other</w:t>
      </w:r>
    </w:p>
    <w:p>
      <w:pPr>
        <w:spacing w:after="0" w:line="187" w:lineRule="exact"/>
        <w:rPr>
          <w:sz w:val="20"/>
          <w:szCs w:val="20"/>
          <w:color w:val="auto"/>
        </w:rPr>
      </w:pPr>
    </w:p>
    <w:p>
      <w:pPr>
        <w:jc w:val="both"/>
        <w:ind w:left="60" w:right="240" w:firstLine="427"/>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2024, the Company recorded a gain on legal settlements and other of $86.5 million in connection with the settlements of claims filed against certain manufacturers of capacitors, which was also realized in cash that same quarter.</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Income taxes</w:t>
      </w:r>
    </w:p>
    <w:p>
      <w:pPr>
        <w:spacing w:after="0" w:line="202" w:lineRule="exact"/>
        <w:rPr>
          <w:sz w:val="20"/>
          <w:szCs w:val="20"/>
          <w:color w:val="auto"/>
        </w:rPr>
      </w:pPr>
    </w:p>
    <w:p>
      <w:pPr>
        <w:ind w:left="60" w:right="80" w:firstLine="427"/>
        <w:spacing w:after="0" w:line="282" w:lineRule="auto"/>
        <w:rPr>
          <w:sz w:val="20"/>
          <w:szCs w:val="20"/>
          <w:color w:val="auto"/>
        </w:rPr>
      </w:pPr>
      <w:r>
        <w:rPr>
          <w:rFonts w:ascii="Times New Roman" w:cs="Times New Roman" w:eastAsia="Times New Roman" w:hAnsi="Times New Roman"/>
          <w:sz w:val="18"/>
          <w:szCs w:val="18"/>
          <w:color w:val="auto"/>
        </w:rPr>
        <w:t>The below discussion of the effective tax rate for the periods presented in the consolidated statements of operations is in comparison to the 21% U.S. statutory federal income tax rate.</w:t>
      </w: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20"/>
          </w:cols>
          <w:pgMar w:left="1440" w:top="540" w:right="1439"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00" w:lineRule="exact"/>
        <w:rPr>
          <w:sz w:val="20"/>
          <w:szCs w:val="20"/>
          <w:color w:val="auto"/>
        </w:rPr>
      </w:pPr>
    </w:p>
    <w:p>
      <w:pPr>
        <w:spacing w:after="0" w:line="259" w:lineRule="exact"/>
        <w:rPr>
          <w:sz w:val="20"/>
          <w:szCs w:val="20"/>
          <w:color w:val="auto"/>
        </w:rPr>
      </w:pPr>
    </w:p>
    <w:p>
      <w:pPr>
        <w:ind w:left="60" w:right="59" w:firstLine="427"/>
        <w:spacing w:after="0" w:line="261" w:lineRule="auto"/>
        <w:rPr>
          <w:sz w:val="20"/>
          <w:szCs w:val="20"/>
          <w:color w:val="auto"/>
        </w:rPr>
      </w:pPr>
      <w:r>
        <w:rPr>
          <w:rFonts w:ascii="Times New Roman" w:cs="Times New Roman" w:eastAsia="Times New Roman" w:hAnsi="Times New Roman"/>
          <w:sz w:val="18"/>
          <w:szCs w:val="18"/>
          <w:color w:val="auto"/>
        </w:rPr>
        <w:t>The Company’s effective tax rate on its income before taxes was 21.1% in the first quarter of fiscal 2025. During the first quarter of fiscal 2025, the Company’s effective tax rate was unfavorably impacted primarily by (i) increases to unrecognized tax benefit reserves and audit settlements, (ii) the mix of income in higher tax jurisdictions, and (iii) increases to valuation allowances, partially offset by (iv) increases in tax attribute carryforwards.</w:t>
      </w:r>
    </w:p>
    <w:p>
      <w:pPr>
        <w:spacing w:after="0" w:line="180" w:lineRule="exact"/>
        <w:rPr>
          <w:sz w:val="20"/>
          <w:szCs w:val="20"/>
          <w:color w:val="auto"/>
        </w:rPr>
      </w:pPr>
    </w:p>
    <w:p>
      <w:pPr>
        <w:ind w:left="60" w:right="179" w:firstLine="427"/>
        <w:spacing w:after="0" w:line="261" w:lineRule="auto"/>
        <w:rPr>
          <w:sz w:val="20"/>
          <w:szCs w:val="20"/>
          <w:color w:val="auto"/>
        </w:rPr>
      </w:pPr>
      <w:r>
        <w:rPr>
          <w:rFonts w:ascii="Times New Roman" w:cs="Times New Roman" w:eastAsia="Times New Roman" w:hAnsi="Times New Roman"/>
          <w:sz w:val="18"/>
          <w:szCs w:val="18"/>
          <w:color w:val="auto"/>
        </w:rPr>
        <w:t>During the first quarter of fiscal 2024, the Company’s effective tax rate on its income before taxes was 24.0%. During the first quarter of fiscal 2024, the Company’s effective tax rate was unfavorably impacted primarily by (i) increases to unrecognized tax benefit reserves net of settlements, (ii) U.S. state taxes, and (iii) the mix of income in higher tax jurisdictions.</w:t>
      </w:r>
    </w:p>
    <w:p>
      <w:pPr>
        <w:spacing w:after="0" w:line="180" w:lineRule="exact"/>
        <w:rPr>
          <w:sz w:val="20"/>
          <w:szCs w:val="20"/>
          <w:color w:val="auto"/>
        </w:rPr>
      </w:pPr>
    </w:p>
    <w:p>
      <w:pPr>
        <w:ind w:left="60" w:right="219" w:firstLine="427"/>
        <w:spacing w:after="0" w:line="261" w:lineRule="auto"/>
        <w:rPr>
          <w:sz w:val="20"/>
          <w:szCs w:val="20"/>
          <w:color w:val="auto"/>
        </w:rPr>
      </w:pPr>
      <w:r>
        <w:rPr>
          <w:rFonts w:ascii="Times New Roman" w:cs="Times New Roman" w:eastAsia="Times New Roman" w:hAnsi="Times New Roman"/>
          <w:sz w:val="18"/>
          <w:szCs w:val="18"/>
          <w:color w:val="auto"/>
        </w:rPr>
        <w:t>The Pillar Two rules published by the Organization for Economic Co-operation and Development (OECD) are effective for the Company in fiscal year 2025. The company does not expect Pillar Two taxes to have a significant impact on its income tax expense and is closely monitoring the potential impacts of further legislation, regulatory guidance, and regulations issued in the countries in which the Company does business.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Pension plan</w:t>
      </w:r>
    </w:p>
    <w:p>
      <w:pPr>
        <w:spacing w:after="0" w:line="189" w:lineRule="exact"/>
        <w:rPr>
          <w:sz w:val="20"/>
          <w:szCs w:val="20"/>
          <w:color w:val="auto"/>
        </w:rPr>
      </w:pPr>
    </w:p>
    <w:p>
      <w:pPr>
        <w:ind w:left="60" w:right="519" w:firstLine="427"/>
        <w:spacing w:after="0" w:line="282" w:lineRule="auto"/>
        <w:rPr>
          <w:sz w:val="20"/>
          <w:szCs w:val="20"/>
          <w:color w:val="auto"/>
        </w:rPr>
      </w:pPr>
      <w:r>
        <w:rPr>
          <w:rFonts w:ascii="Times New Roman" w:cs="Times New Roman" w:eastAsia="Times New Roman" w:hAnsi="Times New Roman"/>
          <w:sz w:val="18"/>
          <w:szCs w:val="18"/>
          <w:color w:val="auto"/>
        </w:rPr>
        <w:t>The Company has a noncontributory defined benefit pension plan that covers substantially all current and some former U.S. employees (the “Plan”). Components of net periodic pension cost for the Plan was as follows:</w:t>
      </w:r>
    </w:p>
    <w:p>
      <w:pPr>
        <w:spacing w:after="0" w:line="14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20" w:type="dxa"/>
            <w:vAlign w:val="bottom"/>
            <w:gridSpan w:val="5"/>
          </w:tcPr>
          <w:p>
            <w:pPr>
              <w:ind w:left="16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6480" w:type="dxa"/>
            <w:vAlign w:val="bottom"/>
          </w:tcPr>
          <w:p>
            <w:pPr>
              <w:spacing w:after="0"/>
              <w:rPr>
                <w:sz w:val="16"/>
                <w:szCs w:val="16"/>
                <w:color w:val="auto"/>
              </w:rPr>
            </w:pPr>
          </w:p>
        </w:tc>
        <w:tc>
          <w:tcPr>
            <w:tcW w:w="1300" w:type="dxa"/>
            <w:vAlign w:val="bottom"/>
            <w:tcBorders>
              <w:top w:val="single" w:sz="8" w:color="auto"/>
            </w:tcBorders>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120" w:type="dxa"/>
            <w:vAlign w:val="bottom"/>
            <w:tcBorders>
              <w:top w:val="single" w:sz="8" w:color="auto"/>
            </w:tcBorders>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c>
          <w:tcPr>
            <w:tcW w:w="20" w:type="dxa"/>
            <w:vAlign w:val="bottom"/>
          </w:tcPr>
          <w:p>
            <w:pPr>
              <w:spacing w:after="0"/>
              <w:rPr>
                <w:sz w:val="16"/>
                <w:szCs w:val="16"/>
                <w:color w:val="auto"/>
              </w:rPr>
            </w:pPr>
          </w:p>
        </w:tc>
      </w:tr>
      <w:tr>
        <w:trPr>
          <w:trHeight w:val="245"/>
        </w:trPr>
        <w:tc>
          <w:tcPr>
            <w:tcW w:w="64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 w:type="dxa"/>
            <w:vAlign w:val="bottom"/>
          </w:tcPr>
          <w:p>
            <w:pPr>
              <w:spacing w:after="0"/>
              <w:rPr>
                <w:sz w:val="21"/>
                <w:szCs w:val="21"/>
                <w:color w:val="auto"/>
              </w:rPr>
            </w:pPr>
          </w:p>
        </w:tc>
      </w:tr>
      <w:tr>
        <w:trPr>
          <w:trHeight w:val="203"/>
        </w:trPr>
        <w:tc>
          <w:tcPr>
            <w:tcW w:w="6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0" w:type="dxa"/>
            <w:vAlign w:val="bottom"/>
            <w:gridSpan w:val="4"/>
          </w:tcPr>
          <w:p>
            <w:pPr>
              <w:jc w:val="right"/>
              <w:ind w:right="6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7"/>
                <w:szCs w:val="17"/>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 cost within selling, general and administrative expenses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2,563</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cost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6,183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6,145</w:t>
            </w:r>
          </w:p>
        </w:tc>
        <w:tc>
          <w:tcPr>
            <w:tcW w:w="20" w:type="dxa"/>
            <w:vAlign w:val="bottom"/>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2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(10,438)</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(9,985)</w:t>
            </w:r>
          </w:p>
        </w:tc>
        <w:tc>
          <w:tcPr>
            <w:tcW w:w="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 w:type="dxa"/>
            <w:vAlign w:val="bottom"/>
          </w:tcPr>
          <w:p>
            <w:pPr>
              <w:spacing w:after="0"/>
              <w:rPr>
                <w:sz w:val="18"/>
                <w:szCs w:val="18"/>
                <w:color w:val="auto"/>
              </w:rPr>
            </w:pPr>
          </w:p>
        </w:tc>
      </w:tr>
      <w:tr>
        <w:trPr>
          <w:trHeight w:val="223"/>
        </w:trPr>
        <w:tc>
          <w:tcPr>
            <w:tcW w:w="6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Recognized net actuarial loss</w:t>
            </w: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 w:type="dxa"/>
            <w:vAlign w:val="bottom"/>
          </w:tcPr>
          <w:p>
            <w:pPr>
              <w:spacing w:after="0"/>
              <w:rPr>
                <w:sz w:val="19"/>
                <w:szCs w:val="19"/>
                <w:color w:val="auto"/>
              </w:rPr>
            </w:pPr>
          </w:p>
        </w:tc>
      </w:tr>
      <w:tr>
        <w:trPr>
          <w:trHeight w:val="216"/>
        </w:trPr>
        <w:tc>
          <w:tcPr>
            <w:tcW w:w="6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 net periodic pension benefit within other (expense) income, net</w:t>
            </w: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(3,783)</w:t>
            </w:r>
          </w:p>
        </w:tc>
        <w:tc>
          <w:tcPr>
            <w:tcW w:w="20" w:type="dxa"/>
            <w:vAlign w:val="bottom"/>
          </w:tcPr>
          <w:p>
            <w:pPr>
              <w:spacing w:after="0"/>
              <w:rPr>
                <w:sz w:val="18"/>
                <w:szCs w:val="18"/>
                <w:color w:val="auto"/>
              </w:rPr>
            </w:pPr>
          </w:p>
        </w:tc>
      </w:tr>
      <w:tr>
        <w:trPr>
          <w:trHeight w:val="223"/>
        </w:trPr>
        <w:tc>
          <w:tcPr>
            <w:tcW w:w="64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r>
      <w:tr>
        <w:trPr>
          <w:trHeight w:val="216"/>
        </w:trPr>
        <w:tc>
          <w:tcPr>
            <w:tcW w:w="64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Net periodic pension benefit</w:t>
            </w: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(1,220)</w:t>
            </w:r>
          </w:p>
        </w:tc>
        <w:tc>
          <w:tcPr>
            <w:tcW w:w="20" w:type="dxa"/>
            <w:vAlign w:val="bottom"/>
          </w:tcPr>
          <w:p>
            <w:pPr>
              <w:spacing w:after="0"/>
              <w:rPr>
                <w:sz w:val="18"/>
                <w:szCs w:val="18"/>
                <w:color w:val="auto"/>
              </w:rPr>
            </w:pPr>
          </w:p>
        </w:tc>
      </w:tr>
      <w:tr>
        <w:trPr>
          <w:trHeight w:val="20"/>
        </w:trPr>
        <w:tc>
          <w:tcPr>
            <w:tcW w:w="6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59" w:firstLine="427"/>
        <w:spacing w:after="0" w:line="282" w:lineRule="auto"/>
        <w:rPr>
          <w:sz w:val="20"/>
          <w:szCs w:val="20"/>
          <w:color w:val="auto"/>
        </w:rPr>
      </w:pPr>
      <w:r>
        <w:rPr>
          <w:rFonts w:ascii="Times New Roman" w:cs="Times New Roman" w:eastAsia="Times New Roman" w:hAnsi="Times New Roman"/>
          <w:sz w:val="18"/>
          <w:szCs w:val="18"/>
          <w:color w:val="auto"/>
        </w:rPr>
        <w:t>The Company made $4.0 million of contributions during the first quarter of fiscal 2025 and expects to make additional contributions to the Plan of $4.0 million in the remainder of fiscal 2025.</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9. Shareholders’ equity</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187" w:lineRule="exact"/>
        <w:rPr>
          <w:sz w:val="20"/>
          <w:szCs w:val="20"/>
          <w:color w:val="auto"/>
        </w:rPr>
      </w:pPr>
    </w:p>
    <w:p>
      <w:pPr>
        <w:ind w:left="60" w:right="119" w:firstLine="427"/>
        <w:spacing w:after="0" w:line="258" w:lineRule="auto"/>
        <w:rPr>
          <w:sz w:val="20"/>
          <w:szCs w:val="20"/>
          <w:color w:val="auto"/>
        </w:rPr>
      </w:pPr>
      <w:r>
        <w:rPr>
          <w:rFonts w:ascii="Times New Roman" w:cs="Times New Roman" w:eastAsia="Times New Roman" w:hAnsi="Times New Roman"/>
          <w:sz w:val="18"/>
          <w:szCs w:val="18"/>
          <w:color w:val="auto"/>
        </w:rPr>
        <w:t>In August 2024, the Company’s Board of Directors approved an increase in the Company’s existing share repurchase plan. With this increase, the Company is authorized to repurchase up to an aggregate of $600 million of common stock. During the first quarter of fiscal 2025, the Company repurchased 1.9 million shares for a total cost of $99.0 million, excluding excise tax. As of September 28, 2024, the Company had $566.6 million remaining under its increased share repurchase authorization.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Common stock dividend</w:t>
      </w:r>
    </w:p>
    <w:p>
      <w:pPr>
        <w:spacing w:after="0" w:line="187" w:lineRule="exact"/>
        <w:rPr>
          <w:sz w:val="20"/>
          <w:szCs w:val="20"/>
          <w:color w:val="auto"/>
        </w:rPr>
      </w:pPr>
    </w:p>
    <w:p>
      <w:pPr>
        <w:ind w:left="60" w:right="339" w:firstLine="432"/>
        <w:spacing w:after="0" w:line="282" w:lineRule="auto"/>
        <w:rPr>
          <w:sz w:val="20"/>
          <w:szCs w:val="20"/>
          <w:color w:val="auto"/>
        </w:rPr>
      </w:pPr>
      <w:r>
        <w:rPr>
          <w:rFonts w:ascii="Times New Roman" w:cs="Times New Roman" w:eastAsia="Times New Roman" w:hAnsi="Times New Roman"/>
          <w:sz w:val="18"/>
          <w:szCs w:val="18"/>
          <w:color w:val="auto"/>
        </w:rPr>
        <w:t>In August 2024, the Company’s Board of Directors approved a dividend of $0.33 per common share and dividend payments of $28.9 million were made in September 2024.</w:t>
      </w:r>
    </w:p>
    <w:p>
      <w:pPr>
        <w:sectPr>
          <w:pgSz w:w="11900" w:h="16838" w:orient="portrait"/>
          <w:cols w:equalWidth="0" w:num="1">
            <w:col w:w="9019"/>
          </w:cols>
          <w:pgMar w:left="1440" w:top="540" w:right="1440" w:bottom="1440" w:gutter="0" w:footer="0" w:header="0"/>
        </w:sectPr>
      </w:pP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7"/>
          <w:szCs w:val="17"/>
          <w:b w:val="1"/>
          <w:bCs w:val="1"/>
          <w:color w:val="auto"/>
        </w:rPr>
        <w:t>10. Earnings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Numerator: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income</w:t>
      </w:r>
    </w:p>
    <w:p>
      <w:pPr>
        <w:spacing w:after="0" w:line="2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Denominator: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First Quarters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19685</wp:posOffset>
            </wp:positionV>
            <wp:extent cx="1722755"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spacing w:after="0" w:line="16" w:lineRule="exact"/>
        <w:rPr>
          <w:sz w:val="20"/>
          <w:szCs w:val="20"/>
          <w:color w:val="auto"/>
        </w:rPr>
      </w:pPr>
    </w:p>
    <w:p>
      <w:pPr>
        <w:jc w:val="center"/>
        <w:ind w:right="19"/>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September 28,</w:t>
      </w:r>
      <w:r>
        <w:rPr>
          <w:sz w:val="20"/>
          <w:szCs w:val="20"/>
          <w:color w:val="auto"/>
        </w:rPr>
        <w:tab/>
      </w:r>
      <w:r>
        <w:rPr>
          <w:rFonts w:ascii="Times New Roman" w:cs="Times New Roman" w:eastAsia="Times New Roman" w:hAnsi="Times New Roman"/>
          <w:sz w:val="17"/>
          <w:szCs w:val="17"/>
          <w:b w:val="1"/>
          <w:bCs w:val="1"/>
          <w:color w:val="auto"/>
        </w:rPr>
        <w:t>September 30,</w:t>
      </w:r>
    </w:p>
    <w:p>
      <w:pPr>
        <w:spacing w:after="0" w:line="31" w:lineRule="exact"/>
        <w:rPr>
          <w:sz w:val="20"/>
          <w:szCs w:val="20"/>
          <w:color w:val="auto"/>
        </w:rPr>
      </w:pPr>
    </w:p>
    <w:p>
      <w:pPr>
        <w:ind w:left="460"/>
        <w:spacing w:after="0"/>
        <w:tabs>
          <w:tab w:leader="none" w:pos="1880" w:val="left"/>
        </w:tabs>
        <w:rPr>
          <w:sz w:val="20"/>
          <w:szCs w:val="20"/>
          <w:color w:val="auto"/>
        </w:rPr>
      </w:pPr>
      <w:r>
        <w:rPr>
          <w:rFonts w:ascii="Times New Roman" w:cs="Times New Roman" w:eastAsia="Times New Roman" w:hAnsi="Times New Roman"/>
          <w:sz w:val="18"/>
          <w:szCs w:val="18"/>
          <w:b w:val="1"/>
          <w:bCs w:val="1"/>
          <w:color w:val="auto"/>
        </w:rPr>
        <w:t>2024</w:t>
      </w:r>
      <w:r>
        <w:rPr>
          <w:sz w:val="20"/>
          <w:szCs w:val="20"/>
          <w:color w:val="auto"/>
        </w:rPr>
        <w:tab/>
      </w:r>
      <w:r>
        <w:rPr>
          <w:rFonts w:ascii="Times New Roman" w:cs="Times New Roman" w:eastAsia="Times New Roman" w:hAnsi="Times New Roman"/>
          <w:sz w:val="18"/>
          <w:szCs w:val="18"/>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5715</wp:posOffset>
            </wp:positionV>
            <wp:extent cx="1722755"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722755" cy="171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7"/>
          <w:szCs w:val="17"/>
          <w:b w:val="1"/>
          <w:bCs w:val="1"/>
          <w:color w:val="auto"/>
        </w:rPr>
        <w:t>(Thousands, except per share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21590</wp:posOffset>
            </wp:positionV>
            <wp:extent cx="5700395"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00395" cy="137160"/>
                    </a:xfrm>
                    <a:prstGeom prst="rect">
                      <a:avLst/>
                    </a:prstGeom>
                    <a:noFill/>
                  </pic:spPr>
                </pic:pic>
              </a:graphicData>
            </a:graphic>
          </wp:anchor>
        </w:drawing>
      </w:r>
    </w:p>
    <w:p>
      <w:pPr>
        <w:spacing w:after="0" w:line="212" w:lineRule="exact"/>
        <w:rPr>
          <w:sz w:val="20"/>
          <w:szCs w:val="20"/>
          <w:color w:val="auto"/>
        </w:rPr>
      </w:pPr>
    </w:p>
    <w:p>
      <w:pPr>
        <w:spacing w:after="0"/>
        <w:tabs>
          <w:tab w:leader="none" w:pos="720" w:val="left"/>
          <w:tab w:leader="none" w:pos="1420" w:val="left"/>
          <w:tab w:leader="none" w:pos="206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58,956</w:t>
        <w:tab/>
        <w:t>$</w:t>
      </w:r>
      <w:r>
        <w:rPr>
          <w:sz w:val="20"/>
          <w:szCs w:val="20"/>
          <w:color w:val="auto"/>
        </w:rPr>
        <w:tab/>
      </w:r>
      <w:r>
        <w:rPr>
          <w:rFonts w:ascii="Times New Roman" w:cs="Times New Roman" w:eastAsia="Times New Roman" w:hAnsi="Times New Roman"/>
          <w:sz w:val="17"/>
          <w:szCs w:val="17"/>
          <w:color w:val="auto"/>
        </w:rPr>
        <w:t>209,268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-3982085</wp:posOffset>
            </wp:positionH>
            <wp:positionV relativeFrom="paragraph">
              <wp:posOffset>317500</wp:posOffset>
            </wp:positionV>
            <wp:extent cx="5700395"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00395" cy="137160"/>
                    </a:xfrm>
                    <a:prstGeom prst="rect">
                      <a:avLst/>
                    </a:prstGeom>
                    <a:noFill/>
                  </pic:spPr>
                </pic:pic>
              </a:graphicData>
            </a:graphic>
          </wp:anchor>
        </w:drawing>
        <w:drawing>
          <wp:anchor simplePos="0" relativeHeight="251657728" behindDoc="1" locked="0" layoutInCell="0" allowOverlap="1">
            <wp:simplePos x="0" y="0"/>
            <wp:positionH relativeFrom="column">
              <wp:posOffset>-3982085</wp:posOffset>
            </wp:positionH>
            <wp:positionV relativeFrom="paragraph">
              <wp:posOffset>17145</wp:posOffset>
            </wp:positionV>
            <wp:extent cx="5700395" cy="1631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499" w:lineRule="exact"/>
        <w:rPr>
          <w:sz w:val="20"/>
          <w:szCs w:val="20"/>
          <w:color w:val="auto"/>
        </w:rPr>
      </w:pPr>
    </w:p>
    <w:p>
      <w:pPr>
        <w:sectPr>
          <w:pgSz w:w="11900" w:h="16838" w:orient="portrait"/>
          <w:cols w:equalWidth="0" w:num="2">
            <w:col w:w="5560" w:space="720"/>
            <w:col w:w="2739"/>
          </w:cols>
          <w:pgMar w:left="1440" w:top="540" w:right="1440" w:bottom="1440" w:gutter="0" w:footer="0" w:header="0"/>
          <w:type w:val="continuous"/>
        </w:sectPr>
      </w:pPr>
    </w:p>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basic earnings per share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Net effect of dilutive stock-based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5700395"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Weighted average common shares for diluted earnings per share</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Basic earnings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5700395" cy="1631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00395" cy="16319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p>
      <w:pPr>
        <w:spacing w:after="0" w:line="27" w:lineRule="exact"/>
        <w:rPr>
          <w:sz w:val="20"/>
          <w:szCs w:val="20"/>
          <w:color w:val="auto"/>
        </w:rPr>
      </w:pPr>
    </w:p>
    <w:p>
      <w:pPr>
        <w:ind w:left="20"/>
        <w:spacing w:after="0" w:line="260" w:lineRule="auto"/>
        <w:rPr>
          <w:sz w:val="20"/>
          <w:szCs w:val="20"/>
          <w:color w:val="auto"/>
        </w:rPr>
      </w:pPr>
      <w:r>
        <w:rPr>
          <w:rFonts w:ascii="Times New Roman" w:cs="Times New Roman" w:eastAsia="Times New Roman" w:hAnsi="Times New Roman"/>
          <w:sz w:val="18"/>
          <w:szCs w:val="18"/>
          <w:color w:val="auto"/>
        </w:rPr>
        <w:t>Stock options excluded from earnings per share calculation due to an anti-dilutive effect</w:t>
      </w:r>
    </w:p>
    <w:p>
      <w:pPr>
        <w:spacing w:after="0" w:line="13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Additional cash flow information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88,092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1,300</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89,392</w:t>
      </w:r>
    </w:p>
    <w:p>
      <w:pPr>
        <w:spacing w:after="0" w:line="50" w:lineRule="exact"/>
        <w:rPr>
          <w:sz w:val="20"/>
          <w:szCs w:val="20"/>
          <w:color w:val="auto"/>
        </w:rPr>
      </w:pPr>
    </w:p>
    <w:p>
      <w:pPr>
        <w:ind w:left="923" w:hanging="923"/>
        <w:spacing w:after="0"/>
        <w:tabs>
          <w:tab w:leader="none" w:pos="9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0.67</w:t>
      </w:r>
    </w:p>
    <w:p>
      <w:pPr>
        <w:spacing w:after="0" w:line="49" w:lineRule="exact"/>
        <w:rPr>
          <w:rFonts w:ascii="Times New Roman" w:cs="Times New Roman" w:eastAsia="Times New Roman" w:hAnsi="Times New Roman"/>
          <w:sz w:val="18"/>
          <w:szCs w:val="18"/>
          <w:color w:val="auto"/>
        </w:rPr>
      </w:pPr>
    </w:p>
    <w:p>
      <w:pPr>
        <w:ind w:left="923" w:hanging="923"/>
        <w:spacing w:after="0"/>
        <w:tabs>
          <w:tab w:leader="none" w:pos="92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34290</wp:posOffset>
            </wp:positionV>
            <wp:extent cx="8229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-144780</wp:posOffset>
            </wp:positionV>
            <wp:extent cx="8229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2960" cy="825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-290830</wp:posOffset>
            </wp:positionV>
            <wp:extent cx="82296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22960" cy="8890"/>
                    </a:xfrm>
                    <a:prstGeom prst="rect">
                      <a:avLst/>
                    </a:prstGeom>
                    <a:noFill/>
                  </pic:spPr>
                </pic:pic>
              </a:graphicData>
            </a:graphic>
          </wp:anchor>
        </w:drawing>
      </w:r>
    </w:p>
    <w:p>
      <w:pPr>
        <w:spacing w:after="0" w:line="219" w:lineRule="exact"/>
        <w:rPr>
          <w:sz w:val="20"/>
          <w:szCs w:val="20"/>
          <w:color w:val="auto"/>
        </w:rPr>
      </w:pPr>
    </w:p>
    <w:p>
      <w:pPr>
        <w:ind w:left="1063"/>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jc w:val="right"/>
        <w:ind w:right="79"/>
        <w:spacing w:after="0"/>
        <w:rPr>
          <w:sz w:val="20"/>
          <w:szCs w:val="20"/>
          <w:color w:val="auto"/>
        </w:rPr>
      </w:pPr>
      <w:r>
        <w:rPr>
          <w:rFonts w:ascii="Times New Roman" w:cs="Times New Roman" w:eastAsia="Times New Roman" w:hAnsi="Times New Roman"/>
          <w:sz w:val="18"/>
          <w:szCs w:val="18"/>
          <w:color w:val="auto"/>
        </w:rPr>
        <w:t>91,495</w:t>
      </w:r>
    </w:p>
    <w:p>
      <w:pPr>
        <w:spacing w:after="0" w:line="9"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1,683</w:t>
      </w:r>
    </w:p>
    <w:p>
      <w:pPr>
        <w:spacing w:after="0" w:line="18"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93,178</w:t>
      </w:r>
    </w:p>
    <w:p>
      <w:pPr>
        <w:spacing w:after="0" w:line="50" w:lineRule="exact"/>
        <w:rPr>
          <w:sz w:val="20"/>
          <w:szCs w:val="20"/>
          <w:color w:val="auto"/>
        </w:rPr>
      </w:pPr>
    </w:p>
    <w:p>
      <w:pPr>
        <w:ind w:left="900" w:hanging="89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2.29</w:t>
      </w:r>
    </w:p>
    <w:p>
      <w:pPr>
        <w:spacing w:after="0" w:line="49" w:lineRule="exact"/>
        <w:rPr>
          <w:rFonts w:ascii="Times New Roman" w:cs="Times New Roman" w:eastAsia="Times New Roman" w:hAnsi="Times New Roman"/>
          <w:sz w:val="18"/>
          <w:szCs w:val="18"/>
          <w:color w:val="auto"/>
        </w:rPr>
      </w:pPr>
    </w:p>
    <w:p>
      <w:pPr>
        <w:ind w:left="900" w:hanging="899"/>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34290</wp:posOffset>
            </wp:positionV>
            <wp:extent cx="80581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-144780</wp:posOffset>
            </wp:positionV>
            <wp:extent cx="80581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05815"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-290830</wp:posOffset>
            </wp:positionV>
            <wp:extent cx="80581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05815" cy="8890"/>
                    </a:xfrm>
                    <a:prstGeom prst="rect">
                      <a:avLst/>
                    </a:prstGeom>
                    <a:noFill/>
                  </pic:spPr>
                </pic:pic>
              </a:graphicData>
            </a:graphic>
          </wp:anchor>
        </w:drawing>
      </w:r>
    </w:p>
    <w:p>
      <w:pPr>
        <w:spacing w:after="0" w:line="219" w:lineRule="exact"/>
        <w:rPr>
          <w:sz w:val="20"/>
          <w:szCs w:val="20"/>
          <w:color w:val="auto"/>
        </w:rPr>
      </w:pPr>
    </w:p>
    <w:p>
      <w:pPr>
        <w:jc w:val="right"/>
        <w:ind w:right="79"/>
        <w:spacing w:after="0"/>
        <w:rPr>
          <w:sz w:val="20"/>
          <w:szCs w:val="20"/>
          <w:color w:val="auto"/>
        </w:rPr>
      </w:pPr>
      <w:r>
        <w:rPr>
          <w:rFonts w:ascii="Times New Roman" w:cs="Times New Roman" w:eastAsia="Times New Roman" w:hAnsi="Times New Roman"/>
          <w:sz w:val="18"/>
          <w:szCs w:val="18"/>
          <w:color w:val="auto"/>
        </w:rPr>
        <w:t>122</w:t>
      </w:r>
    </w:p>
    <w:p>
      <w:pPr>
        <w:spacing w:after="0" w:line="576" w:lineRule="exact"/>
        <w:rPr>
          <w:sz w:val="20"/>
          <w:szCs w:val="20"/>
          <w:color w:val="auto"/>
        </w:rPr>
      </w:pPr>
    </w:p>
    <w:p>
      <w:pPr>
        <w:sectPr>
          <w:pgSz w:w="11900" w:h="16838" w:orient="portrait"/>
          <w:cols w:equalWidth="0" w:num="3">
            <w:col w:w="5900" w:space="377"/>
            <w:col w:w="1243" w:space="200"/>
            <w:col w:w="1299"/>
          </w:cols>
          <w:pgMar w:left="1440" w:top="540" w:right="1440" w:bottom="1440" w:gutter="0" w:footer="0" w:header="0"/>
          <w:type w:val="continuous"/>
        </w:sectPr>
      </w:pPr>
    </w:p>
    <w:p>
      <w:pPr>
        <w:ind w:left="480"/>
        <w:spacing w:after="0"/>
        <w:rPr>
          <w:sz w:val="20"/>
          <w:szCs w:val="20"/>
          <w:color w:val="auto"/>
        </w:rPr>
      </w:pPr>
      <w:r>
        <w:rPr>
          <w:rFonts w:ascii="Times New Roman" w:cs="Times New Roman" w:eastAsia="Times New Roman" w:hAnsi="Times New Roman"/>
          <w:sz w:val="18"/>
          <w:szCs w:val="18"/>
          <w:color w:val="auto"/>
        </w:rPr>
        <w:t>Non-cash investing and financing activities and supplemental cash flow information were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48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gridSpan w:val="4"/>
          </w:tcPr>
          <w:p>
            <w:pPr>
              <w:ind w:left="14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48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28,</w:t>
            </w:r>
          </w:p>
        </w:tc>
        <w:tc>
          <w:tcPr>
            <w:tcW w:w="180" w:type="dxa"/>
            <w:vAlign w:val="bottom"/>
          </w:tcPr>
          <w:p>
            <w:pPr>
              <w:spacing w:after="0"/>
              <w:rPr>
                <w:sz w:val="16"/>
                <w:szCs w:val="16"/>
                <w:color w:val="auto"/>
              </w:rPr>
            </w:pPr>
          </w:p>
        </w:tc>
        <w:tc>
          <w:tcPr>
            <w:tcW w:w="112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45"/>
        </w:trPr>
        <w:tc>
          <w:tcPr>
            <w:tcW w:w="482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48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80" w:type="dxa"/>
            <w:vAlign w:val="bottom"/>
            <w:gridSpan w:val="4"/>
          </w:tcPr>
          <w:p>
            <w:pPr>
              <w:jc w:val="right"/>
              <w:ind w:right="63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Investing Activities: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Capital expenditures incurred but not paid</w:t>
            </w:r>
          </w:p>
        </w:tc>
        <w:tc>
          <w:tcPr>
            <w:tcW w:w="19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15,514</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13,967</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Financing Activities:</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Unsettled share repurchases</w:t>
            </w:r>
          </w:p>
        </w:tc>
        <w:tc>
          <w:tcPr>
            <w:tcW w:w="19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2,718</w:t>
            </w:r>
          </w:p>
        </w:tc>
      </w:tr>
      <w:tr>
        <w:trPr>
          <w:trHeight w:val="216"/>
        </w:trPr>
        <w:tc>
          <w:tcPr>
            <w:tcW w:w="48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w:t>
            </w:r>
          </w:p>
        </w:tc>
        <w:tc>
          <w:tcPr>
            <w:tcW w:w="1900" w:type="dxa"/>
            <w:vAlign w:val="bottom"/>
            <w:gridSpan w:val="2"/>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71,856</w:t>
            </w:r>
          </w:p>
        </w:tc>
        <w:tc>
          <w:tcPr>
            <w:tcW w:w="4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81,446</w:t>
            </w:r>
          </w:p>
        </w:tc>
      </w:tr>
      <w:tr>
        <w:trPr>
          <w:trHeight w:val="216"/>
        </w:trPr>
        <w:tc>
          <w:tcPr>
            <w:tcW w:w="48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Income tax payments, net</w:t>
            </w:r>
          </w:p>
        </w:tc>
        <w:tc>
          <w:tcPr>
            <w:tcW w:w="1900" w:type="dxa"/>
            <w:vAlign w:val="bottom"/>
            <w:gridSpan w:val="2"/>
            <w:shd w:val="clear" w:color="auto" w:fill="CCEEFF"/>
          </w:tcPr>
          <w:p>
            <w:pPr>
              <w:ind w:left="16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75,716</w:t>
            </w:r>
          </w:p>
        </w:tc>
        <w:tc>
          <w:tcPr>
            <w:tcW w:w="42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78,357</w:t>
            </w:r>
          </w:p>
        </w:tc>
      </w:tr>
    </w:tbl>
    <w:p>
      <w:pPr>
        <w:spacing w:after="0" w:line="198" w:lineRule="exact"/>
        <w:rPr>
          <w:sz w:val="20"/>
          <w:szCs w:val="20"/>
          <w:color w:val="auto"/>
        </w:rPr>
      </w:pPr>
    </w:p>
    <w:p>
      <w:pPr>
        <w:jc w:val="both"/>
        <w:ind w:left="60" w:right="359" w:firstLine="432"/>
        <w:spacing w:after="0" w:line="266" w:lineRule="auto"/>
        <w:rPr>
          <w:sz w:val="20"/>
          <w:szCs w:val="20"/>
          <w:color w:val="auto"/>
        </w:rPr>
      </w:pPr>
      <w:r>
        <w:rPr>
          <w:rFonts w:ascii="Times New Roman" w:cs="Times New Roman" w:eastAsia="Times New Roman" w:hAnsi="Times New Roman"/>
          <w:sz w:val="18"/>
          <w:szCs w:val="18"/>
          <w:color w:val="auto"/>
        </w:rPr>
        <w:t>Included in cash and cash equivalents as of September 28, 2024, and June 29, 2024, was $21.3 million and $14.1 million, respectively, of cash equivalents, which was primarily comprised of investment grade money market funds and overnight time deposits.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information</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Electronic Components (“EC”) and Farnell (“Farnell”) are the Company’s reportable segments (“operating groups”).</w:t>
      </w:r>
    </w:p>
    <w:p>
      <w:pPr>
        <w:spacing w:after="0" w:line="208" w:lineRule="exact"/>
        <w:rPr>
          <w:sz w:val="20"/>
          <w:szCs w:val="20"/>
          <w:color w:val="auto"/>
        </w:rPr>
      </w:pPr>
    </w:p>
    <w:tbl>
      <w:tblPr>
        <w:tblLayout w:type="fixed"/>
        <w:tblInd w:w="60" w:type="dxa"/>
        <w:tblCellMar>
          <w:top w:w="0" w:type="dxa"/>
          <w:left w:w="0" w:type="dxa"/>
          <w:bottom w:w="0" w:type="dxa"/>
          <w:right w:w="0" w:type="dxa"/>
        </w:tblCellMar>
      </w:tblPr>
      <w:tr>
        <w:trPr>
          <w:trHeight w:val="245"/>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20" w:type="dxa"/>
            <w:vAlign w:val="bottom"/>
            <w:tcBorders>
              <w:bottom w:val="single" w:sz="8" w:color="auto"/>
            </w:tcBorders>
            <w:gridSpan w:val="5"/>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9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300" w:type="dxa"/>
            <w:vAlign w:val="bottom"/>
            <w:gridSpan w:val="3"/>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20" w:type="dxa"/>
            <w:vAlign w:val="bottom"/>
          </w:tcPr>
          <w:p>
            <w:pPr>
              <w:spacing w:after="0"/>
              <w:rPr>
                <w:sz w:val="16"/>
                <w:szCs w:val="16"/>
                <w:color w:val="auto"/>
              </w:rPr>
            </w:pPr>
          </w:p>
        </w:tc>
        <w:tc>
          <w:tcPr>
            <w:tcW w:w="110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b w:val="1"/>
                <w:bCs w:val="1"/>
                <w:color w:val="auto"/>
                <w:w w:val="98"/>
              </w:rPr>
              <w:t>September 30,</w:t>
            </w: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9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9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20" w:type="dxa"/>
            <w:vAlign w:val="bottom"/>
            <w:gridSpan w:val="5"/>
          </w:tcPr>
          <w:p>
            <w:pPr>
              <w:jc w:val="right"/>
              <w:ind w:right="65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Sales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Components</w:t>
            </w:r>
          </w:p>
        </w:tc>
        <w:tc>
          <w:tcPr>
            <w:tcW w:w="17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5,257,058</w:t>
            </w:r>
          </w:p>
        </w:tc>
        <w:tc>
          <w:tcPr>
            <w:tcW w:w="20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5,914,405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Farnell</w:t>
            </w:r>
          </w:p>
        </w:tc>
        <w:tc>
          <w:tcPr>
            <w:tcW w:w="15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347,094</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5,604,152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6,335,648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Electronic Components</w:t>
            </w:r>
          </w:p>
        </w:tc>
        <w:tc>
          <w:tcPr>
            <w:tcW w:w="17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197,369</w:t>
            </w:r>
          </w:p>
        </w:tc>
        <w:tc>
          <w:tcPr>
            <w:tcW w:w="200" w:type="dxa"/>
            <w:vAlign w:val="bottom"/>
          </w:tcPr>
          <w:p>
            <w:pPr>
              <w:spacing w:after="0"/>
              <w:rPr>
                <w:sz w:val="18"/>
                <w:szCs w:val="18"/>
                <w:color w:val="auto"/>
              </w:rPr>
            </w:pPr>
          </w:p>
        </w:tc>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272,751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Farnell</w:t>
            </w:r>
          </w:p>
        </w:tc>
        <w:tc>
          <w:tcPr>
            <w:tcW w:w="15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199,228</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Corporate expenses</w:t>
            </w:r>
          </w:p>
        </w:tc>
        <w:tc>
          <w:tcPr>
            <w:tcW w:w="1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(30,284)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1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Borders>
              <w:bottom w:val="single" w:sz="8" w:color="CCEEFF"/>
            </w:tcBorders>
          </w:tcPr>
          <w:p>
            <w:pPr>
              <w:ind w:left="80"/>
              <w:spacing w:after="0" w:line="203" w:lineRule="exact"/>
              <w:rPr>
                <w:sz w:val="20"/>
                <w:szCs w:val="20"/>
                <w:color w:val="auto"/>
              </w:rPr>
            </w:pPr>
            <w:r>
              <w:rPr>
                <w:rFonts w:ascii="Times New Roman" w:cs="Times New Roman" w:eastAsia="Times New Roman" w:hAnsi="Times New Roman"/>
                <w:sz w:val="18"/>
                <w:szCs w:val="18"/>
                <w:color w:val="auto"/>
              </w:rPr>
              <w:t>Operating income</w:t>
            </w:r>
          </w:p>
        </w:tc>
        <w:tc>
          <w:tcPr>
            <w:tcW w:w="154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142,225</w:t>
            </w:r>
          </w:p>
        </w:tc>
        <w:tc>
          <w:tcPr>
            <w:tcW w:w="2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253,769</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9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Sales, by geographic area:</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Americas</w:t>
            </w:r>
          </w:p>
        </w:tc>
        <w:tc>
          <w:tcPr>
            <w:tcW w:w="1740" w:type="dxa"/>
            <w:vAlign w:val="bottom"/>
            <w:gridSpan w:val="2"/>
            <w:shd w:val="clear" w:color="auto" w:fill="CCEEFF"/>
          </w:tcPr>
          <w:p>
            <w:pPr>
              <w:ind w:left="154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1,329,884</w:t>
            </w:r>
          </w:p>
        </w:tc>
        <w:tc>
          <w:tcPr>
            <w:tcW w:w="2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EMEA</w:t>
            </w: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1,668,169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2,308,051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4920" w:type="dxa"/>
            <w:vAlign w:val="bottom"/>
            <w:tcBorders>
              <w:bottom w:val="single" w:sz="8" w:color="CCEEFF"/>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Asia</w:t>
            </w:r>
          </w:p>
        </w:tc>
        <w:tc>
          <w:tcPr>
            <w:tcW w:w="15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2,606,099</w:t>
            </w:r>
          </w:p>
        </w:tc>
        <w:tc>
          <w:tcPr>
            <w:tcW w:w="2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2,454,076</w:t>
            </w:r>
          </w:p>
        </w:tc>
        <w:tc>
          <w:tcPr>
            <w:tcW w:w="0" w:type="dxa"/>
            <w:vAlign w:val="bottom"/>
          </w:tcPr>
          <w:p>
            <w:pPr>
              <w:spacing w:after="0"/>
              <w:rPr>
                <w:sz w:val="1"/>
                <w:szCs w:val="1"/>
                <w:color w:val="auto"/>
              </w:rPr>
            </w:pPr>
          </w:p>
        </w:tc>
      </w:tr>
      <w:tr>
        <w:trPr>
          <w:trHeight w:val="203"/>
        </w:trPr>
        <w:tc>
          <w:tcPr>
            <w:tcW w:w="49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color w:val="auto"/>
              </w:rPr>
              <w:t>Sales</w:t>
            </w:r>
          </w:p>
        </w:tc>
        <w:tc>
          <w:tcPr>
            <w:tcW w:w="1540" w:type="dxa"/>
            <w:vAlign w:val="bottom"/>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5,604,152</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6,335,648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13. Restructuring expenses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2025</w:t>
      </w:r>
    </w:p>
    <w:p>
      <w:pPr>
        <w:spacing w:after="0" w:line="189" w:lineRule="exact"/>
        <w:rPr>
          <w:sz w:val="20"/>
          <w:szCs w:val="20"/>
          <w:color w:val="auto"/>
        </w:rPr>
      </w:pPr>
    </w:p>
    <w:p>
      <w:pPr>
        <w:ind w:left="60" w:right="79" w:firstLine="427"/>
        <w:spacing w:after="0" w:line="266" w:lineRule="auto"/>
        <w:rPr>
          <w:sz w:val="20"/>
          <w:szCs w:val="20"/>
          <w:color w:val="auto"/>
        </w:rPr>
      </w:pPr>
      <w:r>
        <w:rPr>
          <w:rFonts w:ascii="Times New Roman" w:cs="Times New Roman" w:eastAsia="Times New Roman" w:hAnsi="Times New Roman"/>
          <w:sz w:val="18"/>
          <w:szCs w:val="18"/>
          <w:color w:val="auto"/>
        </w:rPr>
        <w:t>During fiscal 2025, the Company executed certain restructuring actions to reduce future operating expenses including specific restructuring actions to reduce expenses within the Farnell operating group. The following table presents the activity during the first quarter of fiscal 2025 related to the restructuring liabilities established during fiscal 2025:</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Facility</w:t>
            </w:r>
          </w:p>
        </w:tc>
        <w:tc>
          <w:tcPr>
            <w:tcW w:w="220" w:type="dxa"/>
            <w:vAlign w:val="bottom"/>
          </w:tcPr>
          <w:p>
            <w:pPr>
              <w:spacing w:after="0"/>
              <w:rPr>
                <w:sz w:val="18"/>
                <w:szCs w:val="18"/>
                <w:color w:val="auto"/>
              </w:rPr>
            </w:pPr>
          </w:p>
        </w:tc>
        <w:tc>
          <w:tcPr>
            <w:tcW w:w="11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7"/>
              </w:rPr>
              <w:t>Asset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6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Severance</w:t>
            </w:r>
          </w:p>
        </w:tc>
        <w:tc>
          <w:tcPr>
            <w:tcW w:w="2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Exit Costs</w:t>
            </w:r>
          </w:p>
        </w:tc>
        <w:tc>
          <w:tcPr>
            <w:tcW w:w="220" w:type="dxa"/>
            <w:vAlign w:val="bottom"/>
          </w:tcPr>
          <w:p>
            <w:pPr>
              <w:spacing w:after="0"/>
              <w:rPr>
                <w:sz w:val="21"/>
                <w:szCs w:val="21"/>
                <w:color w:val="auto"/>
              </w:rPr>
            </w:pPr>
          </w:p>
        </w:tc>
        <w:tc>
          <w:tcPr>
            <w:tcW w:w="11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Impairments</w:t>
            </w:r>
          </w:p>
        </w:tc>
        <w:tc>
          <w:tcPr>
            <w:tcW w:w="2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03"/>
        </w:trPr>
        <w:tc>
          <w:tcPr>
            <w:tcW w:w="3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right"/>
              <w:ind w:right="690"/>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restructuring expenses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14,904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w:t>
            </w:r>
          </w:p>
        </w:tc>
        <w:tc>
          <w:tcPr>
            <w:tcW w:w="0" w:type="dxa"/>
            <w:vAlign w:val="bottom"/>
          </w:tcPr>
          <w:p>
            <w:pPr>
              <w:spacing w:after="0"/>
              <w:rPr>
                <w:sz w:val="1"/>
                <w:szCs w:val="1"/>
                <w:color w:val="auto"/>
              </w:rPr>
            </w:pPr>
          </w:p>
        </w:tc>
      </w:tr>
      <w:tr>
        <w:trPr>
          <w:trHeight w:val="216"/>
        </w:trPr>
        <w:tc>
          <w:tcPr>
            <w:tcW w:w="36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14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(1,684)</w:t>
            </w: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(5,217)</w:t>
            </w:r>
          </w:p>
        </w:tc>
        <w:tc>
          <w:tcPr>
            <w:tcW w:w="220" w:type="dxa"/>
            <w:vAlign w:val="bottom"/>
          </w:tcPr>
          <w:p>
            <w:pPr>
              <w:spacing w:after="0"/>
              <w:rPr>
                <w:sz w:val="18"/>
                <w:szCs w:val="18"/>
                <w:color w:val="auto"/>
              </w:rPr>
            </w:pPr>
          </w:p>
        </w:tc>
        <w:tc>
          <w:tcPr>
            <w:tcW w:w="11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(6,901)</w:t>
            </w:r>
          </w:p>
        </w:tc>
        <w:tc>
          <w:tcPr>
            <w:tcW w:w="0" w:type="dxa"/>
            <w:vAlign w:val="bottom"/>
          </w:tcPr>
          <w:p>
            <w:pPr>
              <w:spacing w:after="0"/>
              <w:rPr>
                <w:sz w:val="1"/>
                <w:szCs w:val="1"/>
                <w:color w:val="auto"/>
              </w:rPr>
            </w:pPr>
          </w:p>
        </w:tc>
      </w:tr>
      <w:tr>
        <w:trPr>
          <w:trHeight w:val="216"/>
        </w:trPr>
        <w:tc>
          <w:tcPr>
            <w:tcW w:w="36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Non-cash amounts</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(14,904)</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(14,915)</w:t>
            </w:r>
          </w:p>
        </w:tc>
        <w:tc>
          <w:tcPr>
            <w:tcW w:w="0" w:type="dxa"/>
            <w:vAlign w:val="bottom"/>
          </w:tcPr>
          <w:p>
            <w:pPr>
              <w:spacing w:after="0"/>
              <w:rPr>
                <w:sz w:val="1"/>
                <w:szCs w:val="1"/>
                <w:color w:val="auto"/>
              </w:rPr>
            </w:pPr>
          </w:p>
        </w:tc>
      </w:tr>
      <w:tr>
        <w:trPr>
          <w:trHeight w:val="198"/>
        </w:trPr>
        <w:tc>
          <w:tcPr>
            <w:tcW w:w="36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Other, principally foreign currency</w:t>
            </w:r>
          </w:p>
        </w:tc>
        <w:tc>
          <w:tcPr>
            <w:tcW w:w="140" w:type="dxa"/>
            <w:vAlign w:val="bottom"/>
          </w:tcPr>
          <w:p>
            <w:pPr>
              <w:spacing w:after="0"/>
              <w:rPr>
                <w:sz w:val="17"/>
                <w:szCs w:val="17"/>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16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8"/>
        </w:trPr>
        <w:tc>
          <w:tcPr>
            <w:tcW w:w="36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translation</w:t>
            </w: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6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379" w:firstLine="427"/>
        <w:spacing w:after="0" w:line="312" w:lineRule="auto"/>
        <w:rPr>
          <w:sz w:val="20"/>
          <w:szCs w:val="20"/>
          <w:color w:val="auto"/>
        </w:rPr>
      </w:pPr>
      <w:r>
        <w:rPr>
          <w:rFonts w:ascii="Times New Roman" w:cs="Times New Roman" w:eastAsia="Times New Roman" w:hAnsi="Times New Roman"/>
          <w:sz w:val="17"/>
          <w:szCs w:val="17"/>
          <w:color w:val="auto"/>
        </w:rPr>
        <w:t>Severance expense recorded in the first quarter of fiscal 2025 related to the reduction, or planned reduction, of approximately 40 employees, primarily in operations, distribution centers, and business support functions. Of the $23.5</w:t>
      </w:r>
    </w:p>
    <w:p>
      <w:pPr>
        <w:spacing w:after="0" w:line="3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AVNET, INC. AND SUBSIDIARIES</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243" w:lineRule="exact"/>
        <w:rPr>
          <w:sz w:val="20"/>
          <w:szCs w:val="20"/>
          <w:color w:val="auto"/>
        </w:rPr>
      </w:pPr>
    </w:p>
    <w:p>
      <w:pPr>
        <w:ind w:left="60" w:right="219"/>
        <w:spacing w:after="0" w:line="282" w:lineRule="auto"/>
        <w:rPr>
          <w:sz w:val="20"/>
          <w:szCs w:val="20"/>
          <w:color w:val="auto"/>
        </w:rPr>
      </w:pPr>
      <w:r>
        <w:rPr>
          <w:rFonts w:ascii="Times New Roman" w:cs="Times New Roman" w:eastAsia="Times New Roman" w:hAnsi="Times New Roman"/>
          <w:sz w:val="18"/>
          <w:szCs w:val="18"/>
          <w:color w:val="auto"/>
        </w:rPr>
        <w:t>million in restructuring expenses recorded in the first quarter of fiscal 2025, $2.7 million related to EC, and $20.8 million related to Farnell. The Company expects the majority of the remaining amounts to be paid by the end of 2024.</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Fiscal 2024</w:t>
      </w:r>
    </w:p>
    <w:p>
      <w:pPr>
        <w:spacing w:after="0" w:line="189"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During fiscal 2024, the Company incurred restructuring expenses primarily related to headcount reductions including from the planned closure of certain distribution centers intended to reduce future operating expenses. The Company expects the majority of the remaining amounts to be paid by the end of fiscal 2025. The following table presents the activity during the first quarter of fiscal 2025 related to the remaining restructuring liabilities established during fiscal 2024:</w:t>
      </w:r>
    </w:p>
    <w:p>
      <w:pPr>
        <w:spacing w:after="0" w:line="382"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7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4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Severance</w:t>
            </w:r>
          </w:p>
        </w:tc>
      </w:tr>
      <w:tr>
        <w:trPr>
          <w:trHeight w:val="216"/>
        </w:trPr>
        <w:tc>
          <w:tcPr>
            <w:tcW w:w="67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(Thousands)</w:t>
            </w:r>
          </w:p>
        </w:tc>
        <w:tc>
          <w:tcPr>
            <w:tcW w:w="20" w:type="dxa"/>
            <w:vAlign w:val="bottom"/>
          </w:tcPr>
          <w:p>
            <w:pPr>
              <w:spacing w:after="0"/>
              <w:rPr>
                <w:sz w:val="18"/>
                <w:szCs w:val="18"/>
                <w:color w:val="auto"/>
              </w:rPr>
            </w:pPr>
          </w:p>
        </w:tc>
      </w:tr>
      <w:tr>
        <w:trPr>
          <w:trHeight w:val="216"/>
        </w:trPr>
        <w:tc>
          <w:tcPr>
            <w:tcW w:w="6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June 29, 2024</w:t>
            </w:r>
          </w:p>
        </w:tc>
        <w:tc>
          <w:tcPr>
            <w:tcW w:w="340" w:type="dxa"/>
            <w:vAlign w:val="bottom"/>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23,838</w:t>
            </w:r>
          </w:p>
        </w:tc>
        <w:tc>
          <w:tcPr>
            <w:tcW w:w="20" w:type="dxa"/>
            <w:vAlign w:val="bottom"/>
          </w:tcPr>
          <w:p>
            <w:pPr>
              <w:spacing w:after="0"/>
              <w:rPr>
                <w:sz w:val="18"/>
                <w:szCs w:val="18"/>
                <w:color w:val="auto"/>
              </w:rPr>
            </w:pPr>
          </w:p>
        </w:tc>
      </w:tr>
      <w:tr>
        <w:trPr>
          <w:trHeight w:val="216"/>
        </w:trPr>
        <w:tc>
          <w:tcPr>
            <w:tcW w:w="6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payments</w:t>
            </w:r>
          </w:p>
        </w:tc>
        <w:tc>
          <w:tcPr>
            <w:tcW w:w="34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(7,023)</w:t>
            </w:r>
          </w:p>
        </w:tc>
        <w:tc>
          <w:tcPr>
            <w:tcW w:w="20" w:type="dxa"/>
            <w:vAlign w:val="bottom"/>
          </w:tcPr>
          <w:p>
            <w:pPr>
              <w:spacing w:after="0"/>
              <w:rPr>
                <w:sz w:val="18"/>
                <w:szCs w:val="18"/>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Changes in estimates, net</w:t>
            </w:r>
          </w:p>
        </w:tc>
        <w:tc>
          <w:tcPr>
            <w:tcW w:w="340" w:type="dxa"/>
            <w:vAlign w:val="bottom"/>
            <w:shd w:val="clear" w:color="auto" w:fill="CCEEFF"/>
          </w:tcPr>
          <w:p>
            <w:pPr>
              <w:spacing w:after="0"/>
              <w:rPr>
                <w:sz w:val="18"/>
                <w:szCs w:val="18"/>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0" w:type="dxa"/>
            <w:vAlign w:val="bottom"/>
          </w:tcPr>
          <w:p>
            <w:pPr>
              <w:spacing w:after="0"/>
              <w:rPr>
                <w:sz w:val="18"/>
                <w:szCs w:val="18"/>
                <w:color w:val="auto"/>
              </w:rPr>
            </w:pPr>
          </w:p>
        </w:tc>
      </w:tr>
      <w:tr>
        <w:trPr>
          <w:trHeight w:val="223"/>
        </w:trPr>
        <w:tc>
          <w:tcPr>
            <w:tcW w:w="67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 principally foreign currency translation</w:t>
            </w:r>
          </w:p>
        </w:tc>
        <w:tc>
          <w:tcPr>
            <w:tcW w:w="3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 w:type="dxa"/>
            <w:vAlign w:val="bottom"/>
          </w:tcPr>
          <w:p>
            <w:pPr>
              <w:spacing w:after="0"/>
              <w:rPr>
                <w:sz w:val="19"/>
                <w:szCs w:val="19"/>
                <w:color w:val="auto"/>
              </w:rPr>
            </w:pPr>
          </w:p>
        </w:tc>
      </w:tr>
      <w:tr>
        <w:trPr>
          <w:trHeight w:val="216"/>
        </w:trPr>
        <w:tc>
          <w:tcPr>
            <w:tcW w:w="6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28, 2024</w:t>
            </w: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16,728</w:t>
            </w:r>
          </w:p>
        </w:tc>
        <w:tc>
          <w:tcPr>
            <w:tcW w:w="20" w:type="dxa"/>
            <w:vAlign w:val="bottom"/>
          </w:tcPr>
          <w:p>
            <w:pPr>
              <w:spacing w:after="0"/>
              <w:rPr>
                <w:sz w:val="18"/>
                <w:szCs w:val="18"/>
                <w:color w:val="auto"/>
              </w:rPr>
            </w:pPr>
          </w:p>
        </w:tc>
      </w:tr>
      <w:tr>
        <w:trPr>
          <w:trHeight w:val="20"/>
        </w:trPr>
        <w:tc>
          <w:tcPr>
            <w:tcW w:w="6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60" w:right="79" w:firstLine="405"/>
        <w:spacing w:after="0" w:line="251" w:lineRule="auto"/>
        <w:rPr>
          <w:sz w:val="20"/>
          <w:szCs w:val="20"/>
          <w:color w:val="auto"/>
        </w:rPr>
      </w:pPr>
      <w:r>
        <w:rPr>
          <w:rFonts w:ascii="Times New Roman" w:cs="Times New Roman" w:eastAsia="Times New Roman" w:hAnsi="Times New Roman"/>
          <w:sz w:val="18"/>
          <w:szCs w:val="18"/>
          <w:color w:val="auto"/>
        </w:rPr>
        <w:t>This Quarterly Report contains forward-looking statements within the meaning of Section 27A of the Securities Act of 1933, as amended (“Securities Act”), and Section 21E of the Securities Exchange Act of 1934, as amended (the “Exchange Act”) with respect to the financial condition, results of operations, and business of the Company. Many of these statements can be found by looking for words like “continue,” “believes,” “projected,” “plans,” “expects,” “anticipates,” “should,” “will,” “may,” “estimates,” or similar expressions in this Quarterly Report or in documents incorporated by reference in this Quarterly Report. These forward-looking statements are subject to numerous assumptions, risks, and uncertainties. The following important factors, in addition to those discussed elsewhere in this Quarterly Report, and the Company’s Annual Report on Form 10-K for the fiscal year ended June 29, 2024, and subsequent Quarterly Reports on Form 10-Q and Current Reports on Form 8-K, could affect the Company’s future results of operations, and could cause those results or other outcomes to differ materially from those expressed or implied in the forward-looking statements: geopolitical events and military conflicts; pandemics and other health-related crises; competitive pressures among distributors of electronic components; an industry down-cycle in semiconductors; relationships with key suppliers and allocations of products by suppliers; accounts receivable defaults; risks relating to the Company’s international sales and operations, including risks relating to repatriating cash, foreign currency fluctuations, inflation, duties and taxes, sanctions and trade restrictions, and compliance with international and U.S. laws; risks relating to acquisitions, divestitures and investments; adverse effects on the Company’s supply chain, operations of its distribution centers, shipping costs, third-party service providers, customers and suppliers, including as a result of issues caused by military conflicts, terrorist attacks, natural and weather-related disasters, pandemics and health related crises, warehouse modernization, and relocation efforts; risks related to cyber security attacks, other privacy and security incidents, and information systems failures, including related to current or future implementations, integrations, and upgrades; general economic and business conditions (domestic, foreign and global) affecting the Company’s operations and financial performance and, indirectly, the Company’s credit ratings, debt covenant compliance, liquidity, and access to financing; constraints on employee retention and hiring; and legislative or regulatory changes.</w:t>
      </w:r>
    </w:p>
    <w:p>
      <w:pPr>
        <w:spacing w:after="0" w:line="205" w:lineRule="exact"/>
        <w:rPr>
          <w:sz w:val="20"/>
          <w:szCs w:val="20"/>
          <w:color w:val="auto"/>
        </w:rPr>
      </w:pPr>
    </w:p>
    <w:p>
      <w:pPr>
        <w:ind w:left="60" w:right="279" w:firstLine="405"/>
        <w:spacing w:after="0" w:line="266"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that statement is made. Except as required by law, the Company assumes no obligation to update any forward-looking statement to reflect events or circumstances that occur after the date on which the statement is made.</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89" w:lineRule="exact"/>
        <w:rPr>
          <w:sz w:val="20"/>
          <w:szCs w:val="20"/>
          <w:color w:val="auto"/>
        </w:rPr>
      </w:pPr>
    </w:p>
    <w:p>
      <w:pPr>
        <w:ind w:left="60" w:right="11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description of the Company’s critical accounting policies and an understanding of Avnet and the significant factors that influenced the Company’s performance during the quarter ended September 28, 2024, this </w:t>
      </w:r>
      <w:r>
        <w:rPr>
          <w:rFonts w:ascii="Times New Roman" w:cs="Times New Roman" w:eastAsia="Times New Roman" w:hAnsi="Times New Roman"/>
          <w:sz w:val="18"/>
          <w:szCs w:val="18"/>
          <w:i w:val="1"/>
          <w:iCs w:val="1"/>
          <w:color w:val="auto"/>
        </w:rPr>
        <w:t>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Discussion and Analysis of Financial Condition and Results of Operations </w:t>
      </w:r>
      <w:r>
        <w:rPr>
          <w:rFonts w:ascii="Times New Roman" w:cs="Times New Roman" w:eastAsia="Times New Roman" w:hAnsi="Times New Roman"/>
          <w:sz w:val="18"/>
          <w:szCs w:val="18"/>
          <w:color w:val="auto"/>
        </w:rPr>
        <w:t>(“MD&amp;A”) should be read in conjunction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financial statements, including the related notes, appearing in Item 1 of this Quarterly Report on Form 10-Q, as well as the Company’s Annual Report on Form 10-K for the fiscal year ended June 29, 2024.</w:t>
      </w:r>
    </w:p>
    <w:p>
      <w:pPr>
        <w:spacing w:after="0" w:line="183"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results of operations includes references to the impact of foreign currency translation. When the U.S. Dollar strengthens and the stronger exchange rates are used to translate the results of operations of Avnet’s subsidiaries denominated in foreign currencies, the result is a decrease in U.S. Dollars of reported results. Conversely, when the U.S. Dollar weakens, the weaker exchange rates result in an increase in U.S. Dollars of reported results. In the discussion that follows, results excluding this impact, primarily for subsidiaries in Europe, the Middle East and Africa (“EMEA”) and Asia/Pacific (“Asia”), are referred to as “constant currency.”</w:t>
      </w:r>
    </w:p>
    <w:p>
      <w:pPr>
        <w:spacing w:after="0" w:line="187" w:lineRule="exact"/>
        <w:rPr>
          <w:sz w:val="20"/>
          <w:szCs w:val="20"/>
          <w:color w:val="auto"/>
        </w:rPr>
      </w:pPr>
    </w:p>
    <w:p>
      <w:pPr>
        <w:ind w:left="60" w:right="539" w:firstLine="427"/>
        <w:spacing w:after="0" w:line="312" w:lineRule="auto"/>
        <w:rPr>
          <w:sz w:val="20"/>
          <w:szCs w:val="20"/>
          <w:color w:val="auto"/>
        </w:rPr>
      </w:pPr>
      <w:r>
        <w:rPr>
          <w:rFonts w:ascii="Times New Roman" w:cs="Times New Roman" w:eastAsia="Times New Roman" w:hAnsi="Times New Roman"/>
          <w:sz w:val="17"/>
          <w:szCs w:val="17"/>
          <w:color w:val="auto"/>
        </w:rPr>
        <w:t>In addition to disclosing financial results that are determined in accordance with generally accepted accounting principles in the U.S. (“GAAP”), the Company also discloses certain non-GAAP financial information, including:</w:t>
      </w:r>
    </w:p>
    <w:p>
      <w:pPr>
        <w:spacing w:after="0" w:line="113" w:lineRule="exact"/>
        <w:rPr>
          <w:sz w:val="20"/>
          <w:szCs w:val="20"/>
          <w:color w:val="auto"/>
        </w:rPr>
      </w:pPr>
    </w:p>
    <w:p>
      <w:pPr>
        <w:ind w:left="720" w:right="619" w:hanging="319"/>
        <w:spacing w:after="0" w:line="282" w:lineRule="auto"/>
        <w:tabs>
          <w:tab w:leader="none" w:pos="7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operating income,” which is operating income excluding (i) restructuring, integration, and other expenses, and (ii) amortization of acquired intangible assets.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reconciliation of operating income to adjusted operating income is presented in the following table:</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245"/>
        </w:trPr>
        <w:tc>
          <w:tcPr>
            <w:tcW w:w="6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2400" w:type="dxa"/>
            <w:vAlign w:val="bottom"/>
            <w:tcBorders>
              <w:bottom w:val="single" w:sz="8" w:color="auto"/>
            </w:tcBorders>
            <w:gridSpan w:val="4"/>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First Quarters Ended</w:t>
            </w:r>
          </w:p>
        </w:tc>
      </w:tr>
      <w:tr>
        <w:trPr>
          <w:trHeight w:val="194"/>
        </w:trPr>
        <w:tc>
          <w:tcPr>
            <w:tcW w:w="6240" w:type="dxa"/>
            <w:vAlign w:val="bottom"/>
          </w:tcPr>
          <w:p>
            <w:pPr>
              <w:spacing w:after="0"/>
              <w:rPr>
                <w:sz w:val="16"/>
                <w:szCs w:val="16"/>
                <w:color w:val="auto"/>
              </w:rPr>
            </w:pPr>
          </w:p>
        </w:tc>
        <w:tc>
          <w:tcPr>
            <w:tcW w:w="1440" w:type="dxa"/>
            <w:vAlign w:val="bottom"/>
            <w:gridSpan w:val="3"/>
          </w:tcPr>
          <w:p>
            <w:pPr>
              <w:ind w:left="60"/>
              <w:spacing w:after="0" w:line="194" w:lineRule="exact"/>
              <w:rPr>
                <w:sz w:val="20"/>
                <w:szCs w:val="20"/>
                <w:color w:val="auto"/>
              </w:rPr>
            </w:pPr>
            <w:r>
              <w:rPr>
                <w:rFonts w:ascii="Times New Roman" w:cs="Times New Roman" w:eastAsia="Times New Roman" w:hAnsi="Times New Roman"/>
                <w:sz w:val="18"/>
                <w:szCs w:val="18"/>
                <w:b w:val="1"/>
                <w:bCs w:val="1"/>
                <w:color w:val="auto"/>
              </w:rPr>
              <w:t>September 28,</w:t>
            </w:r>
          </w:p>
        </w:tc>
        <w:tc>
          <w:tcPr>
            <w:tcW w:w="122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45"/>
        </w:trPr>
        <w:tc>
          <w:tcPr>
            <w:tcW w:w="62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2023</w:t>
            </w:r>
          </w:p>
        </w:tc>
      </w:tr>
      <w:tr>
        <w:trPr>
          <w:trHeight w:val="203"/>
        </w:trPr>
        <w:tc>
          <w:tcPr>
            <w:tcW w:w="6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3"/>
          </w:tcPr>
          <w:p>
            <w:pPr>
              <w:jc w:val="right"/>
              <w:spacing w:after="0" w:line="202" w:lineRule="exact"/>
              <w:rPr>
                <w:sz w:val="20"/>
                <w:szCs w:val="20"/>
                <w:color w:val="auto"/>
              </w:rPr>
            </w:pPr>
            <w:r>
              <w:rPr>
                <w:rFonts w:ascii="Times New Roman" w:cs="Times New Roman" w:eastAsia="Times New Roman" w:hAnsi="Times New Roman"/>
                <w:sz w:val="18"/>
                <w:szCs w:val="18"/>
                <w:b w:val="1"/>
                <w:bCs w:val="1"/>
                <w:color w:val="auto"/>
              </w:rPr>
              <w:t>(Thousands)</w:t>
            </w:r>
          </w:p>
        </w:tc>
        <w:tc>
          <w:tcPr>
            <w:tcW w:w="820" w:type="dxa"/>
            <w:vAlign w:val="bottom"/>
          </w:tcPr>
          <w:p>
            <w:pPr>
              <w:spacing w:after="0"/>
              <w:rPr>
                <w:sz w:val="17"/>
                <w:szCs w:val="17"/>
                <w:color w:val="auto"/>
              </w:rPr>
            </w:pPr>
          </w:p>
        </w:tc>
      </w:tr>
      <w:tr>
        <w:trPr>
          <w:trHeight w:val="216"/>
        </w:trPr>
        <w:tc>
          <w:tcPr>
            <w:tcW w:w="6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260" w:type="dxa"/>
            <w:vAlign w:val="bottom"/>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142,225</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253,769</w:t>
            </w:r>
          </w:p>
        </w:tc>
      </w:tr>
      <w:tr>
        <w:trPr>
          <w:trHeight w:val="216"/>
        </w:trPr>
        <w:tc>
          <w:tcPr>
            <w:tcW w:w="62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26,351</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r>
      <w:tr>
        <w:trPr>
          <w:trHeight w:val="236"/>
        </w:trPr>
        <w:tc>
          <w:tcPr>
            <w:tcW w:w="624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Amortization of acquired intangible assets</w:t>
            </w:r>
          </w:p>
        </w:tc>
        <w:tc>
          <w:tcPr>
            <w:tcW w:w="2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2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878</w:t>
            </w:r>
          </w:p>
        </w:tc>
      </w:tr>
      <w:tr>
        <w:trPr>
          <w:trHeight w:val="203"/>
        </w:trPr>
        <w:tc>
          <w:tcPr>
            <w:tcW w:w="624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color w:val="auto"/>
              </w:rPr>
              <w:t>Adjusted operating income</w:t>
            </w: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168,944</w:t>
            </w:r>
          </w:p>
        </w:tc>
        <w:tc>
          <w:tcPr>
            <w:tcW w:w="240" w:type="dxa"/>
            <w:vAlign w:val="bottom"/>
          </w:tcPr>
          <w:p>
            <w:pPr>
              <w:spacing w:after="0"/>
              <w:rPr>
                <w:sz w:val="17"/>
                <w:szCs w:val="17"/>
                <w:color w:val="auto"/>
              </w:rPr>
            </w:pPr>
          </w:p>
        </w:tc>
        <w:tc>
          <w:tcPr>
            <w:tcW w:w="4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color w:val="auto"/>
              </w:rPr>
              <w:t>261,698</w:t>
            </w:r>
          </w:p>
        </w:tc>
      </w:tr>
      <w:tr>
        <w:trPr>
          <w:trHeight w:val="20"/>
        </w:trPr>
        <w:tc>
          <w:tcPr>
            <w:tcW w:w="6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right="119" w:firstLine="432"/>
        <w:spacing w:after="0" w:line="256" w:lineRule="auto"/>
        <w:rPr>
          <w:sz w:val="20"/>
          <w:szCs w:val="20"/>
          <w:color w:val="auto"/>
        </w:rPr>
      </w:pPr>
      <w:r>
        <w:rPr>
          <w:rFonts w:ascii="Times New Roman" w:cs="Times New Roman" w:eastAsia="Times New Roman" w:hAnsi="Times New Roman"/>
          <w:sz w:val="18"/>
          <w:szCs w:val="18"/>
          <w:color w:val="auto"/>
        </w:rPr>
        <w:t>Management believes that providing this additional information is useful to financial statement users to better assess and understand operating performance, especially when comparing results with prior periods or forecasting performance for future periods, primarily because management typically monitors the business with and without these adjustments to GAAP results. Management also uses these non-GAAP measures to establish operational goals and, in many cases, for measuring performance for compensation purposes. However, any analysis of results on a non-GAAP basis should be used in conjunction with results presented in accordance with GAAP.</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18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Avnet, Inc., including its consolidated subsidiaries (collectively, the “Company” or “Avnet”), is a leading global electronic component distributor and solutions provider that has served customers’ evolving needs for more than a century. Founded in 1921, the Company works with suppliers in every major technology segment to serve customers in more than 140 countries.</w:t>
      </w:r>
    </w:p>
    <w:p>
      <w:pPr>
        <w:spacing w:after="0" w:line="180" w:lineRule="exact"/>
        <w:rPr>
          <w:sz w:val="20"/>
          <w:szCs w:val="20"/>
          <w:color w:val="auto"/>
        </w:rPr>
      </w:pPr>
    </w:p>
    <w:p>
      <w:pPr>
        <w:ind w:left="60" w:right="179" w:firstLine="427"/>
        <w:spacing w:after="0" w:line="256" w:lineRule="auto"/>
        <w:rPr>
          <w:sz w:val="20"/>
          <w:szCs w:val="20"/>
          <w:color w:val="auto"/>
        </w:rPr>
      </w:pPr>
      <w:r>
        <w:rPr>
          <w:rFonts w:ascii="Times New Roman" w:cs="Times New Roman" w:eastAsia="Times New Roman" w:hAnsi="Times New Roman"/>
          <w:sz w:val="18"/>
          <w:szCs w:val="18"/>
          <w:color w:val="auto"/>
        </w:rPr>
        <w:t>Avnet has two primary operating groups — Electronic Components (“EC”) and Farnell. Both operating groups have operations in each of the three major economic regions of the world: (i) the Americas, (ii) EMEA, and (iii) Asia. EC markets, sells, and distributes (i) semiconductors, (ii) interconnect, passive and electromechanical components, and (iii) other integrated and embedded components, to a diverse customer base serving many end-markets. Farnell distributes electronic components and industrial products to a diverse customer base utilizing multi-channel sales and marketing resources.</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Industry outlook</w:t>
      </w:r>
    </w:p>
    <w:p>
      <w:pPr>
        <w:spacing w:after="0" w:line="202" w:lineRule="exact"/>
        <w:rPr>
          <w:sz w:val="20"/>
          <w:szCs w:val="20"/>
          <w:color w:val="auto"/>
        </w:rPr>
      </w:pPr>
    </w:p>
    <w:p>
      <w:pPr>
        <w:ind w:left="60" w:right="159" w:firstLine="432"/>
        <w:spacing w:after="0" w:line="255" w:lineRule="auto"/>
        <w:rPr>
          <w:sz w:val="20"/>
          <w:szCs w:val="20"/>
          <w:color w:val="auto"/>
        </w:rPr>
      </w:pPr>
      <w:r>
        <w:rPr>
          <w:rFonts w:ascii="Times New Roman" w:cs="Times New Roman" w:eastAsia="Times New Roman" w:hAnsi="Times New Roman"/>
          <w:sz w:val="18"/>
          <w:szCs w:val="18"/>
          <w:color w:val="auto"/>
        </w:rPr>
        <w:t>The global electronic components market has a history of cyclical downturns followed by periods of increased demand. Beginning in the second half of calendar year 2023, the industry began to experience a downturn marked by a decrease in sales due to a combination of elevated customer inventory levels and lower underlying demand for electronic components. As a result, the Company has seen elevated inventory levels and decreased sales, resulting in lower operating income. The duration of the current downturn is uncertain, although the Company had year over year sales growth in the Asia region during the first quarter of fiscal 2025. The Company expects sales in the second quarter of fiscal 2025 to be down 4% to up 2% as compared to the first quarter of fiscal 2025.</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225"/>
        </w:trPr>
        <w:tc>
          <w:tcPr>
            <w:tcW w:w="36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460" w:type="dxa"/>
            <w:vAlign w:val="bottom"/>
            <w:tcBorders>
              <w:bottom w:val="single" w:sz="8" w:color="auto"/>
            </w:tcBorders>
            <w:gridSpan w:val="4"/>
          </w:tcPr>
          <w:p>
            <w:pPr>
              <w:ind w:left="680"/>
              <w:spacing w:after="0"/>
              <w:rPr>
                <w:sz w:val="20"/>
                <w:szCs w:val="20"/>
                <w:color w:val="auto"/>
              </w:rPr>
            </w:pPr>
            <w:r>
              <w:rPr>
                <w:rFonts w:ascii="Times New Roman" w:cs="Times New Roman" w:eastAsia="Times New Roman" w:hAnsi="Times New Roman"/>
                <w:sz w:val="16"/>
                <w:szCs w:val="16"/>
                <w:b w:val="1"/>
                <w:bCs w:val="1"/>
                <w:color w:val="auto"/>
              </w:rPr>
              <w:t>Quarters Ended</w:t>
            </w:r>
          </w:p>
        </w:tc>
        <w:tc>
          <w:tcPr>
            <w:tcW w:w="1180" w:type="dxa"/>
            <w:vAlign w:val="bottom"/>
            <w:tcBorders>
              <w:bottom w:val="single" w:sz="8" w:color="auto"/>
            </w:tcBorders>
          </w:tcPr>
          <w:p>
            <w:pPr>
              <w:spacing w:after="0"/>
              <w:rPr>
                <w:sz w:val="19"/>
                <w:szCs w:val="19"/>
                <w:color w:val="auto"/>
              </w:rPr>
            </w:pPr>
          </w:p>
        </w:tc>
      </w:tr>
      <w:tr>
        <w:trPr>
          <w:trHeight w:val="237"/>
        </w:trPr>
        <w:tc>
          <w:tcPr>
            <w:tcW w:w="36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6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Q1 2025</w:t>
            </w:r>
          </w:p>
        </w:tc>
        <w:tc>
          <w:tcPr>
            <w:tcW w:w="320" w:type="dxa"/>
            <w:vAlign w:val="bottom"/>
          </w:tcPr>
          <w:p>
            <w:pPr>
              <w:spacing w:after="0"/>
              <w:rPr>
                <w:sz w:val="20"/>
                <w:szCs w:val="20"/>
                <w:color w:val="auto"/>
              </w:rPr>
            </w:pPr>
          </w:p>
        </w:tc>
        <w:tc>
          <w:tcPr>
            <w:tcW w:w="88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Q1 2024</w:t>
            </w:r>
          </w:p>
        </w:tc>
        <w:tc>
          <w:tcPr>
            <w:tcW w:w="280" w:type="dxa"/>
            <w:vAlign w:val="bottom"/>
          </w:tcPr>
          <w:p>
            <w:pPr>
              <w:spacing w:after="0"/>
              <w:rPr>
                <w:sz w:val="20"/>
                <w:szCs w:val="20"/>
                <w:color w:val="auto"/>
              </w:rPr>
            </w:pP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Variance</w:t>
            </w:r>
          </w:p>
        </w:tc>
        <w:tc>
          <w:tcPr>
            <w:tcW w:w="1180" w:type="dxa"/>
            <w:vAlign w:val="bottom"/>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Variance %</w:t>
            </w:r>
          </w:p>
        </w:tc>
      </w:tr>
      <w:tr>
        <w:trPr>
          <w:trHeight w:val="203"/>
        </w:trPr>
        <w:tc>
          <w:tcPr>
            <w:tcW w:w="36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w:t>
            </w:r>
          </w:p>
        </w:tc>
        <w:tc>
          <w:tcPr>
            <w:tcW w:w="4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5,604</w:t>
            </w:r>
          </w:p>
        </w:tc>
        <w:tc>
          <w:tcPr>
            <w:tcW w:w="3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6,336</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(731)</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(11.6)%</w:t>
            </w: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48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607</w:t>
            </w:r>
          </w:p>
        </w:tc>
        <w:tc>
          <w:tcPr>
            <w:tcW w:w="32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748</w:t>
            </w:r>
          </w:p>
        </w:tc>
        <w:tc>
          <w:tcPr>
            <w:tcW w:w="28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(141)</w:t>
            </w:r>
          </w:p>
        </w:tc>
        <w:tc>
          <w:tcPr>
            <w:tcW w:w="2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(18.8)%</w:t>
            </w: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439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487</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(48)</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w:t>
            </w: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integration, and other expenses</w:t>
            </w:r>
          </w:p>
        </w:tc>
        <w:tc>
          <w:tcPr>
            <w:tcW w:w="48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26</w:t>
            </w:r>
          </w:p>
        </w:tc>
        <w:tc>
          <w:tcPr>
            <w:tcW w:w="32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7</w:t>
            </w:r>
          </w:p>
        </w:tc>
        <w:tc>
          <w:tcPr>
            <w:tcW w:w="28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273.7 %</w:t>
            </w: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142</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254</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(112)</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(44.0)%</w:t>
            </w: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w:t>
            </w:r>
          </w:p>
        </w:tc>
        <w:tc>
          <w:tcPr>
            <w:tcW w:w="48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i w:val="1"/>
                <w:iCs w:val="1"/>
                <w:color w:val="auto"/>
              </w:rPr>
              <w:t>169</w:t>
            </w:r>
          </w:p>
        </w:tc>
        <w:tc>
          <w:tcPr>
            <w:tcW w:w="32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i w:val="1"/>
                <w:iCs w:val="1"/>
                <w:color w:val="auto"/>
              </w:rPr>
              <w:t>262</w:t>
            </w:r>
          </w:p>
        </w:tc>
        <w:tc>
          <w:tcPr>
            <w:tcW w:w="28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i w:val="1"/>
                <w:iCs w:val="1"/>
                <w:color w:val="auto"/>
              </w:rPr>
              <w:t>(93)</w:t>
            </w:r>
          </w:p>
        </w:tc>
        <w:tc>
          <w:tcPr>
            <w:tcW w:w="2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(35.4)%</w:t>
            </w: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(3)</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(9)</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(151.1)%</w:t>
            </w: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financing expenses, net</w:t>
            </w:r>
          </w:p>
        </w:tc>
        <w:tc>
          <w:tcPr>
            <w:tcW w:w="480" w:type="dxa"/>
            <w:vAlign w:val="bottom"/>
          </w:tcPr>
          <w:p>
            <w:pPr>
              <w:spacing w:after="0"/>
              <w:rPr>
                <w:sz w:val="18"/>
                <w:szCs w:val="18"/>
                <w:color w:val="auto"/>
              </w:rPr>
            </w:pPr>
          </w:p>
        </w:tc>
        <w:tc>
          <w:tcPr>
            <w:tcW w:w="8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(64)</w:t>
            </w:r>
          </w:p>
        </w:tc>
        <w:tc>
          <w:tcPr>
            <w:tcW w:w="320" w:type="dxa"/>
            <w:vAlign w:val="bottom"/>
          </w:tcPr>
          <w:p>
            <w:pPr>
              <w:spacing w:after="0"/>
              <w:rPr>
                <w:sz w:val="18"/>
                <w:szCs w:val="18"/>
                <w:color w:val="auto"/>
              </w:rPr>
            </w:pPr>
          </w:p>
        </w:tc>
        <w:tc>
          <w:tcPr>
            <w:tcW w:w="88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(71)</w:t>
            </w:r>
          </w:p>
        </w:tc>
        <w:tc>
          <w:tcPr>
            <w:tcW w:w="280" w:type="dxa"/>
            <w:vAlign w:val="bottom"/>
          </w:tcPr>
          <w:p>
            <w:pPr>
              <w:spacing w:after="0"/>
              <w:rPr>
                <w:sz w:val="18"/>
                <w:szCs w:val="18"/>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rPr>
              <w:t>6</w:t>
            </w:r>
          </w:p>
        </w:tc>
        <w:tc>
          <w:tcPr>
            <w:tcW w:w="2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(9.0)%</w:t>
            </w: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on legal settlements and other</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86</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(86)</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(100.0)%</w:t>
            </w: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48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66</w:t>
            </w:r>
          </w:p>
        </w:tc>
        <w:tc>
          <w:tcPr>
            <w:tcW w:w="28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(50)</w:t>
            </w:r>
          </w:p>
        </w:tc>
        <w:tc>
          <w:tcPr>
            <w:tcW w:w="2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(76.2)%</w:t>
            </w: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59</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209</w:t>
            </w: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(150)</w:t>
            </w: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(71.8)%</w:t>
            </w: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480" w:type="dxa"/>
            <w:vAlign w:val="bottom"/>
          </w:tcPr>
          <w:p>
            <w:pPr>
              <w:spacing w:after="0"/>
              <w:rPr>
                <w:sz w:val="18"/>
                <w:szCs w:val="18"/>
                <w:color w:val="auto"/>
              </w:rPr>
            </w:pPr>
          </w:p>
        </w:tc>
        <w:tc>
          <w:tcPr>
            <w:tcW w:w="86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0.66</w:t>
            </w:r>
          </w:p>
        </w:tc>
        <w:tc>
          <w:tcPr>
            <w:tcW w:w="320" w:type="dxa"/>
            <w:vAlign w:val="bottom"/>
          </w:tcPr>
          <w:p>
            <w:pPr>
              <w:spacing w:after="0"/>
              <w:rPr>
                <w:sz w:val="18"/>
                <w:szCs w:val="18"/>
                <w:color w:val="auto"/>
              </w:rPr>
            </w:pPr>
          </w:p>
        </w:tc>
        <w:tc>
          <w:tcPr>
            <w:tcW w:w="88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rPr>
              <w:t>2.25</w:t>
            </w:r>
          </w:p>
        </w:tc>
        <w:tc>
          <w:tcPr>
            <w:tcW w:w="280" w:type="dxa"/>
            <w:vAlign w:val="bottom"/>
          </w:tcPr>
          <w:p>
            <w:pPr>
              <w:spacing w:after="0"/>
              <w:rPr>
                <w:sz w:val="18"/>
                <w:szCs w:val="18"/>
                <w:color w:val="auto"/>
              </w:rPr>
            </w:pPr>
          </w:p>
        </w:tc>
        <w:tc>
          <w:tcPr>
            <w:tcW w:w="1060" w:type="dxa"/>
            <w:vAlign w:val="bottom"/>
          </w:tcPr>
          <w:p>
            <w:pPr>
              <w:jc w:val="right"/>
              <w:ind w:right="279"/>
              <w:spacing w:after="0"/>
              <w:rPr>
                <w:sz w:val="20"/>
                <w:szCs w:val="20"/>
                <w:color w:val="auto"/>
              </w:rPr>
            </w:pPr>
            <w:r>
              <w:rPr>
                <w:rFonts w:ascii="Times New Roman" w:cs="Times New Roman" w:eastAsia="Times New Roman" w:hAnsi="Times New Roman"/>
                <w:sz w:val="16"/>
                <w:szCs w:val="16"/>
                <w:color w:val="auto"/>
              </w:rPr>
              <w:t>(1.59)</w:t>
            </w:r>
          </w:p>
        </w:tc>
        <w:tc>
          <w:tcPr>
            <w:tcW w:w="240" w:type="dxa"/>
            <w:vAlign w:val="bottom"/>
          </w:tcPr>
          <w:p>
            <w:pPr>
              <w:spacing w:after="0"/>
              <w:rPr>
                <w:sz w:val="18"/>
                <w:szCs w:val="18"/>
                <w:color w:val="auto"/>
              </w:rPr>
            </w:pP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(70.7)%</w:t>
            </w:r>
          </w:p>
        </w:tc>
      </w:tr>
      <w:tr>
        <w:trPr>
          <w:trHeight w:val="216"/>
        </w:trPr>
        <w:tc>
          <w:tcPr>
            <w:tcW w:w="36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43"/>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Metrics</w:t>
            </w:r>
          </w:p>
        </w:tc>
        <w:tc>
          <w:tcPr>
            <w:tcW w:w="4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 margin</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10.8 %</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11.8 %</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color w:val="auto"/>
              </w:rPr>
              <w:t>(97)bps</w:t>
            </w: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(1.0)%</w:t>
            </w:r>
          </w:p>
        </w:tc>
      </w:tr>
      <w:tr>
        <w:trPr>
          <w:trHeight w:val="216"/>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income margin</w:t>
            </w:r>
          </w:p>
        </w:tc>
        <w:tc>
          <w:tcPr>
            <w:tcW w:w="48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2.5 %</w:t>
            </w:r>
          </w:p>
        </w:tc>
        <w:tc>
          <w:tcPr>
            <w:tcW w:w="320" w:type="dxa"/>
            <w:vAlign w:val="bottom"/>
          </w:tcPr>
          <w:p>
            <w:pPr>
              <w:spacing w:after="0"/>
              <w:rPr>
                <w:sz w:val="18"/>
                <w:szCs w:val="18"/>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4.0 %</w:t>
            </w:r>
          </w:p>
        </w:tc>
        <w:tc>
          <w:tcPr>
            <w:tcW w:w="280" w:type="dxa"/>
            <w:vAlign w:val="bottom"/>
          </w:tcPr>
          <w:p>
            <w:pPr>
              <w:spacing w:after="0"/>
              <w:rPr>
                <w:sz w:val="18"/>
                <w:szCs w:val="18"/>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(147)bps</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(1.5)%</w:t>
            </w:r>
          </w:p>
        </w:tc>
      </w:tr>
      <w:tr>
        <w:trPr>
          <w:trHeight w:val="216"/>
        </w:trPr>
        <w:tc>
          <w:tcPr>
            <w:tcW w:w="3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Adjusted operating income margin</w:t>
            </w: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3.0 %</w:t>
            </w:r>
          </w:p>
        </w:tc>
        <w:tc>
          <w:tcPr>
            <w:tcW w:w="32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i w:val="1"/>
                <w:iCs w:val="1"/>
                <w:color w:val="auto"/>
              </w:rPr>
              <w:t>4.1 %</w:t>
            </w: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6"/>
                <w:szCs w:val="16"/>
                <w:i w:val="1"/>
                <w:iCs w:val="1"/>
                <w:color w:val="auto"/>
              </w:rPr>
              <w:t>(112)bps</w:t>
            </w:r>
          </w:p>
        </w:tc>
        <w:tc>
          <w:tcPr>
            <w:tcW w:w="118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i w:val="1"/>
                <w:iCs w:val="1"/>
                <w:color w:val="auto"/>
              </w:rPr>
              <w:t>(1.1)%</w:t>
            </w:r>
          </w:p>
        </w:tc>
      </w:tr>
      <w:tr>
        <w:trPr>
          <w:trHeight w:val="234"/>
        </w:trPr>
        <w:tc>
          <w:tcPr>
            <w:tcW w:w="3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48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21.1 %</w:t>
            </w:r>
          </w:p>
        </w:tc>
        <w:tc>
          <w:tcPr>
            <w:tcW w:w="320" w:type="dxa"/>
            <w:vAlign w:val="bottom"/>
          </w:tcPr>
          <w:p>
            <w:pPr>
              <w:spacing w:after="0"/>
              <w:rPr>
                <w:sz w:val="20"/>
                <w:szCs w:val="20"/>
                <w:color w:val="auto"/>
              </w:rPr>
            </w:pP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24.0 %</w:t>
            </w:r>
          </w:p>
        </w:tc>
        <w:tc>
          <w:tcPr>
            <w:tcW w:w="280" w:type="dxa"/>
            <w:vAlign w:val="bottom"/>
          </w:tcPr>
          <w:p>
            <w:pPr>
              <w:spacing w:after="0"/>
              <w:rPr>
                <w:sz w:val="20"/>
                <w:szCs w:val="20"/>
                <w:color w:val="auto"/>
              </w:rPr>
            </w:pPr>
          </w:p>
        </w:tc>
        <w:tc>
          <w:tcPr>
            <w:tcW w:w="130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(290)bps</w:t>
            </w:r>
          </w:p>
        </w:tc>
        <w:tc>
          <w:tcPr>
            <w:tcW w:w="118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(2.9)%</w:t>
            </w:r>
          </w:p>
        </w:tc>
      </w:tr>
    </w:tbl>
    <w:p>
      <w:pPr>
        <w:spacing w:after="0" w:line="17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Sales</w:t>
      </w:r>
    </w:p>
    <w:p>
      <w:pPr>
        <w:spacing w:after="0" w:line="175" w:lineRule="exact"/>
        <w:rPr>
          <w:sz w:val="20"/>
          <w:szCs w:val="20"/>
          <w:color w:val="auto"/>
        </w:rPr>
      </w:pPr>
    </w:p>
    <w:p>
      <w:pPr>
        <w:ind w:left="60" w:right="259" w:firstLine="427"/>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percentage change in sales for the first quarter of fiscal 2025 as compared to fiscal 2024, by geographic region and operating group.</w:t>
      </w:r>
    </w:p>
    <w:p>
      <w:pPr>
        <w:spacing w:after="0" w:line="14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66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b w:val="1"/>
                <w:bCs w:val="1"/>
                <w:color w:val="auto"/>
              </w:rPr>
              <w:t>Quarter Ended</w:t>
            </w:r>
          </w:p>
        </w:tc>
      </w:tr>
      <w:tr>
        <w:trPr>
          <w:trHeight w:val="245"/>
        </w:trPr>
        <w:tc>
          <w:tcPr>
            <w:tcW w:w="6300" w:type="dxa"/>
            <w:vAlign w:val="bottom"/>
          </w:tcPr>
          <w:p>
            <w:pPr>
              <w:spacing w:after="0"/>
              <w:rPr>
                <w:sz w:val="21"/>
                <w:szCs w:val="21"/>
                <w:color w:val="auto"/>
              </w:rPr>
            </w:pPr>
          </w:p>
        </w:tc>
        <w:tc>
          <w:tcPr>
            <w:tcW w:w="266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September 28, 2024</w:t>
            </w:r>
          </w:p>
        </w:tc>
      </w:tr>
      <w:tr>
        <w:trPr>
          <w:trHeight w:val="194"/>
        </w:trPr>
        <w:tc>
          <w:tcPr>
            <w:tcW w:w="6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center"/>
              <w:spacing w:after="0" w:line="194" w:lineRule="exact"/>
              <w:rPr>
                <w:sz w:val="20"/>
                <w:szCs w:val="20"/>
                <w:color w:val="auto"/>
              </w:rPr>
            </w:pPr>
            <w:r>
              <w:rPr>
                <w:rFonts w:ascii="Times New Roman" w:cs="Times New Roman" w:eastAsia="Times New Roman" w:hAnsi="Times New Roman"/>
                <w:sz w:val="18"/>
                <w:szCs w:val="18"/>
                <w:b w:val="1"/>
                <w:bCs w:val="1"/>
                <w:color w:val="auto"/>
                <w:w w:val="97"/>
              </w:rPr>
              <w:t>Sales</w:t>
            </w:r>
          </w:p>
        </w:tc>
      </w:tr>
      <w:tr>
        <w:trPr>
          <w:trHeight w:val="216"/>
        </w:trPr>
        <w:tc>
          <w:tcPr>
            <w:tcW w:w="6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Year-Year %</w:t>
            </w:r>
          </w:p>
        </w:tc>
      </w:tr>
      <w:tr>
        <w:trPr>
          <w:trHeight w:val="216"/>
        </w:trPr>
        <w:tc>
          <w:tcPr>
            <w:tcW w:w="63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Sales</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Change in</w:t>
            </w:r>
          </w:p>
        </w:tc>
      </w:tr>
      <w:tr>
        <w:trPr>
          <w:trHeight w:val="216"/>
        </w:trPr>
        <w:tc>
          <w:tcPr>
            <w:tcW w:w="630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5"/>
              </w:rPr>
              <w:t>Year-Year %</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Constant</w:t>
            </w:r>
          </w:p>
        </w:tc>
      </w:tr>
      <w:tr>
        <w:trPr>
          <w:trHeight w:val="245"/>
        </w:trPr>
        <w:tc>
          <w:tcPr>
            <w:tcW w:w="6300" w:type="dxa"/>
            <w:vAlign w:val="bottom"/>
          </w:tcPr>
          <w:p>
            <w:pPr>
              <w:spacing w:after="0"/>
              <w:rPr>
                <w:sz w:val="21"/>
                <w:szCs w:val="21"/>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Currency</w:t>
            </w:r>
          </w:p>
        </w:tc>
      </w:tr>
      <w:tr>
        <w:trPr>
          <w:trHeight w:val="216"/>
        </w:trPr>
        <w:tc>
          <w:tcPr>
            <w:tcW w:w="6300" w:type="dxa"/>
            <w:vAlign w:val="bottom"/>
            <w:tcBorders>
              <w:top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Avnet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region</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Americas</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w:t>
            </w:r>
          </w:p>
        </w:tc>
      </w:tr>
      <w:tr>
        <w:trPr>
          <w:trHeight w:val="216"/>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EMEA</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240" w:type="dxa"/>
            <w:vAlign w:val="bottom"/>
          </w:tcPr>
          <w:p>
            <w:pPr>
              <w:spacing w:after="0"/>
              <w:rPr>
                <w:sz w:val="18"/>
                <w:szCs w:val="18"/>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Asia</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6.4 %</w:t>
            </w:r>
          </w:p>
        </w:tc>
      </w:tr>
      <w:tr>
        <w:trPr>
          <w:trHeight w:val="216"/>
        </w:trPr>
        <w:tc>
          <w:tcPr>
            <w:tcW w:w="6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Avnet by operating group</w:t>
            </w: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3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w:t>
            </w:r>
          </w:p>
        </w:tc>
      </w:tr>
      <w:tr>
        <w:trPr>
          <w:trHeight w:val="234"/>
        </w:trPr>
        <w:tc>
          <w:tcPr>
            <w:tcW w:w="63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Farnell</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w:t>
            </w:r>
          </w:p>
        </w:tc>
      </w:tr>
    </w:tbl>
    <w:p>
      <w:pPr>
        <w:spacing w:after="0" w:line="179" w:lineRule="exact"/>
        <w:rPr>
          <w:sz w:val="20"/>
          <w:szCs w:val="20"/>
          <w:color w:val="auto"/>
        </w:rPr>
      </w:pPr>
    </w:p>
    <w:p>
      <w:pPr>
        <w:ind w:left="60" w:right="79" w:firstLine="427"/>
        <w:spacing w:after="0" w:line="266" w:lineRule="auto"/>
        <w:rPr>
          <w:sz w:val="20"/>
          <w:szCs w:val="20"/>
          <w:color w:val="auto"/>
        </w:rPr>
      </w:pPr>
      <w:r>
        <w:rPr>
          <w:rFonts w:ascii="Times New Roman" w:cs="Times New Roman" w:eastAsia="Times New Roman" w:hAnsi="Times New Roman"/>
          <w:sz w:val="18"/>
          <w:szCs w:val="18"/>
          <w:color w:val="auto"/>
        </w:rPr>
        <w:t>Sales of $5.60 billion for the first quarter of fiscal 2025 decreased $731.5 million, or 11.6%, as compared to $6.34 billion for the same quarter last year, primarily due to reduced demand for electronic components resulting from the current market downturn in the electronic components industry.</w:t>
      </w:r>
    </w:p>
    <w:p>
      <w:pPr>
        <w:spacing w:after="0" w:line="176" w:lineRule="exact"/>
        <w:rPr>
          <w:sz w:val="20"/>
          <w:szCs w:val="20"/>
          <w:color w:val="auto"/>
        </w:rPr>
      </w:pPr>
    </w:p>
    <w:p>
      <w:pPr>
        <w:ind w:left="60" w:right="59" w:firstLine="427"/>
        <w:spacing w:after="0" w:line="281" w:lineRule="auto"/>
        <w:rPr>
          <w:sz w:val="20"/>
          <w:szCs w:val="20"/>
          <w:color w:val="auto"/>
        </w:rPr>
      </w:pPr>
      <w:r>
        <w:rPr>
          <w:rFonts w:ascii="Times New Roman" w:cs="Times New Roman" w:eastAsia="Times New Roman" w:hAnsi="Times New Roman"/>
          <w:sz w:val="17"/>
          <w:szCs w:val="17"/>
          <w:color w:val="auto"/>
        </w:rPr>
        <w:t>EC sales of $5.26 billion in the first quarter of fiscal 2025 decreased $657.3 million, or 11.1%, from the prior year first quarter sales of $5.91 billion, with the Americas and EMEA regions contributing to the decrease offset by sales growth in the Asia region. The decrease in sales is primarily due to sales volume decreases due to the market downturn in the electronic components industry and, to a lesser extent, an unfavorable product mix of lower priced electronic components.</w:t>
      </w:r>
    </w:p>
    <w:p>
      <w:pPr>
        <w:sectPr>
          <w:pgSz w:w="11900" w:h="16838" w:orient="portrait"/>
          <w:cols w:equalWidth="0" w:num="1">
            <w:col w:w="9019"/>
          </w:cols>
          <w:pgMar w:left="1440" w:top="540"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60" w:right="119" w:firstLine="427"/>
        <w:spacing w:after="0" w:line="261" w:lineRule="auto"/>
        <w:rPr>
          <w:sz w:val="20"/>
          <w:szCs w:val="20"/>
          <w:color w:val="auto"/>
        </w:rPr>
      </w:pPr>
      <w:r>
        <w:rPr>
          <w:rFonts w:ascii="Times New Roman" w:cs="Times New Roman" w:eastAsia="Times New Roman" w:hAnsi="Times New Roman"/>
          <w:sz w:val="18"/>
          <w:szCs w:val="18"/>
          <w:color w:val="auto"/>
        </w:rPr>
        <w:t>Farnell sales for the first quarter of fiscal 2025 were $347.1 million, reflecting a decrease of $74.1 million, or 17.6%, compared to the same period in the prior year. Farnell sales in constant currency for the first quarter of fiscal 2025 decreased by 18.2% year over year. The decrease in sales in the first quarter of fiscal 2025 is primarily due to lower demand for on-the-board electronic components.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02" w:lineRule="exact"/>
        <w:rPr>
          <w:sz w:val="20"/>
          <w:szCs w:val="20"/>
          <w:color w:val="auto"/>
        </w:rPr>
      </w:pPr>
    </w:p>
    <w:p>
      <w:pPr>
        <w:jc w:val="both"/>
        <w:ind w:left="60" w:right="99" w:firstLine="432"/>
        <w:spacing w:after="0" w:line="266" w:lineRule="auto"/>
        <w:rPr>
          <w:sz w:val="20"/>
          <w:szCs w:val="20"/>
          <w:color w:val="auto"/>
        </w:rPr>
      </w:pPr>
      <w:r>
        <w:rPr>
          <w:rFonts w:ascii="Times New Roman" w:cs="Times New Roman" w:eastAsia="Times New Roman" w:hAnsi="Times New Roman"/>
          <w:sz w:val="18"/>
          <w:szCs w:val="18"/>
          <w:color w:val="auto"/>
        </w:rPr>
        <w:t>The Company’s gross profit is primarily affected by sales volume and product and geographic sales mix. Gross profit for the first quarter of fiscal 2025 was $140.7 million, or 18.8% lower than the first quarter of fiscal 2024. This decrease is primarily due to sales volume decreases in both operating groups.</w:t>
      </w:r>
    </w:p>
    <w:p>
      <w:pPr>
        <w:spacing w:after="0" w:line="176" w:lineRule="exact"/>
        <w:rPr>
          <w:sz w:val="20"/>
          <w:szCs w:val="20"/>
          <w:color w:val="auto"/>
        </w:rPr>
      </w:pPr>
    </w:p>
    <w:p>
      <w:pPr>
        <w:jc w:val="both"/>
        <w:ind w:left="60" w:right="239" w:firstLine="432"/>
        <w:spacing w:after="0" w:line="261" w:lineRule="auto"/>
        <w:rPr>
          <w:sz w:val="20"/>
          <w:szCs w:val="20"/>
          <w:color w:val="auto"/>
        </w:rPr>
      </w:pPr>
      <w:r>
        <w:rPr>
          <w:rFonts w:ascii="Times New Roman" w:cs="Times New Roman" w:eastAsia="Times New Roman" w:hAnsi="Times New Roman"/>
          <w:sz w:val="18"/>
          <w:szCs w:val="18"/>
          <w:color w:val="auto"/>
        </w:rPr>
        <w:t>Gross profit margin decreased by 97 basis points to 10.8% for the first quarter of fiscal 2025 when compared to the first quarter of fiscal 2024. The decrease in gross profit margin is primarily due to shifts in geographic sales mix. Sales in the higher gross profit margin western regions represented approximately 53% of sales in the first quarter of fiscal 2025, versus 61% during the first quarter of fiscal 2024.</w:t>
      </w:r>
    </w:p>
    <w:p>
      <w:pPr>
        <w:spacing w:after="0" w:line="180" w:lineRule="exact"/>
        <w:rPr>
          <w:sz w:val="20"/>
          <w:szCs w:val="20"/>
          <w:color w:val="auto"/>
        </w:rPr>
      </w:pPr>
    </w:p>
    <w:p>
      <w:pPr>
        <w:jc w:val="both"/>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EC gross profit margin decreased year over year largely due to the change in geographic mix and from an increase in product mix to lower margin electronic components. Farnell gross profit margin decreased year over year, primarily due to lower sales of higher margin on-the-board electronic components.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p>
      <w:pPr>
        <w:spacing w:after="0" w:line="189" w:lineRule="exact"/>
        <w:rPr>
          <w:sz w:val="20"/>
          <w:szCs w:val="20"/>
          <w:color w:val="auto"/>
        </w:rPr>
      </w:pPr>
    </w:p>
    <w:p>
      <w:pPr>
        <w:ind w:left="60" w:right="159" w:firstLine="432"/>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(“SG&amp;A expenses”) decreased $48.5 million or 10.0% from the first quarter of fiscal 2024. The decrease in SG&amp;A expenses is primarily due to decreases in variable operating expenses associated with the decrease in sales volumes discussed above and from restructuring actions, slightly offset by the impact of changes in foreign currency translation rates.</w:t>
      </w:r>
    </w:p>
    <w:p>
      <w:pPr>
        <w:spacing w:after="0" w:line="180" w:lineRule="exact"/>
        <w:rPr>
          <w:sz w:val="20"/>
          <w:szCs w:val="20"/>
          <w:color w:val="auto"/>
        </w:rPr>
      </w:pPr>
    </w:p>
    <w:p>
      <w:pPr>
        <w:ind w:left="60" w:right="179" w:firstLine="427"/>
        <w:spacing w:after="0" w:line="258" w:lineRule="auto"/>
        <w:rPr>
          <w:sz w:val="20"/>
          <w:szCs w:val="20"/>
          <w:color w:val="auto"/>
        </w:rPr>
      </w:pPr>
      <w:r>
        <w:rPr>
          <w:rFonts w:ascii="Times New Roman" w:cs="Times New Roman" w:eastAsia="Times New Roman" w:hAnsi="Times New Roman"/>
          <w:sz w:val="18"/>
          <w:szCs w:val="18"/>
          <w:color w:val="auto"/>
        </w:rPr>
        <w:t>Management monitors SG&amp;A expenses as a percentage of sales and as a percentage of gross profit. In the first quarter of fiscal 2025, SG&amp;A expenses were 7.8% of sales and 72.2% of gross profit, as compared with 7.7% and 65.1%, respectively, in the first quarter of fiscal 2024. The year-over-year increases in SG&amp;A expenses as a percentage of both sales and gross profit are primarily due to the decrease in sales and gross profit without a proportional reduction in SG&amp;A expenses, resulting in lower operating leverage.</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Restructuring, Integration, and Other Expenses</w:t>
      </w:r>
    </w:p>
    <w:p>
      <w:pPr>
        <w:spacing w:after="0" w:line="189" w:lineRule="exact"/>
        <w:rPr>
          <w:sz w:val="20"/>
          <w:szCs w:val="20"/>
          <w:color w:val="auto"/>
        </w:rPr>
      </w:pPr>
    </w:p>
    <w:p>
      <w:pPr>
        <w:ind w:left="60" w:right="159" w:firstLine="427"/>
        <w:spacing w:after="0" w:line="261" w:lineRule="auto"/>
        <w:rPr>
          <w:sz w:val="20"/>
          <w:szCs w:val="20"/>
          <w:color w:val="auto"/>
        </w:rPr>
      </w:pPr>
      <w:r>
        <w:rPr>
          <w:rFonts w:ascii="Times New Roman" w:cs="Times New Roman" w:eastAsia="Times New Roman" w:hAnsi="Times New Roman"/>
          <w:sz w:val="18"/>
          <w:szCs w:val="18"/>
          <w:color w:val="auto"/>
        </w:rPr>
        <w:t>In fiscal 2024, the Company initiated a restructuring plan to improve operating income by reducing SG&amp;A expenses including within the Farnell operating group. In the first quarter of fiscal 2025, these efforts continued, leading to $23.5 million in restructuring, integration, and other expenses primarily for Farnell. Additionally, the Company incurred $2.9 million in distribution center start-up integration costs, primarily in EC EMEA.</w:t>
      </w:r>
    </w:p>
    <w:p>
      <w:pPr>
        <w:spacing w:after="0" w:line="180" w:lineRule="exact"/>
        <w:rPr>
          <w:sz w:val="20"/>
          <w:szCs w:val="20"/>
          <w:color w:val="auto"/>
        </w:rPr>
      </w:pPr>
    </w:p>
    <w:p>
      <w:pPr>
        <w:ind w:left="60" w:right="139" w:firstLine="427"/>
        <w:spacing w:after="0" w:line="277" w:lineRule="auto"/>
        <w:rPr>
          <w:sz w:val="20"/>
          <w:szCs w:val="20"/>
          <w:color w:val="auto"/>
        </w:rPr>
      </w:pPr>
      <w:r>
        <w:rPr>
          <w:rFonts w:ascii="Times New Roman" w:cs="Times New Roman" w:eastAsia="Times New Roman" w:hAnsi="Times New Roman"/>
          <w:sz w:val="17"/>
          <w:szCs w:val="17"/>
          <w:color w:val="auto"/>
        </w:rPr>
        <w:t>As a result of these initiatives, the Company recorded total restructuring, integration, and other expense in the first quarter of fiscal 2025 of $26.4 million comprised of severance and other employee-related expenses of $3.4 million for reductions of approximately 40 employees across the Company, $5.2 million of facility exit costs primarily related to an office closure in the Americas, $14.9 million of asset impairments, and $2.9 million of integration and other costs. The after-tax impact of restructuring, integration, and other expenses were $19.7 million and $0.22 per share on a diluted basis.</w:t>
      </w:r>
    </w:p>
    <w:p>
      <w:pPr>
        <w:spacing w:after="0" w:line="168" w:lineRule="exact"/>
        <w:rPr>
          <w:sz w:val="20"/>
          <w:szCs w:val="20"/>
          <w:color w:val="auto"/>
        </w:rPr>
      </w:pPr>
    </w:p>
    <w:p>
      <w:pPr>
        <w:ind w:left="60" w:right="219" w:firstLine="427"/>
        <w:spacing w:after="0" w:line="282" w:lineRule="auto"/>
        <w:rPr>
          <w:sz w:val="20"/>
          <w:szCs w:val="20"/>
          <w:color w:val="auto"/>
        </w:rPr>
      </w:pPr>
      <w:r>
        <w:rPr>
          <w:rFonts w:ascii="Times New Roman" w:cs="Times New Roman" w:eastAsia="Times New Roman" w:hAnsi="Times New Roman"/>
          <w:sz w:val="18"/>
          <w:szCs w:val="18"/>
          <w:color w:val="auto"/>
        </w:rPr>
        <w:t>Comparatively, the Company recorded restructuring, integration, and other expenses of $7.1 million during the first quarter of fiscal 2024 consisting of severance costs of $2.7 million, and other expenses of $4.4 million.</w:t>
      </w:r>
    </w:p>
    <w:p>
      <w:pPr>
        <w:spacing w:after="0" w:line="162" w:lineRule="exact"/>
        <w:rPr>
          <w:sz w:val="20"/>
          <w:szCs w:val="20"/>
          <w:color w:val="auto"/>
        </w:rPr>
      </w:pPr>
    </w:p>
    <w:p>
      <w:pPr>
        <w:ind w:left="60" w:right="139" w:firstLine="427"/>
        <w:spacing w:after="0" w:line="282" w:lineRule="auto"/>
        <w:rPr>
          <w:sz w:val="20"/>
          <w:szCs w:val="20"/>
          <w:color w:val="auto"/>
        </w:rPr>
      </w:pPr>
      <w:r>
        <w:rPr>
          <w:rFonts w:ascii="Times New Roman" w:cs="Times New Roman" w:eastAsia="Times New Roman" w:hAnsi="Times New Roman"/>
          <w:sz w:val="18"/>
          <w:szCs w:val="18"/>
          <w:color w:val="252525"/>
        </w:rPr>
        <w:t>See Note 13 “Restructuring expenses” to the Company’s consolidated financial statements included in this Quarterly Report on Form 10-Q.</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02" w:lineRule="exact"/>
        <w:rPr>
          <w:sz w:val="20"/>
          <w:szCs w:val="20"/>
          <w:color w:val="auto"/>
        </w:rPr>
      </w:pPr>
    </w:p>
    <w:p>
      <w:pPr>
        <w:ind w:left="60" w:right="139" w:firstLine="432"/>
        <w:spacing w:after="0" w:line="256" w:lineRule="auto"/>
        <w:rPr>
          <w:sz w:val="20"/>
          <w:szCs w:val="20"/>
          <w:color w:val="auto"/>
        </w:rPr>
      </w:pPr>
      <w:r>
        <w:rPr>
          <w:rFonts w:ascii="Times New Roman" w:cs="Times New Roman" w:eastAsia="Times New Roman" w:hAnsi="Times New Roman"/>
          <w:sz w:val="18"/>
          <w:szCs w:val="18"/>
          <w:color w:val="auto"/>
        </w:rPr>
        <w:t>Operating income for the first quarter of fiscal 2025 was $142.2 million, a decrease of $111.5 million or 44.0%, year over year. Operating income margin for the first quarter of fiscal 2025 was 2.5%, a decrease of 147 basis points compared to 4.0% in the first quarter of fiscal 2024. The decreases in operating income and operating income margin are primarily due to the decrease in gross profit primarily from lower sales without a proportionate decrease in SG&amp;A expenses, and restructuring, integration and other expenses, as discussed above. Adjusted operating income for the first quarter of fiscal 2025 was $168.9 million, a decrease of $92.8 million, or 35.4%.</w:t>
      </w:r>
    </w:p>
    <w:p>
      <w:pPr>
        <w:spacing w:after="0" w:line="187" w:lineRule="exact"/>
        <w:rPr>
          <w:sz w:val="20"/>
          <w:szCs w:val="20"/>
          <w:color w:val="auto"/>
        </w:rPr>
      </w:pPr>
    </w:p>
    <w:p>
      <w:pPr>
        <w:ind w:left="60" w:right="99" w:firstLine="427"/>
        <w:spacing w:after="0" w:line="254" w:lineRule="auto"/>
        <w:rPr>
          <w:sz w:val="20"/>
          <w:szCs w:val="20"/>
          <w:color w:val="auto"/>
        </w:rPr>
      </w:pPr>
      <w:r>
        <w:rPr>
          <w:rFonts w:ascii="Times New Roman" w:cs="Times New Roman" w:eastAsia="Times New Roman" w:hAnsi="Times New Roman"/>
          <w:sz w:val="18"/>
          <w:szCs w:val="18"/>
          <w:color w:val="auto"/>
        </w:rPr>
        <w:t>Comparing the first quarter of fiscal 2025 to the first quarter of fiscal 2024, EC operating income decreased 27.6% to $197.4 million, and EC operating income margin decreased 86 basis points to 3.8%, with decreases in the Americas and EMEA regions offset by an improvement in the Asia region. Farnell operating income decreased 89.5% to $1.9 million in the first quarter of fiscal 2025 and Farnell operating income margin decreased 366 basis points year over year to 0.5%. The decreases in operating income and operating income margin in both operating groups are due to the decrease in gross profit primarily from lower sales without a proportionate decrease in SG&amp;A expenses. Corporate operating expenses were $30.3 million in the first quarter of fiscal 2025, an increase of 5.4% when compared with $28.7 million in the first quarter of fiscal 2024.</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and Other Financing Expenses, Net and Other (Expense) Income, Net</w:t>
      </w:r>
    </w:p>
    <w:p>
      <w:pPr>
        <w:spacing w:after="0" w:line="189" w:lineRule="exact"/>
        <w:rPr>
          <w:sz w:val="20"/>
          <w:szCs w:val="20"/>
          <w:color w:val="auto"/>
        </w:rPr>
      </w:pPr>
    </w:p>
    <w:p>
      <w:pPr>
        <w:ind w:left="60" w:right="119" w:firstLine="432"/>
        <w:spacing w:after="0" w:line="261" w:lineRule="auto"/>
        <w:rPr>
          <w:sz w:val="20"/>
          <w:szCs w:val="20"/>
          <w:color w:val="auto"/>
        </w:rPr>
      </w:pPr>
      <w:r>
        <w:rPr>
          <w:rFonts w:ascii="Times New Roman" w:cs="Times New Roman" w:eastAsia="Times New Roman" w:hAnsi="Times New Roman"/>
          <w:sz w:val="18"/>
          <w:szCs w:val="18"/>
          <w:color w:val="auto"/>
        </w:rPr>
        <w:t xml:space="preserve">Interest and other financing expenses in the first quarter of fiscal 2025 were $64.4 million, a decrease of $6.4 million as compared to $70.8 million in the first quarter of fiscal 2024. </w:t>
      </w:r>
      <w:r>
        <w:rPr>
          <w:rFonts w:ascii="Times New Roman" w:cs="Times New Roman" w:eastAsia="Times New Roman" w:hAnsi="Times New Roman"/>
          <w:sz w:val="18"/>
          <w:szCs w:val="18"/>
          <w:color w:val="252525"/>
        </w:rPr>
        <w:t>The decrease in interest and other financing expenses in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first quarter of fiscal 2025 compared to fiscal 2024 is primarily a result of lower outstanding borrowings and average borrowing rates.</w:t>
      </w:r>
    </w:p>
    <w:p>
      <w:pPr>
        <w:spacing w:after="0" w:line="180" w:lineRule="exact"/>
        <w:rPr>
          <w:sz w:val="20"/>
          <w:szCs w:val="20"/>
          <w:color w:val="auto"/>
        </w:rPr>
      </w:pPr>
    </w:p>
    <w:p>
      <w:pPr>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The Company had other expenses of $3.0 million in the first quarter of fiscal 2025 compared to other income of $6.0 million in the first quarter of fiscal 2024. The increase in other expenses in the first quarter of fiscal 2025 is primarily due to foreign currency translation losses.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252525"/>
        </w:rPr>
        <w:t>Gain on Legal Settlements and other</w:t>
      </w:r>
    </w:p>
    <w:p>
      <w:pPr>
        <w:spacing w:after="0" w:line="189" w:lineRule="exact"/>
        <w:rPr>
          <w:sz w:val="20"/>
          <w:szCs w:val="20"/>
          <w:color w:val="auto"/>
        </w:rPr>
      </w:pPr>
    </w:p>
    <w:p>
      <w:pPr>
        <w:ind w:left="60" w:right="219" w:firstLine="432"/>
        <w:spacing w:after="0" w:line="282" w:lineRule="auto"/>
        <w:rPr>
          <w:sz w:val="20"/>
          <w:szCs w:val="20"/>
          <w:color w:val="auto"/>
        </w:rPr>
      </w:pPr>
      <w:r>
        <w:rPr>
          <w:rFonts w:ascii="Times New Roman" w:cs="Times New Roman" w:eastAsia="Times New Roman" w:hAnsi="Times New Roman"/>
          <w:sz w:val="18"/>
          <w:szCs w:val="18"/>
          <w:color w:val="auto"/>
        </w:rPr>
        <w:t>During the first quarter of fiscal 2024, the Company recorded a gain on legal settlements and other of $86.5 million in connection with the settlements of claims filed against certain manufacturers of capacitors.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Income Tax</w:t>
      </w:r>
    </w:p>
    <w:p>
      <w:pPr>
        <w:spacing w:after="0" w:line="202" w:lineRule="exact"/>
        <w:rPr>
          <w:sz w:val="20"/>
          <w:szCs w:val="20"/>
          <w:color w:val="auto"/>
        </w:rPr>
      </w:pPr>
    </w:p>
    <w:p>
      <w:pPr>
        <w:ind w:left="60" w:right="199" w:firstLine="427"/>
        <w:spacing w:after="0" w:line="258" w:lineRule="auto"/>
        <w:rPr>
          <w:sz w:val="20"/>
          <w:szCs w:val="20"/>
          <w:color w:val="auto"/>
        </w:rPr>
      </w:pPr>
      <w:r>
        <w:rPr>
          <w:rFonts w:ascii="Times New Roman" w:cs="Times New Roman" w:eastAsia="Times New Roman" w:hAnsi="Times New Roman"/>
          <w:sz w:val="18"/>
          <w:szCs w:val="18"/>
          <w:color w:val="auto"/>
        </w:rPr>
        <w:t xml:space="preserve">Income tax expenses were $15.8 million for the first quarter of fiscal 2025, reflecting an effective tax rate of 21.1% compared to $66.2 million, reflecting an effective tax rate of 24.0% in the first quarter of fiscal 2024. The decrease in the effective tax rate for the first quarter of fiscal 2025 as compared to the first quarter of fiscal 2024 was primarily due to the increases in tax attribute carryforwards, partially offset by the mix of income in higher tax jurisdictions. See Note 7 “Income taxes” to the Company’s consolidated financial statements included in this Quarterly Report on Form </w:t>
      </w:r>
      <w:r>
        <w:rPr>
          <w:rFonts w:ascii="Times New Roman" w:cs="Times New Roman" w:eastAsia="Times New Roman" w:hAnsi="Times New Roman"/>
          <w:sz w:val="18"/>
          <w:szCs w:val="18"/>
          <w:color w:val="252525"/>
        </w:rPr>
        <w:t>10-Q.</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189" w:lineRule="exact"/>
        <w:rPr>
          <w:sz w:val="20"/>
          <w:szCs w:val="20"/>
          <w:color w:val="auto"/>
        </w:rPr>
      </w:pPr>
    </w:p>
    <w:p>
      <w:pPr>
        <w:ind w:left="60" w:right="119" w:firstLine="427"/>
        <w:spacing w:after="0" w:line="266" w:lineRule="auto"/>
        <w:rPr>
          <w:sz w:val="20"/>
          <w:szCs w:val="20"/>
          <w:color w:val="auto"/>
        </w:rPr>
      </w:pPr>
      <w:r>
        <w:rPr>
          <w:rFonts w:ascii="Times New Roman" w:cs="Times New Roman" w:eastAsia="Times New Roman" w:hAnsi="Times New Roman"/>
          <w:sz w:val="18"/>
          <w:szCs w:val="18"/>
          <w:color w:val="auto"/>
        </w:rPr>
        <w:t>As a result of the factors described above, the Company’s net income for the first quarter of fiscal 2025 was $59.0 million, or $0.66 per share on a diluted basis, as compared with $209.3 million, or $2.25 per share on a diluted basis, in the first quarter of fiscal 2024.</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was $106.3 million for the first quarter of fiscal 2025, compared to net cash used by operating activities of $41.3 million for the first quarter of fiscal 2024. The $147.6 million increase in net cash provided by operating activities year over year is primarily due to improvements in cash used for working capital and other as working capital levels have begun to be more in line with sales, offset by lower cash provided by net income. Cash generated from working capital and other was $0.8 million during the first quarter of fiscal 2025, compared to cash used of $280.1 million during the first quarter of fiscal 2024, with the difference attributable primarily to inventories. During the first quarter of fiscal 2025, the Company used less cash to purchase inventory due to inventory levels already being elevated and because of lower sales. The Company also had increases in accounts receivable due to timing of sales and collections when compared to the prior year. The Company received $86.1 million of cash from legal settlements during the first quarter of fiscal 2024.</w:t>
      </w:r>
    </w:p>
    <w:p>
      <w:pPr>
        <w:spacing w:after="0" w:line="19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00" w:lineRule="exact"/>
        <w:rPr>
          <w:sz w:val="20"/>
          <w:szCs w:val="20"/>
          <w:color w:val="auto"/>
        </w:rPr>
      </w:pPr>
    </w:p>
    <w:p>
      <w:pPr>
        <w:ind w:left="60" w:right="59" w:firstLine="432"/>
        <w:spacing w:after="0" w:line="255" w:lineRule="auto"/>
        <w:rPr>
          <w:sz w:val="20"/>
          <w:szCs w:val="20"/>
          <w:color w:val="auto"/>
        </w:rPr>
      </w:pPr>
      <w:r>
        <w:rPr>
          <w:rFonts w:ascii="Times New Roman" w:cs="Times New Roman" w:eastAsia="Times New Roman" w:hAnsi="Times New Roman"/>
          <w:sz w:val="18"/>
          <w:szCs w:val="18"/>
          <w:color w:val="auto"/>
        </w:rPr>
        <w:t>Net borrowings of debt totaled $15.7 million during the first quarter of fiscal 2025, including net proceeds of $27.9 million under the Securitization Program, offset by net repayments of $11.4 million under the Credit Facility and $0.8 million for other debt. This compares to $151.4 million of net borrowing during the first quarter of the prior fiscal year. The Company paid cash dividends to shareholders of $0.33 per share, or $28.9 million, during the first quarter of fiscal 2025 as compared to $0.31 per share, or $28.3 million, during the first quarter of fiscal 2024. The Company has repurchased $100.0 million of common stock under the share repurchase plan during the first quarter of fiscal 2025 compared to $24.3 million in the same period of the prior year.</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187" w:lineRule="exact"/>
        <w:rPr>
          <w:sz w:val="20"/>
          <w:szCs w:val="20"/>
          <w:color w:val="auto"/>
        </w:rPr>
      </w:pPr>
    </w:p>
    <w:p>
      <w:pPr>
        <w:jc w:val="both"/>
        <w:ind w:left="60" w:right="119" w:firstLine="427"/>
        <w:spacing w:after="0" w:line="266" w:lineRule="auto"/>
        <w:rPr>
          <w:sz w:val="20"/>
          <w:szCs w:val="20"/>
          <w:color w:val="auto"/>
        </w:rPr>
      </w:pPr>
      <w:r>
        <w:rPr>
          <w:rFonts w:ascii="Times New Roman" w:cs="Times New Roman" w:eastAsia="Times New Roman" w:hAnsi="Times New Roman"/>
          <w:sz w:val="18"/>
          <w:szCs w:val="18"/>
          <w:color w:val="auto"/>
        </w:rPr>
        <w:t>The Company’s purchases of property, plant and equipment decreased during the first quarter of fiscal 2025 by $44.3 million, when compared to the same period in fiscal 2024, primarily due to distribution center investments in EMEA in the first quarter of fiscal 2024.</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Contractual Obligations</w:t>
      </w:r>
    </w:p>
    <w:p>
      <w:pPr>
        <w:spacing w:after="0" w:line="189" w:lineRule="exact"/>
        <w:rPr>
          <w:sz w:val="20"/>
          <w:szCs w:val="20"/>
          <w:color w:val="auto"/>
        </w:rPr>
      </w:pPr>
    </w:p>
    <w:p>
      <w:pPr>
        <w:ind w:left="60" w:right="99" w:firstLine="432"/>
        <w:spacing w:after="0" w:line="258" w:lineRule="auto"/>
        <w:rPr>
          <w:sz w:val="20"/>
          <w:szCs w:val="20"/>
          <w:color w:val="auto"/>
        </w:rPr>
      </w:pPr>
      <w:r>
        <w:rPr>
          <w:rFonts w:ascii="Times New Roman" w:cs="Times New Roman" w:eastAsia="Times New Roman" w:hAnsi="Times New Roman"/>
          <w:sz w:val="18"/>
          <w:szCs w:val="18"/>
          <w:color w:val="auto"/>
        </w:rPr>
        <w:t xml:space="preserve">For a detailed description of the Company’s long-term debt and lease commitments for the next five years and thereafter, see </w:t>
      </w:r>
      <w:r>
        <w:rPr>
          <w:rFonts w:ascii="Times New Roman" w:cs="Times New Roman" w:eastAsia="Times New Roman" w:hAnsi="Times New Roman"/>
          <w:sz w:val="18"/>
          <w:szCs w:val="18"/>
          <w:i w:val="1"/>
          <w:iCs w:val="1"/>
          <w:color w:val="auto"/>
        </w:rPr>
        <w:t>Long-Term Contractual Obligations</w:t>
      </w:r>
      <w:r>
        <w:rPr>
          <w:rFonts w:ascii="Times New Roman" w:cs="Times New Roman" w:eastAsia="Times New Roman" w:hAnsi="Times New Roman"/>
          <w:sz w:val="18"/>
          <w:szCs w:val="18"/>
          <w:color w:val="auto"/>
        </w:rPr>
        <w:t xml:space="preserve"> appearing in Item 7 of the Company’s Annual Report on Form 10-K for the fiscal year ended June 29, 2024. There are no material changes to this information outside of normal borrowings and repayments of long-term debt and operating lease payments. The Company does not currently have any material non-cancellable commitments for capital expenditures or inventory purchases outside of the normal course of business.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Financing Transactions</w:t>
      </w:r>
    </w:p>
    <w:p>
      <w:pPr>
        <w:spacing w:after="0" w:line="202" w:lineRule="exact"/>
        <w:rPr>
          <w:sz w:val="20"/>
          <w:szCs w:val="20"/>
          <w:color w:val="auto"/>
        </w:rPr>
      </w:pPr>
    </w:p>
    <w:p>
      <w:pPr>
        <w:ind w:left="60" w:right="319" w:firstLine="432"/>
        <w:spacing w:after="0" w:line="261" w:lineRule="auto"/>
        <w:rPr>
          <w:sz w:val="20"/>
          <w:szCs w:val="20"/>
          <w:color w:val="auto"/>
        </w:rPr>
      </w:pPr>
      <w:r>
        <w:rPr>
          <w:rFonts w:ascii="Times New Roman" w:cs="Times New Roman" w:eastAsia="Times New Roman" w:hAnsi="Times New Roman"/>
          <w:sz w:val="18"/>
          <w:szCs w:val="18"/>
          <w:color w:val="auto"/>
        </w:rPr>
        <w:t>See Note 4, “Debt” to the Company’s consolidated financial statements included in this Quarterly Report on Form 10-Q for additional information on financing transactions, including the Credit Facility, the Securitization Program, and other outstanding debt as of September 28, 2024. The Company was in compliance with all covenants under the Credit Facility and the Securitization Program as of September 28, 2024, and June 29, 2024.</w:t>
      </w:r>
    </w:p>
    <w:p>
      <w:pPr>
        <w:spacing w:after="0" w:line="180" w:lineRule="exact"/>
        <w:rPr>
          <w:sz w:val="20"/>
          <w:szCs w:val="20"/>
          <w:color w:val="auto"/>
        </w:rPr>
      </w:pPr>
    </w:p>
    <w:p>
      <w:pPr>
        <w:ind w:left="60" w:right="79" w:firstLine="427"/>
        <w:spacing w:after="0" w:line="261" w:lineRule="auto"/>
        <w:rPr>
          <w:sz w:val="20"/>
          <w:szCs w:val="20"/>
          <w:color w:val="auto"/>
        </w:rPr>
      </w:pPr>
      <w:r>
        <w:rPr>
          <w:rFonts w:ascii="Times New Roman" w:cs="Times New Roman" w:eastAsia="Times New Roman" w:hAnsi="Times New Roman"/>
          <w:sz w:val="18"/>
          <w:szCs w:val="18"/>
          <w:color w:val="auto"/>
        </w:rPr>
        <w:t>The Company has various lines of credit, financing arrangements, and other forms of bank debt in the U.S. and various foreign locations to fund the short-term working capital, foreign exchange, overdraft, capital expenditure, and letter of credit needs of its wholly owned subsidiaries. Outstanding borrowings under such forms of debt at the end of first quarter of fiscal 2025 was $0.10 billion.</w:t>
      </w:r>
    </w:p>
    <w:p>
      <w:pPr>
        <w:spacing w:after="0" w:line="180" w:lineRule="exact"/>
        <w:rPr>
          <w:sz w:val="20"/>
          <w:szCs w:val="20"/>
          <w:color w:val="auto"/>
        </w:rPr>
      </w:pPr>
    </w:p>
    <w:p>
      <w:pPr>
        <w:ind w:left="60" w:right="339" w:firstLine="427"/>
        <w:spacing w:after="0" w:line="312" w:lineRule="auto"/>
        <w:rPr>
          <w:sz w:val="20"/>
          <w:szCs w:val="20"/>
          <w:color w:val="auto"/>
        </w:rPr>
      </w:pPr>
      <w:r>
        <w:rPr>
          <w:rFonts w:ascii="Times New Roman" w:cs="Times New Roman" w:eastAsia="Times New Roman" w:hAnsi="Times New Roman"/>
          <w:sz w:val="17"/>
          <w:szCs w:val="17"/>
          <w:color w:val="auto"/>
        </w:rPr>
        <w:t>As an alternative form of liquidity outside of the United States, the Company sells certain of its trade accounts receivable on a non-recourse basis to financial institutions pursuant to factoring agreements. The Company accounts for</w:t>
      </w:r>
    </w:p>
    <w:p>
      <w:pPr>
        <w:sectPr>
          <w:pgSz w:w="11900" w:h="16838" w:orient="portrait"/>
          <w:cols w:equalWidth="0" w:num="1">
            <w:col w:w="9019"/>
          </w:cols>
          <w:pgMar w:left="1440" w:top="540"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both"/>
        <w:ind w:left="60" w:right="719"/>
        <w:spacing w:after="0" w:line="266" w:lineRule="auto"/>
        <w:rPr>
          <w:sz w:val="20"/>
          <w:szCs w:val="20"/>
          <w:color w:val="auto"/>
        </w:rPr>
      </w:pPr>
      <w:r>
        <w:rPr>
          <w:rFonts w:ascii="Times New Roman" w:cs="Times New Roman" w:eastAsia="Times New Roman" w:hAnsi="Times New Roman"/>
          <w:sz w:val="18"/>
          <w:szCs w:val="18"/>
          <w:color w:val="auto"/>
        </w:rPr>
        <w:t>these transactions as sales of receivables and presents cash proceeds as cash provided by operating activities in the consolidated statements of cash flows. Factoring fees for the sales of trade accounts receivable are recorded within “Interest and other financing expenses, net” and were not material to the consolidated financial statements.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202" w:lineRule="exact"/>
        <w:rPr>
          <w:sz w:val="20"/>
          <w:szCs w:val="20"/>
          <w:color w:val="auto"/>
        </w:rPr>
      </w:pPr>
    </w:p>
    <w:p>
      <w:pPr>
        <w:ind w:left="60" w:right="119" w:firstLine="432"/>
        <w:spacing w:after="0" w:line="266" w:lineRule="auto"/>
        <w:rPr>
          <w:sz w:val="20"/>
          <w:szCs w:val="20"/>
          <w:color w:val="auto"/>
        </w:rPr>
      </w:pPr>
      <w:r>
        <w:rPr>
          <w:rFonts w:ascii="Times New Roman" w:cs="Times New Roman" w:eastAsia="Times New Roman" w:hAnsi="Times New Roman"/>
          <w:sz w:val="18"/>
          <w:szCs w:val="18"/>
          <w:color w:val="auto"/>
        </w:rPr>
        <w:t>The Company held cash and cash equivalents of $267.5 million as of September 28, 2024, of which $230.1 million was held outside the United States. As of June 29, 2024, the Company held cash and cash equivalents of $310.9 million, of which $179.6 million was held outside of the United States.</w:t>
      </w:r>
    </w:p>
    <w:p>
      <w:pPr>
        <w:spacing w:after="0" w:line="176" w:lineRule="exact"/>
        <w:rPr>
          <w:sz w:val="20"/>
          <w:szCs w:val="20"/>
          <w:color w:val="auto"/>
        </w:rPr>
      </w:pPr>
    </w:p>
    <w:p>
      <w:pPr>
        <w:ind w:left="60" w:right="79" w:firstLine="432"/>
        <w:spacing w:after="0" w:line="261" w:lineRule="auto"/>
        <w:rPr>
          <w:sz w:val="20"/>
          <w:szCs w:val="20"/>
          <w:color w:val="auto"/>
        </w:rPr>
      </w:pPr>
      <w:r>
        <w:rPr>
          <w:rFonts w:ascii="Times New Roman" w:cs="Times New Roman" w:eastAsia="Times New Roman" w:hAnsi="Times New Roman"/>
          <w:sz w:val="18"/>
          <w:szCs w:val="18"/>
          <w:color w:val="auto"/>
        </w:rPr>
        <w:t>During periods of weakening demand in the electronic components industry, the Company typically generates cash from operating activities. Conversely, the Company will use cash for working capital requirements during periods of higher growth. The Company generated $837.6 million in cash flows from operating activities over the trailing four fiscal quarters ended September 28, 2024.</w:t>
      </w:r>
    </w:p>
    <w:p>
      <w:pPr>
        <w:spacing w:after="0" w:line="180" w:lineRule="exact"/>
        <w:rPr>
          <w:sz w:val="20"/>
          <w:szCs w:val="20"/>
          <w:color w:val="auto"/>
        </w:rPr>
      </w:pPr>
    </w:p>
    <w:p>
      <w:pPr>
        <w:ind w:left="60" w:right="159" w:firstLine="427"/>
        <w:spacing w:after="0" w:line="255" w:lineRule="auto"/>
        <w:rPr>
          <w:sz w:val="20"/>
          <w:szCs w:val="20"/>
          <w:color w:val="auto"/>
        </w:rPr>
      </w:pPr>
      <w:r>
        <w:rPr>
          <w:rFonts w:ascii="Times New Roman" w:cs="Times New Roman" w:eastAsia="Times New Roman" w:hAnsi="Times New Roman"/>
          <w:sz w:val="18"/>
          <w:szCs w:val="18"/>
          <w:color w:val="auto"/>
        </w:rPr>
        <w:t>Liquidity is subject to many factors, such as normal business operations and general economic, financial, competitive, legislative, and regulatory factors that are beyond the Company’s control. Cash balances held in foreign locations that cannot be remitted back to the U.S. in a tax efficient manner are generally used for ongoing working capital, including the need to purchase inventories, capital expenditures, and other foreign business needs. In addition, local government regulations may restrict the Company’s ability to move funds among various locations under certain circumstances. Management does not believe such restrictions would limit the Company’s ability to pursue its intended business strategy.</w:t>
      </w:r>
    </w:p>
    <w:p>
      <w:pPr>
        <w:spacing w:after="0" w:line="189" w:lineRule="exact"/>
        <w:rPr>
          <w:sz w:val="20"/>
          <w:szCs w:val="20"/>
          <w:color w:val="auto"/>
        </w:rPr>
      </w:pPr>
    </w:p>
    <w:p>
      <w:pPr>
        <w:ind w:left="60" w:right="79" w:firstLine="427"/>
        <w:spacing w:after="0" w:line="255" w:lineRule="auto"/>
        <w:rPr>
          <w:sz w:val="20"/>
          <w:szCs w:val="20"/>
          <w:color w:val="auto"/>
        </w:rPr>
      </w:pPr>
      <w:r>
        <w:rPr>
          <w:rFonts w:ascii="Times New Roman" w:cs="Times New Roman" w:eastAsia="Times New Roman" w:hAnsi="Times New Roman"/>
          <w:sz w:val="18"/>
          <w:szCs w:val="18"/>
          <w:color w:val="auto"/>
        </w:rPr>
        <w:t>As of the end of the first quarter of fiscal 2025, the Company had a combined total borrowing capacity of $2.20 billion under the Credit Facility and the Securitization Program. There were $768.6 million of borrowings outstanding and $0.9 million in letters of credit issued under the Credit Facility, and $443.0 million outstanding under the Securitization Program, resulting in approximately $824.7 million of total committed availability as of September 28, 2024. Availability under the Securitization Program is subject to the Company having sufficient eligible trade accounts receivable in the United States to support desired borrowings. The Company expects to amend and extend the Securitization Program during the second quarter of fiscal 2025 in the normal course of business.</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During the first quarter of fiscal 2025, the Company had an average daily balance outstanding of approximately</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$1.09 billion under the Credit Facility, and approximately $468.4 million under the Securitization Program. The Company</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also has average borrowings that are higher than quarter end borrowings from various lines of credit, financing</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arrangements, and other forms of bank debt in the U.S. and various foreign locations.</w:t>
      </w:r>
    </w:p>
    <w:p>
      <w:pPr>
        <w:spacing w:after="0" w:line="207" w:lineRule="exact"/>
        <w:rPr>
          <w:sz w:val="20"/>
          <w:szCs w:val="20"/>
          <w:color w:val="auto"/>
        </w:rPr>
      </w:pPr>
    </w:p>
    <w:p>
      <w:pPr>
        <w:ind w:left="60" w:right="199" w:firstLine="427"/>
        <w:spacing w:after="0" w:line="277" w:lineRule="auto"/>
        <w:rPr>
          <w:sz w:val="20"/>
          <w:szCs w:val="20"/>
          <w:color w:val="auto"/>
        </w:rPr>
      </w:pPr>
      <w:r>
        <w:rPr>
          <w:rFonts w:ascii="Times New Roman" w:cs="Times New Roman" w:eastAsia="Times New Roman" w:hAnsi="Times New Roman"/>
          <w:sz w:val="17"/>
          <w:szCs w:val="17"/>
          <w:color w:val="auto"/>
        </w:rPr>
        <w:t>As of September 28, 2024, the Company may repurchase up to an aggregate of $566.6 million of shares of the Company’s common stock through the share repurchase program approved by the Board of Directors. The Company may repurchase stock from time to time at the discretion of management, subject to strategic considerations, market conditions (including share price), and other factors. The Company may terminate or limit the share repurchase program at any time without prior notice. During the first quarter of fiscal 2025, the Company repurchased $99.0 million of common stock.</w:t>
      </w:r>
    </w:p>
    <w:p>
      <w:pPr>
        <w:spacing w:after="0" w:line="168" w:lineRule="exact"/>
        <w:rPr>
          <w:sz w:val="20"/>
          <w:szCs w:val="20"/>
          <w:color w:val="auto"/>
        </w:rPr>
      </w:pPr>
    </w:p>
    <w:p>
      <w:pPr>
        <w:ind w:left="60" w:right="159" w:firstLine="427"/>
        <w:spacing w:after="0" w:line="266" w:lineRule="auto"/>
        <w:rPr>
          <w:sz w:val="20"/>
          <w:szCs w:val="20"/>
          <w:color w:val="auto"/>
        </w:rPr>
      </w:pPr>
      <w:r>
        <w:rPr>
          <w:rFonts w:ascii="Times New Roman" w:cs="Times New Roman" w:eastAsia="Times New Roman" w:hAnsi="Times New Roman"/>
          <w:sz w:val="18"/>
          <w:szCs w:val="18"/>
          <w:color w:val="auto"/>
        </w:rPr>
        <w:t>The Company has historically paid quarterly cash dividends on shares of its common stock, and future dividends are subject to approval by the Board of Directors. During the first quarter of fiscal 2025, the Board of Directors approved a dividend of $0.33 per share, which resulted in $28.9 million of dividend payments during the quarter.</w:t>
      </w:r>
    </w:p>
    <w:p>
      <w:pPr>
        <w:spacing w:after="0" w:line="176" w:lineRule="exact"/>
        <w:rPr>
          <w:sz w:val="20"/>
          <w:szCs w:val="20"/>
          <w:color w:val="auto"/>
        </w:rPr>
      </w:pPr>
    </w:p>
    <w:p>
      <w:pPr>
        <w:ind w:left="60" w:right="99" w:firstLine="427"/>
        <w:spacing w:after="0" w:line="258" w:lineRule="auto"/>
        <w:rPr>
          <w:sz w:val="20"/>
          <w:szCs w:val="20"/>
          <w:color w:val="auto"/>
        </w:rPr>
      </w:pPr>
      <w:r>
        <w:rPr>
          <w:rFonts w:ascii="Times New Roman" w:cs="Times New Roman" w:eastAsia="Times New Roman" w:hAnsi="Times New Roman"/>
          <w:sz w:val="18"/>
          <w:szCs w:val="18"/>
          <w:color w:val="auto"/>
        </w:rPr>
        <w:t>The Company continually monitors and reviews its liquidity position and funding needs. Management believes that the Company’s ability to generate operating cash flows through the liquidation of working capital in the future and available borrowing capacity, including capacity for the non-recourse sale of trade accounts receivable, will be sufficient to meet its future liquidity needs. Additionally, the Company believes that it has sufficient access to additional liquidity from the capital markets if necessary.</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02" w:lineRule="exact"/>
        <w:rPr>
          <w:sz w:val="20"/>
          <w:szCs w:val="20"/>
          <w:color w:val="auto"/>
        </w:rPr>
      </w:pPr>
    </w:p>
    <w:p>
      <w:pPr>
        <w:ind w:left="60" w:right="339" w:firstLine="427"/>
        <w:spacing w:after="0" w:line="266" w:lineRule="auto"/>
        <w:rPr>
          <w:sz w:val="20"/>
          <w:szCs w:val="20"/>
          <w:color w:val="auto"/>
        </w:rPr>
      </w:pPr>
      <w:r>
        <w:rPr>
          <w:rFonts w:ascii="Times New Roman" w:cs="Times New Roman" w:eastAsia="Times New Roman" w:hAnsi="Times New Roman"/>
          <w:sz w:val="18"/>
          <w:szCs w:val="18"/>
          <w:color w:val="auto"/>
        </w:rPr>
        <w:t>See Note 1, “Basis of presentation and new accounting pronouncements” to the Company’s consolidated financial statements included in this Quarterly Report on Form 10-Q for a description of recently issued accounting pronouncements.</w:t>
      </w:r>
    </w:p>
    <w:p>
      <w:pPr>
        <w:spacing w:after="0" w:line="172"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9" w:lineRule="exact"/>
        <w:rPr>
          <w:sz w:val="20"/>
          <w:szCs w:val="20"/>
          <w:color w:val="auto"/>
        </w:rPr>
      </w:pPr>
    </w:p>
    <w:p>
      <w:pPr>
        <w:ind w:left="60" w:right="179" w:firstLine="432"/>
        <w:spacing w:after="0" w:line="261" w:lineRule="auto"/>
        <w:rPr>
          <w:sz w:val="20"/>
          <w:szCs w:val="20"/>
          <w:color w:val="auto"/>
        </w:rPr>
      </w:pPr>
      <w:r>
        <w:rPr>
          <w:rFonts w:ascii="Times New Roman" w:cs="Times New Roman" w:eastAsia="Times New Roman" w:hAnsi="Times New Roman"/>
          <w:sz w:val="18"/>
          <w:szCs w:val="18"/>
          <w:color w:val="auto"/>
        </w:rPr>
        <w:t>The Company seeks to reduce earnings and cash flow volatility associated with changes in interest rates and foreign currency exchange rates through financial arrangements that are intended to provide an economic hedge against the risks associated with such volatility. The Company continues to have exposure to such risks to the extent they are not economically hedged.</w:t>
      </w:r>
    </w:p>
    <w:p>
      <w:pPr>
        <w:spacing w:after="0" w:line="178" w:lineRule="exact"/>
        <w:rPr>
          <w:sz w:val="20"/>
          <w:szCs w:val="20"/>
          <w:color w:val="auto"/>
        </w:rPr>
      </w:pPr>
    </w:p>
    <w:p>
      <w:pPr>
        <w:ind w:left="60" w:right="79" w:firstLine="427"/>
        <w:spacing w:after="0" w:line="256" w:lineRule="auto"/>
        <w:rPr>
          <w:sz w:val="20"/>
          <w:szCs w:val="20"/>
          <w:color w:val="auto"/>
        </w:rPr>
      </w:pPr>
      <w:r>
        <w:rPr>
          <w:rFonts w:ascii="Times New Roman" w:cs="Times New Roman" w:eastAsia="Times New Roman" w:hAnsi="Times New Roman"/>
          <w:sz w:val="18"/>
          <w:szCs w:val="18"/>
          <w:color w:val="auto"/>
        </w:rPr>
        <w:t xml:space="preserve">See Item 7A,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in the Company’s Annual Report on Form 10-K for the fiscal year ended June 29, 2024, for further discussion of market risks associated with foreign currency exchange rates and interest rates. Avnet’s exposure to such risks has not changed materially since June 29, 2024, as the Company continues to economically hedge the majority of its foreign currency exchange exposures. Thus, any increase or decrease in the fair value of the Company’s forward foreign currency exchange contracts is generally offset by an opposite effect on the related economically hedged position. For interest rate risk, the Company continues to maintain a combination of fixed and variable rate debt to mitigate the exposure to fluctuations in market interest rates.</w:t>
      </w:r>
    </w:p>
    <w:p>
      <w:pPr>
        <w:spacing w:after="0" w:line="183" w:lineRule="exact"/>
        <w:rPr>
          <w:sz w:val="20"/>
          <w:szCs w:val="20"/>
          <w:color w:val="auto"/>
        </w:rPr>
      </w:pPr>
    </w:p>
    <w:p>
      <w:pPr>
        <w:ind w:left="60" w:right="59" w:firstLine="427"/>
        <w:spacing w:after="0" w:line="257" w:lineRule="auto"/>
        <w:rPr>
          <w:sz w:val="20"/>
          <w:szCs w:val="20"/>
          <w:color w:val="auto"/>
        </w:rPr>
      </w:pPr>
      <w:r>
        <w:rPr>
          <w:rFonts w:ascii="Times New Roman" w:cs="Times New Roman" w:eastAsia="Times New Roman" w:hAnsi="Times New Roman"/>
          <w:sz w:val="18"/>
          <w:szCs w:val="18"/>
          <w:color w:val="auto"/>
        </w:rPr>
        <w:t xml:space="preserve">See </w:t>
      </w:r>
      <w:r>
        <w:rPr>
          <w:rFonts w:ascii="Times New Roman" w:cs="Times New Roman" w:eastAsia="Times New Roman" w:hAnsi="Times New Roman"/>
          <w:sz w:val="18"/>
          <w:szCs w:val="18"/>
          <w:i w:val="1"/>
          <w:iCs w:val="1"/>
          <w:color w:val="auto"/>
        </w:rPr>
        <w:t>Liquidity and Capital Resources — Financing Transactions</w:t>
      </w:r>
      <w:r>
        <w:rPr>
          <w:rFonts w:ascii="Times New Roman" w:cs="Times New Roman" w:eastAsia="Times New Roman" w:hAnsi="Times New Roman"/>
          <w:sz w:val="18"/>
          <w:szCs w:val="18"/>
          <w:color w:val="auto"/>
        </w:rPr>
        <w:t xml:space="preserve"> appearing in Item 2 of this Quarterly Report on Form 10-Q for further discussion of the Company’s financing transactions and capital structure. As of September 28, 2024, approximately 56% of the Company’s debt bears interest at a fixed rate and 44% of the Company’s debt bears interest at variable rates. Therefore, a hypothetical 1.0% (100 basis points) increase in interest rates would result in a $3.2 million decrease in income before income taxes in the Company’s consolidated statement of operations for the first quarter of fiscal 2025.</w:t>
      </w:r>
    </w:p>
    <w:p>
      <w:pPr>
        <w:spacing w:after="0" w:line="18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89" w:lineRule="exact"/>
        <w:rPr>
          <w:sz w:val="20"/>
          <w:szCs w:val="20"/>
          <w:color w:val="auto"/>
        </w:rPr>
      </w:pPr>
    </w:p>
    <w:p>
      <w:pPr>
        <w:ind w:left="60" w:right="99" w:firstLine="432"/>
        <w:spacing w:after="0" w:line="253" w:lineRule="auto"/>
        <w:rPr>
          <w:sz w:val="20"/>
          <w:szCs w:val="20"/>
          <w:color w:val="auto"/>
        </w:rPr>
      </w:pPr>
      <w:r>
        <w:rPr>
          <w:rFonts w:ascii="Times New Roman" w:cs="Times New Roman" w:eastAsia="Times New Roman" w:hAnsi="Times New Roman"/>
          <w:sz w:val="18"/>
          <w:szCs w:val="18"/>
          <w:color w:val="auto"/>
        </w:rPr>
        <w:t>The Company’s management, including its Chief Executive Officer and Chief Financial Officer, have evaluated the effectiveness of the Company’s disclosure controls and procedures (as such term is defined in Rules 13a-15(e) and 15d-15(e) under the Securities Exchange Act of 1934 (the “Exchange Act”)) as of the end of the reporting period covered by this Quarterly Report on Form 10-Q. Based on such evaluation, the Chief Executive Officer and Chief Financial Officer have concluded that, as of the end of the period covered by this Quarterly Report on Form 10-Q, the Company’s disclosure controls and procedures are effective such that material information required to be disclosed by the Company in the reports that it files or submits under the Exchange Act is recorded, processed, summarized, and reported, within the time periods specified by the Securities and Exchange Commission’s rules and forms and is accumulated and communicated to management, including the Company’s principal executive officer and principal financial officer, as appropriate, to allow timely decisions regarding required disclosure.</w:t>
      </w:r>
    </w:p>
    <w:p>
      <w:pPr>
        <w:spacing w:after="0" w:line="194" w:lineRule="exact"/>
        <w:rPr>
          <w:sz w:val="20"/>
          <w:szCs w:val="20"/>
          <w:color w:val="auto"/>
        </w:rPr>
      </w:pPr>
    </w:p>
    <w:p>
      <w:pPr>
        <w:ind w:left="60" w:right="439" w:firstLine="432"/>
        <w:spacing w:after="0" w:line="266" w:lineRule="auto"/>
        <w:rPr>
          <w:sz w:val="20"/>
          <w:szCs w:val="20"/>
          <w:color w:val="auto"/>
        </w:rPr>
      </w:pPr>
      <w:r>
        <w:rPr>
          <w:rFonts w:ascii="Times New Roman" w:cs="Times New Roman" w:eastAsia="Times New Roman" w:hAnsi="Times New Roman"/>
          <w:sz w:val="18"/>
          <w:szCs w:val="18"/>
          <w:color w:val="auto"/>
        </w:rPr>
        <w:t>During the first quarter of fiscal 2025, there were no changes to the Company’s internal control over financial reporting (as defined in Rules 13a-15(f) and 15d-15(f) of the Exchange Act) that materially affected, or are reasonably likely to materially affect, the Company’s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INFORMATION</w:t>
      </w:r>
    </w:p>
    <w:p>
      <w:pPr>
        <w:spacing w:after="0" w:line="225"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89" w:lineRule="exact"/>
        <w:rPr>
          <w:sz w:val="20"/>
          <w:szCs w:val="20"/>
          <w:color w:val="auto"/>
        </w:rPr>
      </w:pPr>
    </w:p>
    <w:p>
      <w:pPr>
        <w:ind w:left="60" w:right="319" w:firstLine="432"/>
        <w:spacing w:after="0" w:line="289" w:lineRule="auto"/>
        <w:rPr>
          <w:sz w:val="20"/>
          <w:szCs w:val="20"/>
          <w:color w:val="auto"/>
        </w:rPr>
      </w:pPr>
      <w:r>
        <w:rPr>
          <w:rFonts w:ascii="Times New Roman" w:cs="Times New Roman" w:eastAsia="Times New Roman" w:hAnsi="Times New Roman"/>
          <w:sz w:val="17"/>
          <w:szCs w:val="17"/>
          <w:color w:val="auto"/>
        </w:rPr>
        <w:t>Pursuant to SEC regulations, including but not limited to Item 103 of Regulation S-K, the Company regularly assesses the status of and developments in pending environmental and other legal proceedings to determine whether any such proceedings should be identified specifically in this discussion of legal proceedings, and has concluded that no</w:t>
      </w:r>
    </w:p>
    <w:p>
      <w:pPr>
        <w:sectPr>
          <w:pgSz w:w="11900" w:h="16838" w:orient="portrait"/>
          <w:cols w:equalWidth="0" w:num="1">
            <w:col w:w="9019"/>
          </w:cols>
          <w:pgMar w:left="1440" w:top="540"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60" w:right="239"/>
        <w:spacing w:after="0" w:line="266" w:lineRule="auto"/>
        <w:rPr>
          <w:sz w:val="20"/>
          <w:szCs w:val="20"/>
          <w:color w:val="auto"/>
        </w:rPr>
      </w:pPr>
      <w:r>
        <w:rPr>
          <w:rFonts w:ascii="Times New Roman" w:cs="Times New Roman" w:eastAsia="Times New Roman" w:hAnsi="Times New Roman"/>
          <w:sz w:val="18"/>
          <w:szCs w:val="18"/>
          <w:color w:val="auto"/>
        </w:rPr>
        <w:t>particular pending legal proceeding requires public disclosure. Based on the information known to date, management believes that the Company has appropriately accrued in its consolidated financial statements for its share of the estimable costs of environmental and other legal proceedings.</w:t>
      </w:r>
    </w:p>
    <w:p>
      <w:pPr>
        <w:spacing w:after="0" w:line="176" w:lineRule="exact"/>
        <w:rPr>
          <w:sz w:val="20"/>
          <w:szCs w:val="20"/>
          <w:color w:val="auto"/>
        </w:rPr>
      </w:pPr>
    </w:p>
    <w:p>
      <w:pPr>
        <w:jc w:val="both"/>
        <w:ind w:left="60" w:right="299" w:firstLine="432"/>
        <w:spacing w:after="0" w:line="281" w:lineRule="auto"/>
        <w:rPr>
          <w:sz w:val="20"/>
          <w:szCs w:val="20"/>
          <w:color w:val="auto"/>
        </w:rPr>
      </w:pPr>
      <w:r>
        <w:rPr>
          <w:rFonts w:ascii="Times New Roman" w:cs="Times New Roman" w:eastAsia="Times New Roman" w:hAnsi="Times New Roman"/>
          <w:sz w:val="17"/>
          <w:szCs w:val="17"/>
          <w:color w:val="auto"/>
        </w:rPr>
        <w:t>The Company is also currently subject to various pending and potential legal matters and investigations relating to compliance with governmental laws and regulations, including import/export and environmental matters. The Company currently believes that the resolution of such matters will not have a material adverse effect on the Company’s financial position or liquidity but could possibly be material to its results of operations in any single reporting period.</w:t>
      </w:r>
    </w:p>
    <w:p>
      <w:pPr>
        <w:spacing w:after="0" w:line="160"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89" w:lineRule="exact"/>
        <w:rPr>
          <w:sz w:val="20"/>
          <w:szCs w:val="20"/>
          <w:color w:val="auto"/>
        </w:rPr>
      </w:pPr>
    </w:p>
    <w:p>
      <w:pPr>
        <w:ind w:left="60" w:right="99" w:firstLine="432"/>
        <w:spacing w:after="0" w:line="256" w:lineRule="auto"/>
        <w:rPr>
          <w:sz w:val="20"/>
          <w:szCs w:val="20"/>
          <w:color w:val="auto"/>
        </w:rPr>
      </w:pPr>
      <w:r>
        <w:rPr>
          <w:rFonts w:ascii="Times New Roman" w:cs="Times New Roman" w:eastAsia="Times New Roman" w:hAnsi="Times New Roman"/>
          <w:sz w:val="18"/>
          <w:szCs w:val="18"/>
          <w:color w:val="auto"/>
        </w:rPr>
        <w:t>The discussion of the Company’s business and operations should be read together with the risk factors contained in Item 1A of its Annual Report on Form 10-K for the fiscal year ended June 29, 2024, which describe various risks and uncertainties to which the Company is or may become subject. These risks and uncertainties have the potential to affect the Company’s business, financial condition, results of operations, cash flows, strategies or prospects in a material and adverse manner. As of September 28, 2024, there have been no material changes to the risk factors set forth in the Company’s Annual Report on Form 10-K for the fiscal year ended June 29, 2024.</w:t>
      </w:r>
    </w:p>
    <w:p>
      <w:pPr>
        <w:spacing w:after="0" w:line="183"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89" w:lineRule="exact"/>
        <w:rPr>
          <w:sz w:val="20"/>
          <w:szCs w:val="20"/>
          <w:color w:val="auto"/>
        </w:rPr>
      </w:pPr>
    </w:p>
    <w:p>
      <w:pPr>
        <w:ind w:left="60" w:right="219" w:firstLine="427"/>
        <w:spacing w:after="0" w:line="261" w:lineRule="auto"/>
        <w:rPr>
          <w:sz w:val="20"/>
          <w:szCs w:val="20"/>
          <w:color w:val="auto"/>
        </w:rPr>
      </w:pPr>
      <w:r>
        <w:rPr>
          <w:rFonts w:ascii="Times New Roman" w:cs="Times New Roman" w:eastAsia="Times New Roman" w:hAnsi="Times New Roman"/>
          <w:sz w:val="18"/>
          <w:szCs w:val="18"/>
          <w:color w:val="auto"/>
        </w:rPr>
        <w:t>The Company’s Board of Directors approved the repurchase plan of up to an aggregate of $600 million of common stock including the increase approved in August 2024. The following table includes the Company’s monthly purchases of the Company’s common stock, excluding excise tax, during the first quarter of fiscal 2025, under the share repurchase program, which is part of publicly announced plans.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78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Approximate Dollar</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Average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780" w:type="dxa"/>
            <w:vAlign w:val="bottom"/>
            <w:gridSpan w:val="3"/>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Value of Shares That</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80" w:type="dxa"/>
            <w:vAlign w:val="bottom"/>
          </w:tcPr>
          <w:p>
            <w:pPr>
              <w:spacing w:after="0"/>
              <w:rPr>
                <w:sz w:val="18"/>
                <w:szCs w:val="18"/>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Price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as Part of Publicly</w:t>
            </w:r>
          </w:p>
        </w:tc>
        <w:tc>
          <w:tcPr>
            <w:tcW w:w="100" w:type="dxa"/>
            <w:vAlign w:val="bottom"/>
          </w:tcPr>
          <w:p>
            <w:pPr>
              <w:spacing w:after="0"/>
              <w:rPr>
                <w:sz w:val="18"/>
                <w:szCs w:val="18"/>
                <w:color w:val="auto"/>
              </w:rPr>
            </w:pPr>
          </w:p>
        </w:tc>
        <w:tc>
          <w:tcPr>
            <w:tcW w:w="168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May Yet Be</w:t>
            </w:r>
          </w:p>
        </w:tc>
      </w:tr>
      <w:tr>
        <w:trPr>
          <w:trHeight w:val="216"/>
        </w:trPr>
        <w:tc>
          <w:tcPr>
            <w:tcW w:w="3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of Shares</w:t>
            </w:r>
          </w:p>
        </w:tc>
        <w:tc>
          <w:tcPr>
            <w:tcW w:w="8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Paid per</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Announced Plans</w:t>
            </w:r>
          </w:p>
        </w:tc>
        <w:tc>
          <w:tcPr>
            <w:tcW w:w="10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Purchased under the</w:t>
            </w:r>
          </w:p>
        </w:tc>
      </w:tr>
      <w:tr>
        <w:trPr>
          <w:trHeight w:val="245"/>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80" w:type="dxa"/>
            <w:vAlign w:val="bottom"/>
          </w:tcPr>
          <w:p>
            <w:pPr>
              <w:spacing w:after="0"/>
              <w:rPr>
                <w:sz w:val="21"/>
                <w:szCs w:val="21"/>
                <w:color w:val="auto"/>
              </w:rPr>
            </w:pPr>
          </w:p>
        </w:tc>
        <w:tc>
          <w:tcPr>
            <w:tcW w:w="7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17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or Programs</w:t>
            </w:r>
          </w:p>
        </w:tc>
        <w:tc>
          <w:tcPr>
            <w:tcW w:w="100" w:type="dxa"/>
            <w:vAlign w:val="bottom"/>
          </w:tcPr>
          <w:p>
            <w:pPr>
              <w:spacing w:after="0"/>
              <w:rPr>
                <w:sz w:val="21"/>
                <w:szCs w:val="21"/>
                <w:color w:val="auto"/>
              </w:rPr>
            </w:pPr>
          </w:p>
        </w:tc>
        <w:tc>
          <w:tcPr>
            <w:tcW w:w="16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Plans or Programs</w:t>
            </w:r>
          </w:p>
        </w:tc>
      </w:tr>
      <w:tr>
        <w:trPr>
          <w:trHeight w:val="216"/>
        </w:trPr>
        <w:tc>
          <w:tcPr>
            <w:tcW w:w="33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June 30 – July 27</w:t>
            </w:r>
          </w:p>
        </w:tc>
        <w:tc>
          <w:tcPr>
            <w:tcW w:w="2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52.41</w:t>
            </w:r>
          </w:p>
        </w:tc>
        <w:tc>
          <w:tcPr>
            <w:tcW w:w="1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760,000</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113,902,000</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35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July 28 – August 24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633,171</w:t>
            </w:r>
          </w:p>
        </w:tc>
        <w:tc>
          <w:tcPr>
            <w:tcW w:w="200" w:type="dxa"/>
            <w:vAlign w:val="bottom"/>
          </w:tcPr>
          <w:p>
            <w:pPr>
              <w:spacing w:after="0"/>
              <w:rPr>
                <w:sz w:val="18"/>
                <w:szCs w:val="18"/>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633,171</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592,316,000</w:t>
            </w:r>
          </w:p>
        </w:tc>
        <w:tc>
          <w:tcPr>
            <w:tcW w:w="40" w:type="dxa"/>
            <w:vAlign w:val="bottom"/>
          </w:tcPr>
          <w:p>
            <w:pPr>
              <w:spacing w:after="0"/>
              <w:rPr>
                <w:sz w:val="18"/>
                <w:szCs w:val="18"/>
                <w:color w:val="auto"/>
              </w:rPr>
            </w:pPr>
          </w:p>
        </w:tc>
      </w:tr>
      <w:tr>
        <w:trPr>
          <w:trHeight w:val="216"/>
        </w:trPr>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25 – September 28</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494,386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494,386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566,605,000</w:t>
            </w:r>
          </w:p>
        </w:tc>
        <w:tc>
          <w:tcPr>
            <w:tcW w:w="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tabs>
          <w:tab w:leader="none" w:pos="100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6" w:lineRule="exact"/>
        <w:rPr>
          <w:sz w:val="20"/>
          <w:szCs w:val="20"/>
          <w:color w:val="auto"/>
        </w:rPr>
      </w:pPr>
    </w:p>
    <w:p>
      <w:pPr>
        <w:ind w:left="280"/>
        <w:spacing w:after="0"/>
        <w:tabs>
          <w:tab w:leader="none" w:pos="1400" w:val="left"/>
        </w:tabs>
        <w:rPr>
          <w:sz w:val="20"/>
          <w:szCs w:val="20"/>
          <w:color w:val="auto"/>
        </w:rPr>
      </w:pPr>
      <w:r>
        <w:rPr>
          <w:rFonts w:ascii="Times New Roman" w:cs="Times New Roman" w:eastAsia="Times New Roman" w:hAnsi="Times New Roman"/>
          <w:sz w:val="18"/>
          <w:szCs w:val="18"/>
          <w:b w:val="1"/>
          <w:bCs w:val="1"/>
          <w:color w:val="auto"/>
        </w:rPr>
        <w:t>Number</w:t>
      </w:r>
      <w:r>
        <w:rPr>
          <w:sz w:val="20"/>
          <w:szCs w:val="20"/>
          <w:color w:val="auto"/>
        </w:rPr>
        <w:tab/>
      </w:r>
      <w:r>
        <w:rPr>
          <w:rFonts w:ascii="Times New Roman" w:cs="Times New Roman" w:eastAsia="Times New Roman" w:hAnsi="Times New Roman"/>
          <w:sz w:val="18"/>
          <w:szCs w:val="18"/>
          <w:b w:val="1"/>
          <w:bCs w:val="1"/>
          <w:color w:val="auto"/>
        </w:rPr>
        <w:t>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36830</wp:posOffset>
            </wp:positionV>
            <wp:extent cx="56489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50" w:lineRule="exact"/>
        <w:rPr>
          <w:sz w:val="20"/>
          <w:szCs w:val="20"/>
          <w:color w:val="auto"/>
        </w:rPr>
      </w:pPr>
    </w:p>
    <w:tbl>
      <w:tblPr>
        <w:tblLayout w:type="fixed"/>
        <w:tblInd w:w="320" w:type="dxa"/>
        <w:tblCellMar>
          <w:top w:w="0" w:type="dxa"/>
          <w:left w:w="0" w:type="dxa"/>
          <w:bottom w:w="0" w:type="dxa"/>
          <w:right w:w="0" w:type="dxa"/>
        </w:tblCellMar>
      </w:tblPr>
      <w:tr>
        <w:trPr>
          <w:trHeight w:val="207"/>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31.1*</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42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31.2*</w:t>
            </w: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42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32.1**</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Certification of Chief Executive Officer pursuant to Section 906 of the Sarbanes-Oxley Act of 2002.</w:t>
            </w:r>
          </w:p>
        </w:tc>
      </w:tr>
      <w:tr>
        <w:trPr>
          <w:trHeight w:val="42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32.2**</w:t>
            </w:r>
          </w:p>
        </w:tc>
        <w:tc>
          <w:tcPr>
            <w:tcW w:w="7180" w:type="dxa"/>
            <w:vAlign w:val="bottom"/>
            <w:tcBorders>
              <w:top w:val="single" w:sz="8" w:color="0000EE"/>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906 of the Sarbanes-Oxley Act of 2002.</w:t>
            </w: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448"/>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101.INS*</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XBRL - the instance document does not appear in the Interactive Data File because its XBRL tags are</w:t>
            </w:r>
          </w:p>
        </w:tc>
      </w:tr>
      <w:tr>
        <w:trPr>
          <w:trHeight w:val="234"/>
        </w:trPr>
        <w:tc>
          <w:tcPr>
            <w:tcW w:w="1100" w:type="dxa"/>
            <w:vAlign w:val="bottom"/>
          </w:tcPr>
          <w:p>
            <w:pPr>
              <w:spacing w:after="0"/>
              <w:rPr>
                <w:sz w:val="20"/>
                <w:szCs w:val="20"/>
                <w:color w:val="auto"/>
              </w:rPr>
            </w:pP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7"/>
              </w:rPr>
              <w:t>101.SCH*</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44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9"/>
              </w:rPr>
              <w:t>101.DEF*</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101.CAL*</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445"/>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96"/>
              </w:rPr>
              <w:t>101.LAB*</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446"/>
        </w:trPr>
        <w:tc>
          <w:tcPr>
            <w:tcW w:w="110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101.PRE*</w:t>
            </w:r>
          </w:p>
        </w:tc>
        <w:tc>
          <w:tcPr>
            <w:tcW w:w="7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231140</wp:posOffset>
            </wp:positionV>
            <wp:extent cx="141414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40" w:hanging="530"/>
        <w:spacing w:after="0"/>
        <w:tabs>
          <w:tab w:leader="none" w:pos="6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36" w:lineRule="exact"/>
        <w:rPr>
          <w:sz w:val="20"/>
          <w:szCs w:val="20"/>
          <w:color w:val="auto"/>
        </w:rPr>
      </w:pPr>
    </w:p>
    <w:p>
      <w:pPr>
        <w:ind w:left="640" w:right="139" w:hanging="530"/>
        <w:spacing w:after="0" w:line="261" w:lineRule="auto"/>
        <w:tabs>
          <w:tab w:leader="none" w:pos="6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 The information in these exhibits shall not be deemed to be “filed” for purposes of Section 18 of the Exchange Act, or otherwise subject to liability under that section, and shall not be incorporated by reference into any filing under the Securities Act or the Exchange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2" w:lineRule="exact"/>
        <w:rPr>
          <w:sz w:val="20"/>
          <w:szCs w:val="20"/>
          <w:color w:val="auto"/>
        </w:rPr>
      </w:pPr>
    </w:p>
    <w:p>
      <w:pPr>
        <w:ind w:left="60" w:right="199" w:firstLine="432"/>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8"/>
          <w:szCs w:val="18"/>
          <w:color w:val="auto"/>
        </w:rPr>
        <w:t>AVNET, INC.</w:t>
      </w:r>
    </w:p>
    <w:p>
      <w:pPr>
        <w:spacing w:after="0" w:line="200" w:lineRule="exact"/>
        <w:rPr>
          <w:sz w:val="20"/>
          <w:szCs w:val="20"/>
          <w:color w:val="auto"/>
        </w:rPr>
      </w:pPr>
    </w:p>
    <w:p>
      <w:pPr>
        <w:spacing w:after="0" w:line="304" w:lineRule="exact"/>
        <w:rPr>
          <w:sz w:val="20"/>
          <w:szCs w:val="20"/>
          <w:color w:val="auto"/>
        </w:rPr>
      </w:pPr>
    </w:p>
    <w:p>
      <w:pPr>
        <w:ind w:left="4540"/>
        <w:spacing w:after="0"/>
        <w:tabs>
          <w:tab w:leader="none" w:pos="49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KENNETH A. JACOBSON</w:t>
      </w:r>
    </w:p>
    <w:p>
      <w:pPr>
        <w:spacing w:after="0" w:line="50"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-127635</wp:posOffset>
            </wp:positionV>
            <wp:extent cx="258000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580005" cy="8255"/>
                    </a:xfrm>
                    <a:prstGeom prst="rect">
                      <a:avLst/>
                    </a:prstGeom>
                    <a:noFill/>
                  </pic:spPr>
                </pic:pic>
              </a:graphicData>
            </a:graphic>
          </wp:anchor>
        </w:drawing>
      </w:r>
    </w:p>
    <w:p>
      <w:pPr>
        <w:spacing w:after="0" w:line="14" w:lineRule="exact"/>
        <w:rPr>
          <w:sz w:val="20"/>
          <w:szCs w:val="20"/>
          <w:color w:val="auto"/>
        </w:rPr>
      </w:pPr>
    </w:p>
    <w:p>
      <w:pPr>
        <w:ind w:left="494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R. Gallagher, certify that:</w:t>
      </w:r>
    </w:p>
    <w:p>
      <w:pPr>
        <w:spacing w:after="0" w:line="158" w:lineRule="exact"/>
        <w:rPr>
          <w:sz w:val="20"/>
          <w:szCs w:val="20"/>
          <w:color w:val="auto"/>
        </w:rPr>
      </w:pPr>
    </w:p>
    <w:p>
      <w:pPr>
        <w:ind w:left="640" w:hanging="326"/>
        <w:spacing w:after="0"/>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79"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215005" cy="8890"/>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43"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673100</wp:posOffset>
            </wp:positionV>
            <wp:extent cx="649795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97955" cy="25400"/>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Kenneth A. Jacobson, certify that:</w:t>
      </w:r>
    </w:p>
    <w:p>
      <w:pPr>
        <w:spacing w:after="0" w:line="158" w:lineRule="exact"/>
        <w:rPr>
          <w:sz w:val="20"/>
          <w:szCs w:val="20"/>
          <w:color w:val="auto"/>
        </w:rPr>
      </w:pPr>
    </w:p>
    <w:p>
      <w:pPr>
        <w:ind w:left="640" w:hanging="326"/>
        <w:spacing w:after="0"/>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Avnet, Inc.;</w:t>
      </w:r>
    </w:p>
    <w:p>
      <w:pPr>
        <w:spacing w:after="0" w:line="15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40" w:right="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640" w:right="16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960" w:right="6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960" w:right="22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960" w:right="32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34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jc w:val="both"/>
        <w:ind w:left="640" w:right="20" w:hanging="326"/>
        <w:spacing w:after="0" w:line="313" w:lineRule="auto"/>
        <w:tabs>
          <w:tab w:leader="none" w:pos="6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equivalent functions):</w:t>
      </w:r>
    </w:p>
    <w:p>
      <w:pPr>
        <w:spacing w:after="0" w:line="67" w:lineRule="exact"/>
        <w:rPr>
          <w:rFonts w:ascii="Times New Roman" w:cs="Times New Roman" w:eastAsia="Times New Roman" w:hAnsi="Times New Roman"/>
          <w:sz w:val="18"/>
          <w:szCs w:val="18"/>
          <w:color w:val="auto"/>
        </w:rPr>
      </w:pPr>
    </w:p>
    <w:p>
      <w:pPr>
        <w:ind w:left="960" w:right="80" w:hanging="322"/>
        <w:spacing w:after="0" w:line="313"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120" w:hanging="322"/>
        <w:spacing w:after="0" w:line="329" w:lineRule="auto"/>
        <w:tabs>
          <w:tab w:leader="none" w:pos="96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5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3275330</wp:posOffset>
            </wp:positionH>
            <wp:positionV relativeFrom="paragraph">
              <wp:posOffset>26035</wp:posOffset>
            </wp:positionV>
            <wp:extent cx="321500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215005" cy="8255"/>
                    </a:xfrm>
                    <a:prstGeom prst="rect">
                      <a:avLst/>
                    </a:prstGeom>
                    <a:noFill/>
                  </pic:spPr>
                </pic:pic>
              </a:graphicData>
            </a:graphic>
          </wp:anchor>
        </w:drawing>
      </w:r>
    </w:p>
    <w:p>
      <w:pPr>
        <w:spacing w:after="0" w:line="30"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36"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677545</wp:posOffset>
            </wp:positionV>
            <wp:extent cx="6497955"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20"/>
          </w:cols>
          <w:pgMar w:left="840" w:top="401" w:right="839" w:bottom="1440" w:gutter="0" w:footer="0" w:header="0"/>
        </w:sectPr>
      </w:pPr>
    </w:p>
    <w:bookmarkStart w:id="29" w:name="page30"/>
    <w:bookmarkEnd w:id="2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right="239"/>
        <w:spacing w:after="0" w:line="329"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28, 2024 (the “Report”), I, Philip R. Gallagher, Chief Executive Officer of Avnet, Inc. (the “Company”) hereby certify that:</w:t>
      </w:r>
    </w:p>
    <w:p>
      <w:pPr>
        <w:spacing w:after="0" w:line="54" w:lineRule="exact"/>
        <w:rPr>
          <w:sz w:val="20"/>
          <w:szCs w:val="20"/>
          <w:color w:val="auto"/>
        </w:rPr>
      </w:pPr>
    </w:p>
    <w:p>
      <w:pPr>
        <w:ind w:left="700" w:right="699" w:hanging="332"/>
        <w:spacing w:after="0" w:line="329"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5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/s/ PHILIP R.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2902585</wp:posOffset>
            </wp:positionH>
            <wp:positionV relativeFrom="paragraph">
              <wp:posOffset>26035</wp:posOffset>
            </wp:positionV>
            <wp:extent cx="278574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785745" cy="8890"/>
                    </a:xfrm>
                    <a:prstGeom prst="rect">
                      <a:avLst/>
                    </a:prstGeom>
                    <a:noFill/>
                  </pic:spPr>
                </pic:pic>
              </a:graphicData>
            </a:graphic>
          </wp:anchor>
        </w:drawing>
      </w:r>
    </w:p>
    <w:p>
      <w:pPr>
        <w:spacing w:after="0" w:line="3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Philip R. Gallagher</w:t>
      </w:r>
    </w:p>
    <w:p>
      <w:pPr>
        <w:spacing w:after="0" w:line="50"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401" w:right="1440" w:bottom="1440" w:gutter="0" w:footer="0" w:header="0"/>
        </w:sectPr>
      </w:pPr>
    </w:p>
    <w:bookmarkStart w:id="30" w:name="page31"/>
    <w:bookmarkEnd w:id="30"/>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 Pursuant to 18 U.S.C. Section 1350</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 Section 906 of the Sarbanes-Oxley Act of 2002)</w:t>
      </w:r>
    </w:p>
    <w:p>
      <w:pPr>
        <w:spacing w:after="0" w:line="162" w:lineRule="exact"/>
        <w:rPr>
          <w:sz w:val="20"/>
          <w:szCs w:val="20"/>
          <w:color w:val="auto"/>
        </w:rPr>
      </w:pPr>
    </w:p>
    <w:p>
      <w:pPr>
        <w:ind w:left="40" w:right="99"/>
        <w:spacing w:after="0" w:line="329" w:lineRule="auto"/>
        <w:rPr>
          <w:sz w:val="20"/>
          <w:szCs w:val="20"/>
          <w:color w:val="auto"/>
        </w:rPr>
      </w:pPr>
      <w:r>
        <w:rPr>
          <w:rFonts w:ascii="Times New Roman" w:cs="Times New Roman" w:eastAsia="Times New Roman" w:hAnsi="Times New Roman"/>
          <w:sz w:val="18"/>
          <w:szCs w:val="18"/>
          <w:color w:val="auto"/>
        </w:rPr>
        <w:t>In connection with the Quarterly Report on Form 10-Q for the period ended September 28, 2024 (the “Report”), I, Kenneth A. Jacobson, Chief Financial Officer of Avnet, Inc. (the “Company”) hereby certify that:</w:t>
      </w:r>
    </w:p>
    <w:p>
      <w:pPr>
        <w:spacing w:after="0" w:line="54" w:lineRule="exact"/>
        <w:rPr>
          <w:sz w:val="20"/>
          <w:szCs w:val="20"/>
          <w:color w:val="auto"/>
        </w:rPr>
      </w:pPr>
    </w:p>
    <w:p>
      <w:pPr>
        <w:ind w:left="700" w:right="699" w:hanging="332"/>
        <w:spacing w:after="0" w:line="329"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as applicable, of the Securities Exchange Act of 1934; and</w:t>
      </w:r>
    </w:p>
    <w:p>
      <w:pPr>
        <w:spacing w:after="0" w:line="53" w:lineRule="exact"/>
        <w:rPr>
          <w:rFonts w:ascii="Times New Roman" w:cs="Times New Roman" w:eastAsia="Times New Roman" w:hAnsi="Times New Roman"/>
          <w:sz w:val="18"/>
          <w:szCs w:val="18"/>
          <w:color w:val="auto"/>
        </w:rPr>
      </w:pPr>
    </w:p>
    <w:p>
      <w:pPr>
        <w:ind w:left="700" w:right="119" w:hanging="332"/>
        <w:spacing w:after="0" w:line="329" w:lineRule="auto"/>
        <w:tabs>
          <w:tab w:leader="none" w:pos="70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November 1, 2024</w:t>
      </w:r>
    </w:p>
    <w:p>
      <w:pPr>
        <w:spacing w:after="0" w:line="252"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/s/ KENNETH A. JACOBSON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2885440</wp:posOffset>
            </wp:positionH>
            <wp:positionV relativeFrom="paragraph">
              <wp:posOffset>26035</wp:posOffset>
            </wp:positionV>
            <wp:extent cx="2802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802890" cy="8890"/>
                    </a:xfrm>
                    <a:prstGeom prst="rect">
                      <a:avLst/>
                    </a:prstGeom>
                    <a:noFill/>
                  </pic:spPr>
                </pic:pic>
              </a:graphicData>
            </a:graphic>
          </wp:anchor>
        </w:drawing>
      </w:r>
    </w:p>
    <w:p>
      <w:pPr>
        <w:spacing w:after="0" w:line="3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Kenneth A. Jacobson</w:t>
      </w:r>
    </w:p>
    <w:p>
      <w:pPr>
        <w:spacing w:after="0" w:line="50"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677545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sectPr>
      <w:pgSz w:w="11900" w:h="16838" w:orient="portrait"/>
      <w:cols w:equalWidth="0" w:num="1">
        <w:col w:w="9019"/>
      </w:cols>
      <w:pgMar w:left="1440" w:top="40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2"/>
    </w:lvl>
  </w:abstractNum>
  <w:abstractNum w:abstractNumId="3">
    <w:nsid w:val="515F007C"/>
    <w:multiLevelType w:val="hybridMultilevel"/>
    <w:lvl w:ilvl="0">
      <w:lvlJc w:val="left"/>
      <w:lvlText w:val="(%1)"/>
      <w:numFmt w:val="decimal"/>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
      <w:numFmt w:val="bullet"/>
      <w:start w:val="1"/>
    </w:lvl>
  </w:abstractNum>
  <w:abstractNum w:abstractNumId="8">
    <w:nsid w:val="1F16E9E8"/>
    <w:multiLevelType w:val="hybridMultilevel"/>
    <w:lvl w:ilvl="0">
      <w:lvlJc w:val="left"/>
      <w:lvlText w:val="**"/>
      <w:numFmt w:val="bullet"/>
      <w:start w:val="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2024-11-01T05:15:25Z</dcterms:created>
  <dcterms:modified xsi:type="dcterms:W3CDTF">2024-11-01T05:15:25Z</dcterms:modified>
</cp:coreProperties>
</file>