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648398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398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196850</wp:posOffset>
            </wp:positionV>
            <wp:extent cx="64839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3985" cy="698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UNITED STATES</w:t>
      </w:r>
    </w:p>
    <w:p>
      <w:pPr>
        <w:spacing w:after="0" w:line="4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2433955</wp:posOffset>
            </wp:positionH>
            <wp:positionV relativeFrom="paragraph">
              <wp:posOffset>106045</wp:posOffset>
            </wp:positionV>
            <wp:extent cx="16141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4170" cy="698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2433955</wp:posOffset>
            </wp:positionH>
            <wp:positionV relativeFrom="paragraph">
              <wp:posOffset>90170</wp:posOffset>
            </wp:positionV>
            <wp:extent cx="16141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4170" cy="6985"/>
                    </a:xfrm>
                    <a:prstGeom prst="rect">
                      <a:avLst/>
                    </a:prstGeom>
                    <a:noFill/>
                  </pic:spPr>
                </pic:pic>
              </a:graphicData>
            </a:graphic>
          </wp:anchor>
        </w:drawing>
      </w:r>
    </w:p>
    <w:p>
      <w:pPr>
        <w:spacing w:after="0" w:line="400" w:lineRule="exact"/>
        <w:rPr>
          <w:sz w:val="24"/>
          <w:szCs w:val="24"/>
          <w:color w:val="auto"/>
        </w:rPr>
      </w:pPr>
    </w:p>
    <w:p>
      <w:pPr>
        <w:ind w:left="3680" w:right="2060" w:hanging="3670"/>
        <w:spacing w:after="0" w:line="390" w:lineRule="auto"/>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 For the quarterly period ended April 2, 2022</w:t>
      </w:r>
    </w:p>
    <w:p>
      <w:pPr>
        <w:spacing w:after="0" w:line="24" w:lineRule="exact"/>
        <w:rPr>
          <w:sz w:val="24"/>
          <w:szCs w:val="24"/>
          <w:color w:val="auto"/>
        </w:rPr>
      </w:pPr>
    </w:p>
    <w:p>
      <w:pPr>
        <w:ind w:left="520" w:hanging="510"/>
        <w:spacing w:after="0"/>
        <w:tabs>
          <w:tab w:leader="none" w:pos="5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5"/>
          <w:szCs w:val="15"/>
          <w:b w:val="1"/>
          <w:bCs w:val="1"/>
          <w:color w:val="auto"/>
        </w:rPr>
        <w:t>For the transition period from _____ to 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2433955</wp:posOffset>
            </wp:positionH>
            <wp:positionV relativeFrom="paragraph">
              <wp:posOffset>78105</wp:posOffset>
            </wp:positionV>
            <wp:extent cx="16141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4170" cy="698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AVNET</w:t>
      </w:r>
      <w:r>
        <w:rPr>
          <w:rFonts w:ascii="Arial" w:cs="Arial" w:eastAsia="Arial" w:hAnsi="Arial"/>
          <w:sz w:val="29"/>
          <w:szCs w:val="29"/>
          <w:b w:val="1"/>
          <w:bCs w:val="1"/>
          <w:color w:val="auto"/>
        </w:rPr>
        <w:t>,</w:t>
      </w:r>
      <w:r>
        <w:rPr>
          <w:rFonts w:ascii="Arial" w:cs="Arial" w:eastAsia="Arial" w:hAnsi="Arial"/>
          <w:sz w:val="24"/>
          <w:szCs w:val="24"/>
          <w:b w:val="1"/>
          <w:bCs w:val="1"/>
          <w:color w:val="auto"/>
        </w:rPr>
        <w:t xml:space="preserve"> INC.</w:t>
      </w: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00"/>
          </w:cols>
          <w:pgMar w:left="840" w:top="579" w:right="859" w:bottom="1440" w:gutter="0" w:footer="0" w:header="0"/>
        </w:sectPr>
      </w:pPr>
    </w:p>
    <w:p>
      <w:pPr>
        <w:spacing w:after="0" w:line="71" w:lineRule="exact"/>
        <w:rPr>
          <w:sz w:val="24"/>
          <w:szCs w:val="24"/>
          <w:color w:val="auto"/>
        </w:rPr>
      </w:pPr>
    </w:p>
    <w:p>
      <w:pPr>
        <w:jc w:val="center"/>
        <w:ind w:right="4120"/>
        <w:spacing w:after="0"/>
        <w:rPr>
          <w:sz w:val="20"/>
          <w:szCs w:val="20"/>
          <w:color w:val="auto"/>
        </w:rPr>
      </w:pPr>
      <w:r>
        <w:rPr>
          <w:rFonts w:ascii="Arial" w:cs="Arial" w:eastAsia="Arial" w:hAnsi="Arial"/>
          <w:sz w:val="15"/>
          <w:szCs w:val="15"/>
          <w:b w:val="1"/>
          <w:bCs w:val="1"/>
          <w:color w:val="auto"/>
        </w:rPr>
        <w:t>New York</w:t>
      </w:r>
    </w:p>
    <w:p>
      <w:pPr>
        <w:jc w:val="center"/>
        <w:ind w:right="4120"/>
        <w:spacing w:after="0" w:line="203" w:lineRule="auto"/>
        <w:rPr>
          <w:sz w:val="20"/>
          <w:szCs w:val="20"/>
          <w:color w:val="auto"/>
        </w:rPr>
      </w:pPr>
      <w:r>
        <w:rPr>
          <w:rFonts w:ascii="Arial" w:cs="Arial" w:eastAsia="Arial" w:hAnsi="Arial"/>
          <w:sz w:val="15"/>
          <w:szCs w:val="15"/>
          <w:color w:val="auto"/>
        </w:rPr>
        <w:t>(State or other jurisdiction</w:t>
      </w:r>
    </w:p>
    <w:p>
      <w:pPr>
        <w:jc w:val="center"/>
        <w:ind w:right="4120"/>
        <w:spacing w:after="0"/>
        <w:rPr>
          <w:sz w:val="20"/>
          <w:szCs w:val="20"/>
          <w:color w:val="auto"/>
        </w:rPr>
      </w:pPr>
      <w:r>
        <w:rPr>
          <w:rFonts w:ascii="Arial" w:cs="Arial" w:eastAsia="Arial" w:hAnsi="Arial"/>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11-1890605</w:t>
      </w:r>
    </w:p>
    <w:p>
      <w:pPr>
        <w:jc w:val="center"/>
        <w:ind w:right="980"/>
        <w:spacing w:after="0" w:line="203" w:lineRule="auto"/>
        <w:rPr>
          <w:sz w:val="20"/>
          <w:szCs w:val="20"/>
          <w:color w:val="auto"/>
        </w:rPr>
      </w:pPr>
      <w:r>
        <w:rPr>
          <w:rFonts w:ascii="Arial" w:cs="Arial" w:eastAsia="Arial" w:hAnsi="Arial"/>
          <w:sz w:val="15"/>
          <w:szCs w:val="15"/>
          <w:color w:val="auto"/>
        </w:rPr>
        <w:t>(IRS Employer</w:t>
      </w:r>
    </w:p>
    <w:p>
      <w:pPr>
        <w:jc w:val="center"/>
        <w:ind w:right="980"/>
        <w:spacing w:after="0"/>
        <w:rPr>
          <w:sz w:val="20"/>
          <w:szCs w:val="20"/>
          <w:color w:val="auto"/>
        </w:rPr>
      </w:pPr>
      <w:r>
        <w:rPr>
          <w:rFonts w:ascii="Arial" w:cs="Arial" w:eastAsia="Arial" w:hAnsi="Arial"/>
          <w:sz w:val="14"/>
          <w:szCs w:val="14"/>
          <w:color w:val="auto"/>
        </w:rPr>
        <w:t>Identification No.)</w:t>
      </w:r>
    </w:p>
    <w:p>
      <w:pPr>
        <w:spacing w:after="0" w:line="94" w:lineRule="exact"/>
        <w:rPr>
          <w:sz w:val="24"/>
          <w:szCs w:val="24"/>
          <w:color w:val="auto"/>
        </w:rPr>
      </w:pPr>
    </w:p>
    <w:p>
      <w:pPr>
        <w:sectPr>
          <w:pgSz w:w="11900" w:h="16838" w:orient="portrait"/>
          <w:cols w:equalWidth="0" w:num="2">
            <w:col w:w="7380" w:space="720"/>
            <w:col w:w="2100"/>
          </w:cols>
          <w:pgMar w:left="840" w:top="579" w:right="859" w:bottom="1440" w:gutter="0" w:footer="0" w:header="0"/>
          <w:type w:val="continuous"/>
        </w:sectPr>
      </w:pPr>
    </w:p>
    <w:p>
      <w:pPr>
        <w:spacing w:after="0" w:line="10" w:lineRule="exact"/>
        <w:rPr>
          <w:sz w:val="24"/>
          <w:szCs w:val="24"/>
          <w:color w:val="auto"/>
        </w:rPr>
      </w:pPr>
    </w:p>
    <w:p>
      <w:pPr>
        <w:jc w:val="center"/>
        <w:ind w:right="1720"/>
        <w:spacing w:after="0"/>
        <w:rPr>
          <w:sz w:val="20"/>
          <w:szCs w:val="20"/>
          <w:color w:val="auto"/>
        </w:rPr>
      </w:pPr>
      <w:r>
        <w:rPr>
          <w:rFonts w:ascii="Arial" w:cs="Arial" w:eastAsia="Arial" w:hAnsi="Arial"/>
          <w:sz w:val="13"/>
          <w:szCs w:val="13"/>
          <w:b w:val="1"/>
          <w:bCs w:val="1"/>
          <w:color w:val="auto"/>
        </w:rPr>
        <w:t>2211 South 47th Street, Phoenix, Arizona</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5"/>
          <w:szCs w:val="15"/>
          <w:b w:val="1"/>
          <w:bCs w:val="1"/>
          <w:color w:val="auto"/>
        </w:rPr>
        <w:t>85034</w:t>
      </w:r>
    </w:p>
    <w:p>
      <w:pPr>
        <w:jc w:val="center"/>
        <w:ind w:right="2120"/>
        <w:spacing w:after="0"/>
        <w:rPr>
          <w:sz w:val="20"/>
          <w:szCs w:val="20"/>
          <w:color w:val="auto"/>
        </w:rPr>
      </w:pPr>
      <w:r>
        <w:rPr>
          <w:rFonts w:ascii="Arial" w:cs="Arial" w:eastAsia="Arial" w:hAnsi="Arial"/>
          <w:sz w:val="13"/>
          <w:szCs w:val="13"/>
          <w:color w:val="auto"/>
        </w:rPr>
        <w:t>(Zip Code)</w:t>
      </w:r>
    </w:p>
    <w:p>
      <w:pPr>
        <w:spacing w:after="0" w:line="81" w:lineRule="exact"/>
        <w:rPr>
          <w:sz w:val="24"/>
          <w:szCs w:val="24"/>
          <w:color w:val="auto"/>
        </w:rPr>
      </w:pPr>
    </w:p>
    <w:p>
      <w:pPr>
        <w:sectPr>
          <w:pgSz w:w="11900" w:h="16838" w:orient="portrait"/>
          <w:cols w:equalWidth="0" w:num="2">
            <w:col w:w="6700" w:space="720"/>
            <w:col w:w="2780"/>
          </w:cols>
          <w:pgMar w:left="840" w:top="579" w:right="8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(480) 643-2000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0200"/>
          </w:cols>
          <w:pgMar w:left="840" w:top="579" w:right="859" w:bottom="1440" w:gutter="0" w:footer="0" w:header="0"/>
          <w:type w:val="continuous"/>
        </w:sectPr>
      </w:pP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15"/>
                <w:szCs w:val="15"/>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Trading Symbol</w:t>
            </w:r>
          </w:p>
        </w:tc>
        <w:tc>
          <w:tcPr>
            <w:tcW w:w="360" w:type="dxa"/>
            <w:vAlign w:val="bottom"/>
          </w:tcPr>
          <w:p>
            <w:pPr>
              <w:spacing w:after="0"/>
              <w:rPr>
                <w:sz w:val="15"/>
                <w:szCs w:val="15"/>
                <w:color w:val="auto"/>
              </w:rPr>
            </w:pPr>
          </w:p>
        </w:tc>
        <w:tc>
          <w:tcPr>
            <w:tcW w:w="3820" w:type="dxa"/>
            <w:vAlign w:val="bottom"/>
          </w:tcPr>
          <w:p>
            <w:pPr>
              <w:jc w:val="center"/>
              <w:ind w:right="285"/>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181"/>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Common stock, par value $1.00 per share</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AVT</w:t>
            </w: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jc w:val="center"/>
              <w:ind w:right="265"/>
              <w:spacing w:after="0"/>
              <w:rPr>
                <w:sz w:val="20"/>
                <w:szCs w:val="20"/>
                <w:color w:val="auto"/>
              </w:rPr>
            </w:pPr>
            <w:r>
              <w:rPr>
                <w:rFonts w:ascii="Arial" w:cs="Arial" w:eastAsia="Arial" w:hAnsi="Arial"/>
                <w:sz w:val="15"/>
                <w:szCs w:val="15"/>
                <w:color w:val="auto"/>
                <w:w w:val="90"/>
              </w:rPr>
              <w:t>Nasdaq Global Select Market</w:t>
            </w:r>
          </w:p>
        </w:tc>
      </w:tr>
      <w:tr>
        <w:trPr>
          <w:trHeight w:val="92"/>
        </w:trPr>
        <w:tc>
          <w:tcPr>
            <w:tcW w:w="3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00" w:type="dxa"/>
            <w:vAlign w:val="bottom"/>
            <w:tcBorders>
              <w:bottom w:val="single" w:sz="8" w:color="0D0D0D"/>
            </w:tcBorders>
          </w:tcPr>
          <w:p>
            <w:pPr>
              <w:spacing w:after="0"/>
              <w:rPr>
                <w:sz w:val="7"/>
                <w:szCs w:val="7"/>
                <w:color w:val="auto"/>
              </w:rPr>
            </w:pPr>
          </w:p>
        </w:tc>
        <w:tc>
          <w:tcPr>
            <w:tcW w:w="280" w:type="dxa"/>
            <w:vAlign w:val="bottom"/>
            <w:tcBorders>
              <w:bottom w:val="single" w:sz="8" w:color="0D0D0D"/>
            </w:tcBorders>
          </w:tcPr>
          <w:p>
            <w:pPr>
              <w:spacing w:after="0"/>
              <w:rPr>
                <w:sz w:val="7"/>
                <w:szCs w:val="7"/>
                <w:color w:val="auto"/>
              </w:rPr>
            </w:pPr>
          </w:p>
        </w:tc>
        <w:tc>
          <w:tcPr>
            <w:tcW w:w="360" w:type="dxa"/>
            <w:vAlign w:val="bottom"/>
            <w:tcBorders>
              <w:bottom w:val="single" w:sz="8" w:color="0D0D0D"/>
            </w:tcBorders>
          </w:tcPr>
          <w:p>
            <w:pPr>
              <w:spacing w:after="0"/>
              <w:rPr>
                <w:sz w:val="7"/>
                <w:szCs w:val="7"/>
                <w:color w:val="auto"/>
              </w:rPr>
            </w:pPr>
          </w:p>
        </w:tc>
        <w:tc>
          <w:tcPr>
            <w:tcW w:w="3820" w:type="dxa"/>
            <w:vAlign w:val="bottom"/>
          </w:tcPr>
          <w:p>
            <w:pPr>
              <w:spacing w:after="0"/>
              <w:rPr>
                <w:sz w:val="7"/>
                <w:szCs w:val="7"/>
                <w:color w:val="auto"/>
              </w:rPr>
            </w:pPr>
          </w:p>
        </w:tc>
      </w:tr>
    </w:tbl>
    <w:p>
      <w:pPr>
        <w:spacing w:after="0" w:line="136" w:lineRule="exact"/>
        <w:rPr>
          <w:sz w:val="24"/>
          <w:szCs w:val="24"/>
          <w:color w:val="auto"/>
        </w:rPr>
      </w:pPr>
    </w:p>
    <w:p>
      <w:pPr>
        <w:ind w:right="80" w:firstLine="356"/>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3" w:lineRule="exact"/>
        <w:rPr>
          <w:sz w:val="24"/>
          <w:szCs w:val="24"/>
          <w:color w:val="auto"/>
        </w:rPr>
      </w:pPr>
    </w:p>
    <w:p>
      <w:pPr>
        <w:ind w:right="780" w:firstLine="360"/>
        <w:spacing w:after="0" w:line="30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0" w:lineRule="exact"/>
        <w:rPr>
          <w:sz w:val="24"/>
          <w:szCs w:val="24"/>
          <w:color w:val="auto"/>
        </w:rPr>
      </w:pPr>
    </w:p>
    <w:p>
      <w:pPr>
        <w:jc w:val="both"/>
        <w:ind w:right="80" w:firstLine="356"/>
        <w:spacing w:after="0" w:line="2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00"/>
          </w:cols>
          <w:pgMar w:left="840" w:top="579" w:right="859" w:bottom="1440" w:gutter="0" w:footer="0" w:header="0"/>
          <w:type w:val="continuous"/>
        </w:sectPr>
      </w:pPr>
    </w:p>
    <w:p>
      <w:pPr>
        <w:spacing w:after="0" w:line="49" w:lineRule="exact"/>
        <w:rPr>
          <w:sz w:val="24"/>
          <w:szCs w:val="24"/>
          <w:color w:val="auto"/>
        </w:rPr>
      </w:pPr>
    </w:p>
    <w:p>
      <w:pPr>
        <w:ind w:left="1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9" w:lineRule="exact"/>
        <w:rPr>
          <w:sz w:val="24"/>
          <w:szCs w:val="24"/>
          <w:color w:val="auto"/>
        </w:rPr>
      </w:pPr>
    </w:p>
    <w:p>
      <w:pPr>
        <w:ind w:left="1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ind w:left="1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92" w:lineRule="exact"/>
        <w:rPr>
          <w:sz w:val="24"/>
          <w:szCs w:val="24"/>
          <w:color w:val="auto"/>
        </w:rPr>
      </w:pPr>
    </w:p>
    <w:p>
      <w:pPr>
        <w:sectPr>
          <w:pgSz w:w="11900" w:h="16838" w:orient="portrait"/>
          <w:cols w:equalWidth="0" w:num="2">
            <w:col w:w="6040" w:space="720"/>
            <w:col w:w="3440"/>
          </w:cols>
          <w:pgMar w:left="840" w:top="579" w:right="859" w:bottom="1440" w:gutter="0" w:footer="0" w:header="0"/>
          <w:type w:val="continuous"/>
        </w:sectPr>
      </w:pPr>
    </w:p>
    <w:p>
      <w:pPr>
        <w:ind w:right="460" w:firstLine="356"/>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5"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5"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As of April 20, 2022, the total number of shares outstanding of the registrant’s Common Stock was 97,681,729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547370</wp:posOffset>
            </wp:positionV>
            <wp:extent cx="64839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398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6483985"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398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97155</wp:posOffset>
            </wp:positionV>
            <wp:extent cx="64839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3985" cy="6985"/>
                    </a:xfrm>
                    <a:prstGeom prst="rect">
                      <a:avLst/>
                    </a:prstGeom>
                    <a:noFill/>
                  </pic:spPr>
                </pic:pic>
              </a:graphicData>
            </a:graphic>
          </wp:anchor>
        </w:drawing>
      </w:r>
    </w:p>
    <w:p>
      <w:pPr>
        <w:sectPr>
          <w:pgSz w:w="11900" w:h="16838" w:orient="portrait"/>
          <w:cols w:equalWidth="0" w:num="1">
            <w:col w:w="10200"/>
          </w:cols>
          <w:pgMar w:left="840" w:top="579" w:right="85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2"/>
        </w:trPr>
        <w:tc>
          <w:tcPr>
            <w:tcW w:w="8020" w:type="dxa"/>
            <w:vAlign w:val="bottom"/>
            <w:gridSpan w:val="25"/>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900" w:type="dxa"/>
            <w:vAlign w:val="bottom"/>
          </w:tcPr>
          <w:p>
            <w:pPr>
              <w:spacing w:after="0"/>
              <w:rPr>
                <w:sz w:val="14"/>
                <w:szCs w:val="14"/>
                <w:color w:val="auto"/>
              </w:rPr>
            </w:pPr>
          </w:p>
        </w:tc>
      </w:tr>
      <w:tr>
        <w:trPr>
          <w:trHeight w:val="374"/>
        </w:trPr>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80" w:type="dxa"/>
            <w:vAlign w:val="bottom"/>
            <w:gridSpan w:val="11"/>
          </w:tcPr>
          <w:p>
            <w:pPr>
              <w:jc w:val="center"/>
              <w:ind w:right="2020"/>
              <w:spacing w:after="0"/>
              <w:rPr>
                <w:sz w:val="20"/>
                <w:szCs w:val="20"/>
                <w:color w:val="auto"/>
              </w:rPr>
            </w:pPr>
            <w:r>
              <w:rPr>
                <w:rFonts w:ascii="Arial" w:cs="Arial" w:eastAsia="Arial" w:hAnsi="Arial"/>
                <w:sz w:val="15"/>
                <w:szCs w:val="15"/>
                <w:color w:val="auto"/>
                <w:w w:val="96"/>
              </w:rPr>
              <w:t>AVNET, INC. AND SUBSIDIARIES</w:t>
            </w:r>
          </w:p>
        </w:tc>
        <w:tc>
          <w:tcPr>
            <w:tcW w:w="90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80" w:type="dxa"/>
            <w:vAlign w:val="bottom"/>
            <w:gridSpan w:val="8"/>
          </w:tcPr>
          <w:p>
            <w:pPr>
              <w:jc w:val="center"/>
              <w:ind w:right="3220"/>
              <w:spacing w:after="0"/>
              <w:rPr>
                <w:sz w:val="20"/>
                <w:szCs w:val="20"/>
                <w:color w:val="auto"/>
              </w:rPr>
            </w:pPr>
            <w:r>
              <w:rPr>
                <w:rFonts w:ascii="Arial" w:cs="Arial" w:eastAsia="Arial" w:hAnsi="Arial"/>
                <w:sz w:val="15"/>
                <w:szCs w:val="15"/>
                <w:color w:val="auto"/>
              </w:rPr>
              <w:t>INDEX</w:t>
            </w:r>
          </w:p>
        </w:tc>
        <w:tc>
          <w:tcPr>
            <w:tcW w:w="900" w:type="dxa"/>
            <w:vAlign w:val="bottom"/>
          </w:tcPr>
          <w:p>
            <w:pPr>
              <w:spacing w:after="0"/>
              <w:rPr>
                <w:sz w:val="16"/>
                <w:szCs w:val="16"/>
                <w:color w:val="auto"/>
              </w:rPr>
            </w:pPr>
          </w:p>
        </w:tc>
      </w:tr>
      <w:tr>
        <w:trPr>
          <w:trHeight w:val="36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Page No.</w:t>
            </w:r>
          </w:p>
        </w:tc>
      </w:tr>
      <w:tr>
        <w:trPr>
          <w:trHeight w:val="138"/>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20" w:type="dxa"/>
            <w:vAlign w:val="bottom"/>
            <w:gridSpan w:val="12"/>
          </w:tcPr>
          <w:p>
            <w:pPr>
              <w:jc w:val="center"/>
              <w:ind w:right="2820"/>
              <w:spacing w:after="0" w:line="138" w:lineRule="exact"/>
              <w:rPr>
                <w:rFonts w:ascii="Arial" w:cs="Arial" w:eastAsia="Arial" w:hAnsi="Arial"/>
                <w:sz w:val="15"/>
                <w:szCs w:val="15"/>
                <w:color w:val="0000EE"/>
                <w:w w:val="98"/>
              </w:rPr>
            </w:pPr>
            <w:hyperlink w:anchor="page3">
              <w:r>
                <w:rPr>
                  <w:rFonts w:ascii="Arial" w:cs="Arial" w:eastAsia="Arial" w:hAnsi="Arial"/>
                  <w:sz w:val="15"/>
                  <w:szCs w:val="15"/>
                  <w:color w:val="0000EE"/>
                  <w:w w:val="98"/>
                </w:rPr>
                <w:t>PART I. FINANCIAL INFORMATION</w:t>
              </w:r>
            </w:hyperlink>
          </w:p>
        </w:tc>
        <w:tc>
          <w:tcPr>
            <w:tcW w:w="900" w:type="dxa"/>
            <w:vAlign w:val="bottom"/>
          </w:tcPr>
          <w:p>
            <w:pPr>
              <w:spacing w:after="0"/>
              <w:rPr>
                <w:sz w:val="12"/>
                <w:szCs w:val="12"/>
                <w:color w:val="auto"/>
              </w:rPr>
            </w:pPr>
          </w:p>
        </w:tc>
      </w:tr>
      <w:tr>
        <w:trPr>
          <w:trHeight w:val="340"/>
        </w:trPr>
        <w:tc>
          <w:tcPr>
            <w:tcW w:w="40" w:type="dxa"/>
            <w:vAlign w:val="bottom"/>
          </w:tcPr>
          <w:p>
            <w:pPr>
              <w:spacing w:after="0"/>
              <w:rPr>
                <w:sz w:val="24"/>
                <w:szCs w:val="24"/>
                <w:color w:val="auto"/>
              </w:rPr>
            </w:pPr>
          </w:p>
        </w:tc>
        <w:tc>
          <w:tcPr>
            <w:tcW w:w="2760" w:type="dxa"/>
            <w:vAlign w:val="bottom"/>
            <w:gridSpan w:val="1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Item 1. Financial Statements (Unaudited)</w:t>
              </w:r>
            </w:hyperlink>
          </w:p>
        </w:tc>
        <w:tc>
          <w:tcPr>
            <w:tcW w:w="2400" w:type="dxa"/>
            <w:vAlign w:val="bottom"/>
            <w:tcBorders>
              <w:top w:val="single" w:sz="8" w:color="0000EE"/>
            </w:tcBorders>
            <w:gridSpan w:val="6"/>
          </w:tcPr>
          <w:p>
            <w:pPr>
              <w:spacing w:after="0"/>
              <w:rPr>
                <w:sz w:val="24"/>
                <w:szCs w:val="24"/>
                <w:color w:val="auto"/>
              </w:rPr>
            </w:pPr>
          </w:p>
        </w:tc>
        <w:tc>
          <w:tcPr>
            <w:tcW w:w="28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Consolidated Balance Sheets at April 2, 2022 and July 3, 2021</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tcBorders>
              <w:bottom w:val="single" w:sz="8" w:color="0000EE"/>
            </w:tcBorders>
            <w:gridSpan w:val="19"/>
          </w:tcPr>
          <w:p>
            <w:pPr>
              <w:spacing w:after="0"/>
              <w:rPr>
                <w:rFonts w:ascii="Arial" w:cs="Arial" w:eastAsia="Arial" w:hAnsi="Arial"/>
                <w:sz w:val="15"/>
                <w:szCs w:val="15"/>
                <w:color w:val="0000EE"/>
                <w:w w:val="90"/>
              </w:rPr>
            </w:pPr>
            <w:hyperlink w:anchor="page4">
              <w:r>
                <w:rPr>
                  <w:rFonts w:ascii="Arial" w:cs="Arial" w:eastAsia="Arial" w:hAnsi="Arial"/>
                  <w:sz w:val="15"/>
                  <w:szCs w:val="15"/>
                  <w:color w:val="0000EE"/>
                  <w:w w:val="90"/>
                </w:rPr>
                <w:t>Consolidated Statements of Operations for the third quarters and nine months ended April 2, 2022 and April 3, 2021</w:t>
              </w:r>
            </w:hyperlink>
          </w:p>
        </w:tc>
        <w:tc>
          <w:tcPr>
            <w:tcW w:w="7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5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5"/>
                <w:szCs w:val="15"/>
                <w:color w:val="0000EE"/>
                <w:w w:val="93"/>
              </w:rPr>
            </w:pPr>
            <w:hyperlink w:anchor="page5">
              <w:r>
                <w:rPr>
                  <w:rFonts w:ascii="Arial" w:cs="Arial" w:eastAsia="Arial" w:hAnsi="Arial"/>
                  <w:sz w:val="15"/>
                  <w:szCs w:val="15"/>
                  <w:color w:val="0000EE"/>
                  <w:w w:val="93"/>
                </w:rPr>
                <w:t>Consolidated Statements of Comprehensive Income for the third quarters and nine months ended April 2, 2022 and April 3,</w:t>
              </w:r>
            </w:hyperlink>
          </w:p>
        </w:tc>
        <w:tc>
          <w:tcPr>
            <w:tcW w:w="900" w:type="dxa"/>
            <w:vAlign w:val="bottom"/>
          </w:tcPr>
          <w:p>
            <w:pPr>
              <w:spacing w:after="0"/>
              <w:rPr>
                <w:sz w:val="24"/>
                <w:szCs w:val="24"/>
                <w:color w:val="auto"/>
              </w:rPr>
            </w:pPr>
          </w:p>
        </w:tc>
      </w:tr>
      <w:tr>
        <w:trPr>
          <w:trHeight w:val="160"/>
        </w:trPr>
        <w:tc>
          <w:tcPr>
            <w:tcW w:w="340" w:type="dxa"/>
            <w:vAlign w:val="bottom"/>
            <w:gridSpan w:val="3"/>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300" w:type="dxa"/>
            <w:vAlign w:val="bottom"/>
            <w:tcBorders>
              <w:top w:val="single" w:sz="8" w:color="0000EE"/>
              <w:bottom w:val="single" w:sz="8" w:color="0000EE"/>
            </w:tcBorders>
          </w:tcPr>
          <w:p>
            <w:pPr>
              <w:jc w:val="right"/>
              <w:spacing w:after="0" w:line="160" w:lineRule="exact"/>
              <w:rPr>
                <w:rFonts w:ascii="Arial" w:cs="Arial" w:eastAsia="Arial" w:hAnsi="Arial"/>
                <w:sz w:val="15"/>
                <w:szCs w:val="15"/>
                <w:color w:val="0000EE"/>
                <w:w w:val="83"/>
              </w:rPr>
            </w:pPr>
            <w:hyperlink w:anchor="page5">
              <w:r>
                <w:rPr>
                  <w:rFonts w:ascii="Arial" w:cs="Arial" w:eastAsia="Arial" w:hAnsi="Arial"/>
                  <w:sz w:val="15"/>
                  <w:szCs w:val="15"/>
                  <w:color w:val="0000EE"/>
                  <w:w w:val="83"/>
                </w:rPr>
                <w:t>2021</w:t>
              </w:r>
            </w:hyperlink>
          </w:p>
        </w:tc>
        <w:tc>
          <w:tcPr>
            <w:tcW w:w="2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5"/>
                <w:szCs w:val="15"/>
                <w:color w:val="auto"/>
              </w:rPr>
              <w:t>4</w:t>
            </w:r>
          </w:p>
        </w:tc>
      </w:tr>
      <w:tr>
        <w:trPr>
          <w:trHeight w:val="35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tcBorders>
              <w:bottom w:val="single" w:sz="8" w:color="0000EE"/>
            </w:tcBorders>
            <w:gridSpan w:val="21"/>
          </w:tcPr>
          <w:p>
            <w:pPr>
              <w:spacing w:after="0"/>
              <w:rPr>
                <w:rFonts w:ascii="Arial" w:cs="Arial" w:eastAsia="Arial" w:hAnsi="Arial"/>
                <w:sz w:val="15"/>
                <w:szCs w:val="15"/>
                <w:color w:val="0000EE"/>
                <w:w w:val="90"/>
              </w:rPr>
            </w:pPr>
            <w:hyperlink w:anchor="page6">
              <w:r>
                <w:rPr>
                  <w:rFonts w:ascii="Arial" w:cs="Arial" w:eastAsia="Arial" w:hAnsi="Arial"/>
                  <w:sz w:val="15"/>
                  <w:szCs w:val="15"/>
                  <w:color w:val="0000EE"/>
                  <w:w w:val="90"/>
                </w:rPr>
                <w:t>Consolidated Statements of Shareholders’ Equity for the third quarters and nine months ended April 2, 2022 and April 3, 2021</w:t>
              </w:r>
            </w:hyperlink>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4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Consolidated Statements of Cash Flows for the nine months ended April 2, 2022 and April 3, 2021</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34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11"/>
          </w:tcPr>
          <w:p>
            <w:pPr>
              <w:spacing w:after="0"/>
              <w:rPr>
                <w:rFonts w:ascii="Arial" w:cs="Arial" w:eastAsia="Arial" w:hAnsi="Arial"/>
                <w:sz w:val="15"/>
                <w:szCs w:val="15"/>
                <w:color w:val="0000EE"/>
                <w:w w:val="88"/>
              </w:rPr>
            </w:pPr>
            <w:hyperlink w:anchor="page8">
              <w:r>
                <w:rPr>
                  <w:rFonts w:ascii="Arial" w:cs="Arial" w:eastAsia="Arial" w:hAnsi="Arial"/>
                  <w:sz w:val="15"/>
                  <w:szCs w:val="15"/>
                  <w:color w:val="0000EE"/>
                  <w:w w:val="88"/>
                </w:rPr>
                <w:t>Notes to Consolidated Financial Statements</w:t>
              </w:r>
            </w:hyperlink>
          </w:p>
        </w:tc>
        <w:tc>
          <w:tcPr>
            <w:tcW w:w="3300" w:type="dxa"/>
            <w:vAlign w:val="bottom"/>
            <w:tcBorders>
              <w:top w:val="single" w:sz="8" w:color="0000EE"/>
            </w:tcBorders>
            <w:gridSpan w:val="7"/>
          </w:tcPr>
          <w:p>
            <w:pPr>
              <w:spacing w:after="0"/>
              <w:rPr>
                <w:sz w:val="24"/>
                <w:szCs w:val="24"/>
                <w:color w:val="auto"/>
              </w:rPr>
            </w:pPr>
          </w:p>
        </w:tc>
        <w:tc>
          <w:tcPr>
            <w:tcW w:w="178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340"/>
        </w:trPr>
        <w:tc>
          <w:tcPr>
            <w:tcW w:w="40" w:type="dxa"/>
            <w:vAlign w:val="bottom"/>
          </w:tcPr>
          <w:p>
            <w:pPr>
              <w:spacing w:after="0"/>
              <w:rPr>
                <w:sz w:val="24"/>
                <w:szCs w:val="24"/>
                <w:color w:val="auto"/>
              </w:rPr>
            </w:pPr>
          </w:p>
        </w:tc>
        <w:tc>
          <w:tcPr>
            <w:tcW w:w="7980" w:type="dxa"/>
            <w:vAlign w:val="bottom"/>
            <w:gridSpan w:val="24"/>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340"/>
        </w:trPr>
        <w:tc>
          <w:tcPr>
            <w:tcW w:w="4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16"/>
          </w:tcPr>
          <w:p>
            <w:pPr>
              <w:spacing w:after="0"/>
              <w:rPr>
                <w:rFonts w:ascii="Arial" w:cs="Arial" w:eastAsia="Arial" w:hAnsi="Arial"/>
                <w:sz w:val="15"/>
                <w:szCs w:val="15"/>
                <w:color w:val="0000EE"/>
                <w:w w:val="92"/>
              </w:rPr>
            </w:pPr>
            <w:hyperlink w:anchor="page28">
              <w:r>
                <w:rPr>
                  <w:rFonts w:ascii="Arial" w:cs="Arial" w:eastAsia="Arial" w:hAnsi="Arial"/>
                  <w:sz w:val="15"/>
                  <w:szCs w:val="15"/>
                  <w:color w:val="0000EE"/>
                  <w:w w:val="92"/>
                </w:rPr>
                <w:t>Item 3. Quantitative and Qualitative Disclosures About Market Risk</w:t>
              </w:r>
            </w:hyperlink>
          </w:p>
        </w:tc>
        <w:tc>
          <w:tcPr>
            <w:tcW w:w="1740" w:type="dxa"/>
            <w:vAlign w:val="bottom"/>
            <w:tcBorders>
              <w:top w:val="single" w:sz="8" w:color="0000EE"/>
            </w:tcBorders>
            <w:gridSpan w:val="3"/>
          </w:tcPr>
          <w:p>
            <w:pPr>
              <w:spacing w:after="0"/>
              <w:rPr>
                <w:sz w:val="24"/>
                <w:szCs w:val="24"/>
                <w:color w:val="auto"/>
              </w:rPr>
            </w:pPr>
          </w:p>
        </w:tc>
        <w:tc>
          <w:tcPr>
            <w:tcW w:w="21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340"/>
        </w:trPr>
        <w:tc>
          <w:tcPr>
            <w:tcW w:w="40" w:type="dxa"/>
            <w:vAlign w:val="bottom"/>
          </w:tcPr>
          <w:p>
            <w:pPr>
              <w:spacing w:after="0"/>
              <w:rPr>
                <w:sz w:val="24"/>
                <w:szCs w:val="24"/>
                <w:color w:val="auto"/>
              </w:rPr>
            </w:pPr>
          </w:p>
        </w:tc>
        <w:tc>
          <w:tcPr>
            <w:tcW w:w="7980" w:type="dxa"/>
            <w:vAlign w:val="bottom"/>
            <w:gridSpan w:val="24"/>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Item 4. Controls and Procedures</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34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0000EE"/>
            </w:tcBorders>
            <w:gridSpan w:val="4"/>
          </w:tcPr>
          <w:p>
            <w:pPr>
              <w:jc w:val="center"/>
              <w:spacing w:after="0"/>
              <w:rPr>
                <w:rFonts w:ascii="Arial" w:cs="Arial" w:eastAsia="Arial" w:hAnsi="Arial"/>
                <w:sz w:val="15"/>
                <w:szCs w:val="15"/>
                <w:color w:val="0000EE"/>
                <w:w w:val="96"/>
              </w:rPr>
            </w:pPr>
            <w:hyperlink w:anchor="page29">
              <w:r>
                <w:rPr>
                  <w:rFonts w:ascii="Arial" w:cs="Arial" w:eastAsia="Arial" w:hAnsi="Arial"/>
                  <w:sz w:val="15"/>
                  <w:szCs w:val="15"/>
                  <w:color w:val="0000EE"/>
                  <w:w w:val="96"/>
                </w:rPr>
                <w:t>PART II. OTHER INFORMATION</w:t>
              </w:r>
            </w:hyperlink>
          </w:p>
        </w:tc>
        <w:tc>
          <w:tcPr>
            <w:tcW w:w="294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r>
      <w:tr>
        <w:trPr>
          <w:trHeight w:val="340"/>
        </w:trPr>
        <w:tc>
          <w:tcPr>
            <w:tcW w:w="4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rFonts w:ascii="Arial" w:cs="Arial" w:eastAsia="Arial" w:hAnsi="Arial"/>
                <w:sz w:val="15"/>
                <w:szCs w:val="15"/>
                <w:color w:val="0000EE"/>
                <w:w w:val="89"/>
              </w:rPr>
            </w:pPr>
            <w:hyperlink w:anchor="page29">
              <w:r>
                <w:rPr>
                  <w:rFonts w:ascii="Arial" w:cs="Arial" w:eastAsia="Arial" w:hAnsi="Arial"/>
                  <w:sz w:val="15"/>
                  <w:szCs w:val="15"/>
                  <w:color w:val="0000EE"/>
                  <w:w w:val="89"/>
                </w:rPr>
                <w:t>Item 1. Legal Proceedings</w:t>
              </w:r>
            </w:hyperlink>
          </w:p>
        </w:tc>
        <w:tc>
          <w:tcPr>
            <w:tcW w:w="64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340"/>
        </w:trPr>
        <w:tc>
          <w:tcPr>
            <w:tcW w:w="40" w:type="dxa"/>
            <w:vAlign w:val="bottom"/>
          </w:tcPr>
          <w:p>
            <w:pPr>
              <w:spacing w:after="0"/>
              <w:rPr>
                <w:sz w:val="24"/>
                <w:szCs w:val="24"/>
                <w:color w:val="auto"/>
              </w:rPr>
            </w:pPr>
          </w:p>
        </w:tc>
        <w:tc>
          <w:tcPr>
            <w:tcW w:w="7980" w:type="dxa"/>
            <w:vAlign w:val="bottom"/>
            <w:gridSpan w:val="24"/>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0"/>
        </w:trPr>
        <w:tc>
          <w:tcPr>
            <w:tcW w:w="40" w:type="dxa"/>
            <w:vAlign w:val="bottom"/>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7980" w:type="dxa"/>
            <w:vAlign w:val="bottom"/>
            <w:gridSpan w:val="24"/>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Item 2. 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340"/>
        </w:trPr>
        <w:tc>
          <w:tcPr>
            <w:tcW w:w="40" w:type="dxa"/>
            <w:vAlign w:val="bottom"/>
          </w:tcPr>
          <w:p>
            <w:pPr>
              <w:spacing w:after="0"/>
              <w:rPr>
                <w:sz w:val="24"/>
                <w:szCs w:val="24"/>
                <w:color w:val="auto"/>
              </w:rPr>
            </w:pPr>
          </w:p>
        </w:tc>
        <w:tc>
          <w:tcPr>
            <w:tcW w:w="4080" w:type="dxa"/>
            <w:vAlign w:val="bottom"/>
            <w:tcBorders>
              <w:top w:val="single" w:sz="8" w:color="0000EE"/>
            </w:tcBorders>
            <w:gridSpan w:val="15"/>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Item 6. Exhibits</w:t>
              </w:r>
            </w:hyperlink>
          </w:p>
        </w:tc>
        <w:tc>
          <w:tcPr>
            <w:tcW w:w="390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340"/>
        </w:trPr>
        <w:tc>
          <w:tcPr>
            <w:tcW w:w="40" w:type="dxa"/>
            <w:vAlign w:val="bottom"/>
          </w:tcPr>
          <w:p>
            <w:pPr>
              <w:spacing w:after="0"/>
              <w:rPr>
                <w:sz w:val="24"/>
                <w:szCs w:val="24"/>
                <w:color w:val="auto"/>
              </w:rPr>
            </w:pPr>
          </w:p>
        </w:tc>
        <w:tc>
          <w:tcPr>
            <w:tcW w:w="960" w:type="dxa"/>
            <w:vAlign w:val="bottom"/>
            <w:tcBorders>
              <w:top w:val="single" w:sz="8" w:color="0000EE"/>
            </w:tcBorders>
            <w:gridSpan w:val="6"/>
          </w:tcPr>
          <w:p>
            <w:pPr>
              <w:spacing w:after="0"/>
              <w:rPr>
                <w:rFonts w:ascii="Arial" w:cs="Arial" w:eastAsia="Arial" w:hAnsi="Arial"/>
                <w:sz w:val="15"/>
                <w:szCs w:val="15"/>
                <w:color w:val="0000EE"/>
                <w:w w:val="90"/>
              </w:rPr>
            </w:pPr>
            <w:hyperlink w:anchor="page31">
              <w:r>
                <w:rPr>
                  <w:rFonts w:ascii="Arial" w:cs="Arial" w:eastAsia="Arial" w:hAnsi="Arial"/>
                  <w:sz w:val="15"/>
                  <w:szCs w:val="15"/>
                  <w:color w:val="0000EE"/>
                  <w:w w:val="90"/>
                </w:rPr>
                <w:t>Signature Page</w:t>
              </w:r>
            </w:hyperlink>
          </w:p>
        </w:tc>
        <w:tc>
          <w:tcPr>
            <w:tcW w:w="702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924"/>
        </w:trPr>
        <w:tc>
          <w:tcPr>
            <w:tcW w:w="60" w:type="dxa"/>
            <w:vAlign w:val="bottom"/>
            <w:gridSpan w:val="2"/>
          </w:tcPr>
          <w:p>
            <w:pPr>
              <w:spacing w:after="0"/>
              <w:rPr>
                <w:sz w:val="24"/>
                <w:szCs w:val="24"/>
                <w:color w:val="auto"/>
              </w:rPr>
            </w:pPr>
          </w:p>
        </w:tc>
        <w:tc>
          <w:tcPr>
            <w:tcW w:w="880" w:type="dxa"/>
            <w:vAlign w:val="bottom"/>
            <w:tcBorders>
              <w:top w:val="single" w:sz="8" w:color="0000EE"/>
            </w:tcBorders>
            <w:gridSpan w:val="4"/>
          </w:tcPr>
          <w:p>
            <w:pPr>
              <w:spacing w:after="0"/>
              <w:rPr>
                <w:sz w:val="24"/>
                <w:szCs w:val="24"/>
                <w:color w:val="auto"/>
              </w:rPr>
            </w:pPr>
          </w:p>
        </w:tc>
        <w:tc>
          <w:tcPr>
            <w:tcW w:w="4140" w:type="dxa"/>
            <w:vAlign w:val="bottom"/>
            <w:gridSpan w:val="12"/>
          </w:tcPr>
          <w:p>
            <w:pPr>
              <w:jc w:val="center"/>
              <w:ind w:left="2825"/>
              <w:spacing w:after="0"/>
              <w:rPr>
                <w:sz w:val="20"/>
                <w:szCs w:val="20"/>
                <w:color w:val="auto"/>
              </w:rPr>
            </w:pPr>
            <w:r>
              <w:rPr>
                <w:rFonts w:ascii="Arial" w:cs="Arial" w:eastAsia="Arial" w:hAnsi="Arial"/>
                <w:sz w:val="15"/>
                <w:szCs w:val="15"/>
                <w:color w:val="auto"/>
                <w:w w:val="95"/>
              </w:rPr>
              <w:t>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5"/>
        </w:trPr>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62" w:right="1440" w:bottom="144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6380" w:type="dxa"/>
            <w:vAlign w:val="bottom"/>
            <w:gridSpan w:val="3"/>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320" w:type="dxa"/>
            <w:vAlign w:val="bottom"/>
          </w:tcPr>
          <w:p>
            <w:pPr>
              <w:jc w:val="center"/>
              <w:ind w:left="1405"/>
              <w:spacing w:after="0"/>
              <w:rPr>
                <w:sz w:val="20"/>
                <w:szCs w:val="20"/>
                <w:color w:val="auto"/>
              </w:rPr>
            </w:pPr>
            <w:r>
              <w:rPr>
                <w:rFonts w:ascii="Arial" w:cs="Arial" w:eastAsia="Arial" w:hAnsi="Arial"/>
                <w:sz w:val="15"/>
                <w:szCs w:val="15"/>
                <w:b w:val="1"/>
                <w:bCs w:val="1"/>
                <w:color w:val="auto"/>
                <w:w w:val="97"/>
              </w:rPr>
              <w:t>PART I</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80" w:type="dxa"/>
            <w:vAlign w:val="bottom"/>
            <w:vMerge w:val="restart"/>
          </w:tcPr>
          <w:p>
            <w:pPr>
              <w:spacing w:after="0"/>
              <w:rPr>
                <w:sz w:val="20"/>
                <w:szCs w:val="20"/>
                <w:color w:val="auto"/>
              </w:rPr>
            </w:pPr>
            <w:r>
              <w:rPr>
                <w:rFonts w:ascii="Arial" w:cs="Arial" w:eastAsia="Arial" w:hAnsi="Arial"/>
                <w:sz w:val="15"/>
                <w:szCs w:val="15"/>
                <w:b w:val="1"/>
                <w:bCs w:val="1"/>
                <w:color w:val="auto"/>
              </w:rPr>
              <w:t>Item 1.</w:t>
            </w:r>
          </w:p>
        </w:tc>
        <w:tc>
          <w:tcPr>
            <w:tcW w:w="280" w:type="dxa"/>
            <w:vAlign w:val="bottom"/>
          </w:tcPr>
          <w:p>
            <w:pPr>
              <w:spacing w:after="0"/>
              <w:rPr>
                <w:sz w:val="18"/>
                <w:szCs w:val="18"/>
                <w:color w:val="auto"/>
              </w:rPr>
            </w:pPr>
          </w:p>
        </w:tc>
        <w:tc>
          <w:tcPr>
            <w:tcW w:w="5320" w:type="dxa"/>
            <w:vAlign w:val="bottom"/>
          </w:tcPr>
          <w:p>
            <w:pPr>
              <w:jc w:val="center"/>
              <w:ind w:left="1405"/>
              <w:spacing w:after="0"/>
              <w:rPr>
                <w:sz w:val="20"/>
                <w:szCs w:val="20"/>
                <w:color w:val="auto"/>
              </w:rPr>
            </w:pPr>
            <w:r>
              <w:rPr>
                <w:rFonts w:ascii="Arial" w:cs="Arial" w:eastAsia="Arial" w:hAnsi="Arial"/>
                <w:sz w:val="15"/>
                <w:szCs w:val="15"/>
                <w:b w:val="1"/>
                <w:bCs w:val="1"/>
                <w:color w:val="auto"/>
              </w:rPr>
              <w:t>FINANCIAL INFORMATION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Financial Statements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20" w:type="dxa"/>
            <w:vAlign w:val="bottom"/>
          </w:tcPr>
          <w:p>
            <w:pPr>
              <w:jc w:val="center"/>
              <w:ind w:left="1425"/>
              <w:spacing w:after="0"/>
              <w:rPr>
                <w:sz w:val="20"/>
                <w:szCs w:val="20"/>
                <w:color w:val="auto"/>
              </w:rPr>
            </w:pPr>
            <w:r>
              <w:rPr>
                <w:rFonts w:ascii="Arial" w:cs="Arial" w:eastAsia="Arial" w:hAnsi="Arial"/>
                <w:sz w:val="15"/>
                <w:szCs w:val="15"/>
                <w:b w:val="1"/>
                <w:bCs w:val="1"/>
                <w:color w:val="auto"/>
                <w:w w:val="98"/>
              </w:rPr>
              <w:t>AVNET, INC. AND SUBSIDIARIES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20" w:type="dxa"/>
            <w:vAlign w:val="bottom"/>
          </w:tcPr>
          <w:p>
            <w:pPr>
              <w:jc w:val="center"/>
              <w:ind w:left="1405"/>
              <w:spacing w:after="0"/>
              <w:rPr>
                <w:sz w:val="20"/>
                <w:szCs w:val="20"/>
                <w:color w:val="auto"/>
              </w:rPr>
            </w:pPr>
            <w:r>
              <w:rPr>
                <w:rFonts w:ascii="Arial" w:cs="Arial" w:eastAsia="Arial" w:hAnsi="Arial"/>
                <w:sz w:val="15"/>
                <w:szCs w:val="15"/>
                <w:b w:val="1"/>
                <w:bCs w:val="1"/>
                <w:color w:val="auto"/>
                <w:w w:val="99"/>
              </w:rPr>
              <w:t>CONSOLIDATED BALANCE SHEETS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20" w:type="dxa"/>
            <w:vAlign w:val="bottom"/>
          </w:tcPr>
          <w:p>
            <w:pPr>
              <w:jc w:val="center"/>
              <w:ind w:left="1425"/>
              <w:spacing w:after="0"/>
              <w:rPr>
                <w:sz w:val="20"/>
                <w:szCs w:val="20"/>
                <w:color w:val="auto"/>
              </w:rPr>
            </w:pPr>
            <w:r>
              <w:rPr>
                <w:rFonts w:ascii="Arial" w:cs="Arial" w:eastAsia="Arial" w:hAnsi="Arial"/>
                <w:sz w:val="15"/>
                <w:szCs w:val="15"/>
                <w:b w:val="1"/>
                <w:bCs w:val="1"/>
                <w:color w:val="auto"/>
                <w:w w:val="93"/>
              </w:rPr>
              <w:t>(Unaudited)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April 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July 3,</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right"/>
              <w:ind w:right="245"/>
              <w:spacing w:after="0" w:line="154" w:lineRule="exact"/>
              <w:rPr>
                <w:sz w:val="20"/>
                <w:szCs w:val="20"/>
                <w:color w:val="auto"/>
              </w:rPr>
            </w:pPr>
            <w:r>
              <w:rPr>
                <w:rFonts w:ascii="Arial" w:cs="Arial" w:eastAsia="Arial" w:hAnsi="Arial"/>
                <w:sz w:val="15"/>
                <w:szCs w:val="15"/>
                <w:b w:val="1"/>
                <w:bCs w:val="1"/>
                <w:color w:val="auto"/>
                <w:w w:val="92"/>
              </w:rPr>
              <w:t>(Thousands, except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right"/>
              <w:ind w:right="12"/>
              <w:spacing w:after="0"/>
              <w:rPr>
                <w:sz w:val="20"/>
                <w:szCs w:val="20"/>
                <w:color w:val="auto"/>
              </w:rPr>
            </w:pPr>
            <w:r>
              <w:rPr>
                <w:rFonts w:ascii="Arial" w:cs="Arial" w:eastAsia="Arial" w:hAnsi="Arial"/>
                <w:sz w:val="15"/>
                <w:szCs w:val="15"/>
                <w:b w:val="1"/>
                <w:bCs w:val="1"/>
                <w:color w:val="auto"/>
              </w:rPr>
              <w:t>amounts)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320" w:type="dxa"/>
            <w:vAlign w:val="bottom"/>
            <w:shd w:val="clear" w:color="auto" w:fill="CCEEFF"/>
          </w:tcPr>
          <w:p>
            <w:pPr>
              <w:jc w:val="center"/>
              <w:ind w:right="965"/>
              <w:spacing w:after="0"/>
              <w:rPr>
                <w:sz w:val="20"/>
                <w:szCs w:val="20"/>
                <w:color w:val="auto"/>
              </w:rPr>
            </w:pPr>
            <w:r>
              <w:rPr>
                <w:rFonts w:ascii="Arial" w:cs="Arial" w:eastAsia="Arial" w:hAnsi="Arial"/>
                <w:sz w:val="15"/>
                <w:szCs w:val="15"/>
                <w:b w:val="1"/>
                <w:bCs w:val="1"/>
                <w:color w:val="auto"/>
                <w:w w:val="93"/>
              </w:rPr>
              <w:t>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Cash and cash equivalents</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199,457</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199,691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Receivables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4,164,573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3,576,130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CCEEFF"/>
          </w:tcPr>
          <w:p>
            <w:pPr>
              <w:ind w:left="80"/>
              <w:spacing w:after="0"/>
              <w:rPr>
                <w:sz w:val="20"/>
                <w:szCs w:val="20"/>
                <w:color w:val="auto"/>
              </w:rPr>
            </w:pPr>
            <w:r>
              <w:rPr>
                <w:rFonts w:ascii="Arial" w:cs="Arial" w:eastAsia="Arial" w:hAnsi="Arial"/>
                <w:sz w:val="15"/>
                <w:szCs w:val="15"/>
                <w:color w:val="auto"/>
                <w:w w:val="92"/>
              </w:rPr>
              <w:t>Inventories</w:t>
            </w:r>
          </w:p>
        </w:tc>
        <w:tc>
          <w:tcPr>
            <w:tcW w:w="280" w:type="dxa"/>
            <w:vAlign w:val="bottom"/>
            <w:shd w:val="clear" w:color="auto" w:fill="CCEEFF"/>
          </w:tcPr>
          <w:p>
            <w:pPr>
              <w:spacing w:after="0"/>
              <w:rPr>
                <w:sz w:val="15"/>
                <w:szCs w:val="15"/>
                <w:color w:val="auto"/>
              </w:rPr>
            </w:pPr>
          </w:p>
        </w:tc>
        <w:tc>
          <w:tcPr>
            <w:tcW w:w="5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3,680,821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3,236,837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Borders>
              <w:bottom w:val="single" w:sz="8" w:color="CCEEFF"/>
            </w:tcBorders>
            <w:gridSpan w:val="3"/>
          </w:tcPr>
          <w:p>
            <w:pPr>
              <w:ind w:left="80"/>
              <w:spacing w:after="0"/>
              <w:rPr>
                <w:sz w:val="20"/>
                <w:szCs w:val="20"/>
                <w:color w:val="auto"/>
              </w:rPr>
            </w:pPr>
            <w:r>
              <w:rPr>
                <w:rFonts w:ascii="Arial" w:cs="Arial" w:eastAsia="Arial" w:hAnsi="Arial"/>
                <w:sz w:val="15"/>
                <w:szCs w:val="15"/>
                <w:color w:val="auto"/>
              </w:rPr>
              <w:t>Prepaid and other current assets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172,792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150,763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8,217,643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7,163,421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Property, plant and equipment,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323,420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368,452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CCEEFF"/>
          </w:tcPr>
          <w:p>
            <w:pPr>
              <w:ind w:left="8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5"/>
                <w:szCs w:val="15"/>
                <w:color w:val="auto"/>
              </w:rPr>
            </w:pPr>
          </w:p>
        </w:tc>
        <w:tc>
          <w:tcPr>
            <w:tcW w:w="5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805,384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838,105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Intangible assets, net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15,975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28,539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Operating lease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245,149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265,988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Borders>
              <w:bottom w:val="single" w:sz="8" w:color="CCEEFF"/>
            </w:tcBorders>
            <w:gridSpan w:val="3"/>
          </w:tcPr>
          <w:p>
            <w:pPr>
              <w:ind w:left="8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174,102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260,917</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9,781,673</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8,925,422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20" w:type="dxa"/>
            <w:vAlign w:val="bottom"/>
            <w:vMerge w:val="restart"/>
          </w:tcPr>
          <w:p>
            <w:pPr>
              <w:jc w:val="center"/>
              <w:ind w:right="945"/>
              <w:spacing w:after="0"/>
              <w:rPr>
                <w:sz w:val="20"/>
                <w:szCs w:val="20"/>
                <w:color w:val="auto"/>
              </w:rPr>
            </w:pPr>
            <w:r>
              <w:rPr>
                <w:rFonts w:ascii="Arial" w:cs="Arial" w:eastAsia="Arial" w:hAnsi="Arial"/>
                <w:sz w:val="15"/>
                <w:szCs w:val="15"/>
                <w:b w:val="1"/>
                <w:bCs w:val="1"/>
                <w:color w:val="auto"/>
              </w:rPr>
              <w:t>LIABILITIES AND SHAREHOLDERS’ EQUITY</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Short-term debt</w:t>
            </w:r>
          </w:p>
        </w:tc>
        <w:tc>
          <w:tcPr>
            <w:tcW w:w="40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424,182</w:t>
            </w:r>
          </w:p>
        </w:tc>
        <w:tc>
          <w:tcPr>
            <w:tcW w:w="180" w:type="dxa"/>
            <w:vAlign w:val="bottom"/>
          </w:tcPr>
          <w:p>
            <w:pPr>
              <w:spacing w:after="0"/>
              <w:rPr>
                <w:sz w:val="15"/>
                <w:szCs w:val="15"/>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23,078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2,968,845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2,401,357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Accrued expenses and other</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616,079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572,457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3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5"/>
                <w:szCs w:val="15"/>
                <w:color w:val="auto"/>
              </w:rPr>
              <w:t>Short-term operating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56,682</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58,346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80" w:type="dxa"/>
            <w:vAlign w:val="bottom"/>
            <w:gridSpan w:val="3"/>
          </w:tcPr>
          <w:p>
            <w:pPr>
              <w:ind w:left="260"/>
              <w:spacing w:after="0" w:line="162" w:lineRule="exact"/>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4,065,788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3,055,238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Long-term debt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922,041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1,191,329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Long-term operating lease liabilities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216,609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239,838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3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320,515</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354,833</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380" w:type="dxa"/>
            <w:vAlign w:val="bottom"/>
            <w:tcBorders>
              <w:bottom w:val="single" w:sz="8" w:color="CCEEFF"/>
            </w:tcBorders>
            <w:gridSpan w:val="3"/>
          </w:tcPr>
          <w:p>
            <w:pPr>
              <w:ind w:left="260"/>
              <w:spacing w:after="0" w:line="162" w:lineRule="exact"/>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5,524,953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4,841,238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Commitments and contingencies (Note 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80"/>
              <w:spacing w:after="0"/>
              <w:rPr>
                <w:sz w:val="20"/>
                <w:szCs w:val="20"/>
                <w:color w:val="auto"/>
              </w:rPr>
            </w:pPr>
            <w:r>
              <w:rPr>
                <w:rFonts w:ascii="Arial" w:cs="Arial" w:eastAsia="Arial" w:hAnsi="Arial"/>
                <w:sz w:val="15"/>
                <w:szCs w:val="15"/>
                <w:color w:val="auto"/>
              </w:rPr>
              <w:t>Shareholders’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80" w:type="dxa"/>
            <w:vAlign w:val="bottom"/>
            <w:gridSpan w:val="3"/>
            <w:shd w:val="clear" w:color="auto" w:fill="CCEEFF"/>
          </w:tcPr>
          <w:p>
            <w:pPr>
              <w:ind w:left="180"/>
              <w:spacing w:after="0" w:line="169" w:lineRule="exact"/>
              <w:rPr>
                <w:sz w:val="20"/>
                <w:szCs w:val="20"/>
                <w:color w:val="auto"/>
              </w:rPr>
            </w:pPr>
            <w:r>
              <w:rPr>
                <w:rFonts w:ascii="Arial" w:cs="Arial" w:eastAsia="Arial" w:hAnsi="Arial"/>
                <w:sz w:val="15"/>
                <w:szCs w:val="15"/>
                <w:color w:val="auto"/>
                <w:w w:val="92"/>
              </w:rPr>
              <w:t>Common stock $1.00 par; authorized 300,000,000 shares; issued 97,980,213 shares and 99,601,393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38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shares, respectively</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97,980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80" w:type="dxa"/>
            <w:vAlign w:val="bottom"/>
            <w:gridSpan w:val="3"/>
          </w:tcPr>
          <w:p>
            <w:pPr>
              <w:ind w:left="18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1,644,715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1,622,160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2,799,792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2,516,170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gridSpan w:val="3"/>
          </w:tcPr>
          <w:p>
            <w:pPr>
              <w:ind w:left="18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(285,767)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(153,747)</w:t>
            </w:r>
          </w:p>
        </w:tc>
        <w:tc>
          <w:tcPr>
            <w:tcW w:w="0" w:type="dxa"/>
            <w:vAlign w:val="bottom"/>
          </w:tcPr>
          <w:p>
            <w:pPr>
              <w:spacing w:after="0"/>
              <w:rPr>
                <w:sz w:val="1"/>
                <w:szCs w:val="1"/>
                <w:color w:val="auto"/>
              </w:rPr>
            </w:pPr>
          </w:p>
        </w:tc>
      </w:tr>
      <w:tr>
        <w:trPr>
          <w:trHeight w:val="200"/>
        </w:trPr>
        <w:tc>
          <w:tcPr>
            <w:tcW w:w="638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5"/>
                <w:szCs w:val="15"/>
                <w:color w:val="auto"/>
              </w:rPr>
              <w:t>Total shareholders’ equity</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4,256,720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4,084,184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80" w:type="dxa"/>
            <w:vAlign w:val="bottom"/>
            <w:gridSpan w:val="3"/>
          </w:tcPr>
          <w:p>
            <w:pPr>
              <w:ind w:left="260"/>
              <w:spacing w:after="0" w:line="162" w:lineRule="exact"/>
              <w:rPr>
                <w:sz w:val="20"/>
                <w:szCs w:val="20"/>
                <w:color w:val="auto"/>
              </w:rPr>
            </w:pPr>
            <w:r>
              <w:rPr>
                <w:rFonts w:ascii="Arial" w:cs="Arial" w:eastAsia="Arial" w:hAnsi="Arial"/>
                <w:sz w:val="15"/>
                <w:szCs w:val="15"/>
                <w:color w:val="auto"/>
              </w:rPr>
              <w:t>Total liabilities and shareholders’ equity</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45"/>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9,781,673</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8,925,422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62" w:right="1440" w:bottom="1440" w:gutter="0" w:footer="0" w:header="0"/>
        </w:sectPr>
      </w:pPr>
    </w:p>
    <w:bookmarkStart w:id="3" w:name="page4"/>
    <w:bookmarkEnd w:id="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5"/>
                <w:szCs w:val="15"/>
                <w:b w:val="1"/>
                <w:bCs w:val="1"/>
                <w:color w:val="auto"/>
              </w:rPr>
              <w:t>Third Quarters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6"/>
          </w:tcPr>
          <w:p>
            <w:pPr>
              <w:ind w:left="34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100"/>
              <w:spacing w:after="0" w:line="166" w:lineRule="exact"/>
              <w:rPr>
                <w:sz w:val="20"/>
                <w:szCs w:val="20"/>
                <w:color w:val="auto"/>
              </w:rPr>
            </w:pPr>
            <w:r>
              <w:rPr>
                <w:rFonts w:ascii="Arial" w:cs="Arial" w:eastAsia="Arial" w:hAnsi="Arial"/>
                <w:sz w:val="15"/>
                <w:szCs w:val="15"/>
                <w:b w:val="1"/>
                <w:bCs w:val="1"/>
                <w:color w:val="auto"/>
              </w:rPr>
              <w:t>April 2,</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25"/>
              <w:spacing w:after="0" w:line="166" w:lineRule="exact"/>
              <w:rPr>
                <w:sz w:val="20"/>
                <w:szCs w:val="20"/>
                <w:color w:val="auto"/>
              </w:rPr>
            </w:pPr>
            <w:r>
              <w:rPr>
                <w:rFonts w:ascii="Arial" w:cs="Arial" w:eastAsia="Arial" w:hAnsi="Arial"/>
                <w:sz w:val="15"/>
                <w:szCs w:val="15"/>
                <w:b w:val="1"/>
                <w:bCs w:val="1"/>
                <w:color w:val="auto"/>
              </w:rPr>
              <w:t>April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100"/>
              <w:spacing w:after="0" w:line="166" w:lineRule="exact"/>
              <w:rPr>
                <w:sz w:val="20"/>
                <w:szCs w:val="20"/>
                <w:color w:val="auto"/>
              </w:rPr>
            </w:pPr>
            <w:r>
              <w:rPr>
                <w:rFonts w:ascii="Arial" w:cs="Arial" w:eastAsia="Arial" w:hAnsi="Arial"/>
                <w:sz w:val="15"/>
                <w:szCs w:val="15"/>
                <w:b w:val="1"/>
                <w:bCs w:val="1"/>
                <w:color w:val="auto"/>
              </w:rPr>
              <w:t>April 2,</w:t>
            </w: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25"/>
              <w:spacing w:after="0" w:line="166" w:lineRule="exact"/>
              <w:rPr>
                <w:sz w:val="20"/>
                <w:szCs w:val="20"/>
                <w:color w:val="auto"/>
              </w:rPr>
            </w:pPr>
            <w:r>
              <w:rPr>
                <w:rFonts w:ascii="Arial" w:cs="Arial" w:eastAsia="Arial" w:hAnsi="Arial"/>
                <w:sz w:val="15"/>
                <w:szCs w:val="15"/>
                <w:b w:val="1"/>
                <w:bCs w:val="1"/>
                <w:color w:val="auto"/>
              </w:rPr>
              <w:t>April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gridSpan w:val="7"/>
          </w:tcPr>
          <w:p>
            <w:pPr>
              <w:jc w:val="right"/>
              <w:spacing w:after="0" w:line="169" w:lineRule="exact"/>
              <w:rPr>
                <w:sz w:val="20"/>
                <w:szCs w:val="20"/>
                <w:color w:val="auto"/>
              </w:rPr>
            </w:pPr>
            <w:r>
              <w:rPr>
                <w:rFonts w:ascii="Arial" w:cs="Arial" w:eastAsia="Arial" w:hAnsi="Arial"/>
                <w:sz w:val="15"/>
                <w:szCs w:val="15"/>
                <w:b w:val="1"/>
                <w:bCs w:val="1"/>
                <w:color w:val="auto"/>
                <w:w w:val="85"/>
              </w:rPr>
              <w:t>(Thousands, except per share amounts)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6,488,143</w:t>
            </w:r>
          </w:p>
        </w:tc>
        <w:tc>
          <w:tcPr>
            <w:tcW w:w="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4,916,714</w:t>
            </w: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17,938,055</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14,307,945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5,675,110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4,348,364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15,752,295</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12,712,262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813,033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568,350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2,185,760</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1,595,683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512,364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463,092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1,499,904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1,376,333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Russian-Ukraine conflict related expenses (Note 2)</w:t>
            </w: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26,261</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rPr>
                <w:sz w:val="20"/>
                <w:szCs w:val="20"/>
                <w:color w:val="auto"/>
              </w:rPr>
            </w:pPr>
            <w:r>
              <w:rPr>
                <w:rFonts w:ascii="Arial" w:cs="Arial" w:eastAsia="Arial" w:hAnsi="Arial"/>
                <w:sz w:val="15"/>
                <w:szCs w:val="15"/>
                <w:color w:val="auto"/>
              </w:rPr>
              <w:t>Restructuring, integration and other expenses</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17,574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5,272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55,943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274,408</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654,323</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858</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Interest and other financing expenses, net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(25,914)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(22,342)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(70,388)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tcBorders>
              <w:top w:val="single" w:sz="8" w:color="CCEEFF"/>
            </w:tcBorders>
          </w:tcPr>
          <w:p>
            <w:pPr>
              <w:spacing w:after="0" w:line="162" w:lineRule="exact"/>
              <w:rPr>
                <w:sz w:val="20"/>
                <w:szCs w:val="20"/>
                <w:color w:val="auto"/>
              </w:rPr>
            </w:pPr>
            <w:r>
              <w:rPr>
                <w:rFonts w:ascii="Arial" w:cs="Arial" w:eastAsia="Arial" w:hAnsi="Arial"/>
                <w:sz w:val="15"/>
                <w:szCs w:val="15"/>
                <w:color w:val="auto"/>
              </w:rPr>
              <w:t>Income before taxes</w:t>
            </w:r>
          </w:p>
        </w:tc>
        <w:tc>
          <w:tcPr>
            <w:tcW w:w="5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248,025</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70,121</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584,793</w:t>
            </w: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5"/>
                <w:szCs w:val="15"/>
                <w:color w:val="auto"/>
              </w:rPr>
              <w:t>81,227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(37,363)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139,237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Borders>
              <w:top w:val="single" w:sz="8" w:color="CCEEFF"/>
              <w:bottom w:val="single" w:sz="8" w:color="CCEEFF"/>
            </w:tcBorders>
          </w:tcPr>
          <w:p>
            <w:pPr>
              <w:spacing w:after="0" w:line="162" w:lineRule="exact"/>
              <w:rPr>
                <w:sz w:val="20"/>
                <w:szCs w:val="20"/>
                <w:color w:val="auto"/>
              </w:rPr>
            </w:pPr>
            <w:r>
              <w:rPr>
                <w:rFonts w:ascii="Arial" w:cs="Arial" w:eastAsia="Arial" w:hAnsi="Arial"/>
                <w:sz w:val="15"/>
                <w:szCs w:val="15"/>
                <w:color w:val="auto"/>
              </w:rPr>
              <w:t>Net income</w:t>
            </w:r>
          </w:p>
        </w:tc>
        <w:tc>
          <w:tcPr>
            <w:tcW w:w="5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183,417</w:t>
            </w:r>
          </w:p>
        </w:tc>
        <w:tc>
          <w:tcPr>
            <w:tcW w:w="6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107,484</w:t>
            </w:r>
          </w:p>
        </w:tc>
        <w:tc>
          <w:tcPr>
            <w:tcW w:w="10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445,556</w:t>
            </w:r>
          </w:p>
        </w:tc>
        <w:tc>
          <w:tcPr>
            <w:tcW w:w="14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107,759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Arial" w:cs="Arial" w:eastAsia="Arial" w:hAnsi="Arial"/>
                <w:sz w:val="15"/>
                <w:szCs w:val="15"/>
                <w:color w:val="auto"/>
              </w:rPr>
              <w:t>Earnings per share:</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Basic</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5"/>
                <w:szCs w:val="15"/>
                <w:color w:val="auto"/>
              </w:rPr>
              <w:t>Diluted</w:t>
            </w: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1.84</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5"/>
              <w:spacing w:after="0" w:line="154"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4.44</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5"/>
              <w:spacing w:after="0" w:line="154"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20"/>
                <w:szCs w:val="20"/>
                <w:color w:val="auto"/>
              </w:rPr>
            </w:pPr>
            <w:r>
              <w:rPr>
                <w:rFonts w:ascii="Arial" w:cs="Arial" w:eastAsia="Arial" w:hAnsi="Arial"/>
                <w:sz w:val="15"/>
                <w:szCs w:val="15"/>
                <w:color w:val="auto"/>
              </w:rPr>
              <w:t>Shares used to compute earnings per share:</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Basic</w:t>
            </w: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98,659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99,542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99,113</w:t>
            </w: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80"/>
              <w:spacing w:after="0"/>
              <w:rPr>
                <w:sz w:val="20"/>
                <w:szCs w:val="20"/>
                <w:color w:val="auto"/>
              </w:rPr>
            </w:pPr>
            <w:r>
              <w:rPr>
                <w:rFonts w:ascii="Arial" w:cs="Arial" w:eastAsia="Arial" w:hAnsi="Arial"/>
                <w:sz w:val="15"/>
                <w:szCs w:val="15"/>
                <w:color w:val="auto"/>
              </w:rPr>
              <w:t>Diluted</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99,486</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100,247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100,296</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100,013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56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5"/>
                <w:szCs w:val="15"/>
                <w:color w:val="auto"/>
              </w:rPr>
              <w:t>Cash dividends paid per common share</w:t>
            </w:r>
          </w:p>
        </w:tc>
        <w:tc>
          <w:tcPr>
            <w:tcW w:w="5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0.26</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5"/>
              <w:spacing w:after="0" w:line="154"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0.21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5"/>
              <w:spacing w:after="0" w:line="154"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0.74</w:t>
            </w: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5"/>
              <w:spacing w:after="0" w:line="154"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0.63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 w:name="page5"/>
    <w:bookmarkEnd w:id="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jc w:val="center"/>
        <w:ind w:left="1500" w:right="2180"/>
        <w:spacing w:after="0" w:line="273" w:lineRule="auto"/>
        <w:rPr>
          <w:sz w:val="20"/>
          <w:szCs w:val="20"/>
          <w:color w:val="auto"/>
        </w:rPr>
      </w:pPr>
      <w:r>
        <w:rPr>
          <w:rFonts w:ascii="Arial" w:cs="Arial" w:eastAsia="Arial" w:hAnsi="Arial"/>
          <w:sz w:val="15"/>
          <w:szCs w:val="15"/>
          <w:b w:val="1"/>
          <w:bCs w:val="1"/>
          <w:color w:val="auto"/>
        </w:rPr>
        <w:t>AVNET, INC. AND SUBSIDIARIES CONSOLIDATED STATEMENTS OF COMPREHENSIVE INCOME (Unaudited)</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5"/>
                <w:szCs w:val="15"/>
                <w:b w:val="1"/>
                <w:bCs w:val="1"/>
                <w:color w:val="auto"/>
                <w:w w:val="98"/>
              </w:rPr>
              <w:t>Third Quarters Ended</w:t>
            </w:r>
          </w:p>
        </w:tc>
        <w:tc>
          <w:tcPr>
            <w:tcW w:w="120" w:type="dxa"/>
            <w:vAlign w:val="bottom"/>
          </w:tcPr>
          <w:p>
            <w:pPr>
              <w:spacing w:after="0"/>
              <w:rPr>
                <w:sz w:val="17"/>
                <w:szCs w:val="17"/>
                <w:color w:val="auto"/>
              </w:rPr>
            </w:pPr>
          </w:p>
        </w:tc>
        <w:tc>
          <w:tcPr>
            <w:tcW w:w="1720" w:type="dxa"/>
            <w:vAlign w:val="bottom"/>
            <w:gridSpan w:val="5"/>
          </w:tcPr>
          <w:p>
            <w:pPr>
              <w:ind w:left="160"/>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50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60"/>
              <w:spacing w:after="0" w:line="166" w:lineRule="exact"/>
              <w:rPr>
                <w:sz w:val="20"/>
                <w:szCs w:val="20"/>
                <w:color w:val="auto"/>
              </w:rPr>
            </w:pPr>
            <w:r>
              <w:rPr>
                <w:rFonts w:ascii="Arial" w:cs="Arial" w:eastAsia="Arial" w:hAnsi="Arial"/>
                <w:sz w:val="15"/>
                <w:szCs w:val="15"/>
                <w:b w:val="1"/>
                <w:bCs w:val="1"/>
                <w:color w:val="auto"/>
              </w:rPr>
              <w:t>April 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85"/>
              <w:spacing w:after="0" w:line="166" w:lineRule="exact"/>
              <w:rPr>
                <w:sz w:val="20"/>
                <w:szCs w:val="20"/>
                <w:color w:val="auto"/>
              </w:rPr>
            </w:pPr>
            <w:r>
              <w:rPr>
                <w:rFonts w:ascii="Arial" w:cs="Arial" w:eastAsia="Arial" w:hAnsi="Arial"/>
                <w:sz w:val="15"/>
                <w:szCs w:val="15"/>
                <w:b w:val="1"/>
                <w:bCs w:val="1"/>
                <w:color w:val="auto"/>
              </w:rPr>
              <w:t>April 3,</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ind w:left="60"/>
              <w:spacing w:after="0" w:line="166" w:lineRule="exact"/>
              <w:rPr>
                <w:sz w:val="20"/>
                <w:szCs w:val="20"/>
                <w:color w:val="auto"/>
              </w:rPr>
            </w:pPr>
            <w:r>
              <w:rPr>
                <w:rFonts w:ascii="Arial" w:cs="Arial" w:eastAsia="Arial" w:hAnsi="Arial"/>
                <w:sz w:val="15"/>
                <w:szCs w:val="15"/>
                <w:b w:val="1"/>
                <w:bCs w:val="1"/>
                <w:color w:val="auto"/>
              </w:rPr>
              <w:t>April 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85"/>
              <w:spacing w:after="0" w:line="166" w:lineRule="exact"/>
              <w:rPr>
                <w:sz w:val="20"/>
                <w:szCs w:val="20"/>
                <w:color w:val="auto"/>
              </w:rPr>
            </w:pPr>
            <w:r>
              <w:rPr>
                <w:rFonts w:ascii="Arial" w:cs="Arial" w:eastAsia="Arial" w:hAnsi="Arial"/>
                <w:sz w:val="15"/>
                <w:szCs w:val="15"/>
                <w:b w:val="1"/>
                <w:bCs w:val="1"/>
                <w:color w:val="auto"/>
                <w:w w:val="98"/>
              </w:rPr>
              <w:t>April 3,</w:t>
            </w:r>
          </w:p>
        </w:tc>
      </w:tr>
      <w:tr>
        <w:trPr>
          <w:trHeight w:val="197"/>
        </w:trPr>
        <w:tc>
          <w:tcPr>
            <w:tcW w:w="5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2021</w:t>
            </w:r>
          </w:p>
        </w:tc>
      </w:tr>
      <w:tr>
        <w:trPr>
          <w:trHeight w:val="169"/>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505"/>
              <w:spacing w:after="0" w:line="169" w:lineRule="exact"/>
              <w:rPr>
                <w:sz w:val="20"/>
                <w:szCs w:val="20"/>
                <w:color w:val="auto"/>
              </w:rPr>
            </w:pPr>
            <w:r>
              <w:rPr>
                <w:rFonts w:ascii="Arial" w:cs="Arial" w:eastAsia="Arial" w:hAnsi="Arial"/>
                <w:sz w:val="15"/>
                <w:szCs w:val="15"/>
                <w:b w:val="1"/>
                <w:bCs w:val="1"/>
                <w:color w:val="auto"/>
              </w:rPr>
              <w:t>(Thousands)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0"/>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183,417</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107,484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445,556</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107,759</w:t>
            </w:r>
          </w:p>
        </w:tc>
      </w:tr>
      <w:tr>
        <w:trPr>
          <w:trHeight w:val="180"/>
        </w:trPr>
        <w:tc>
          <w:tcPr>
            <w:tcW w:w="500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5000" w:type="dxa"/>
            <w:vAlign w:val="bottom"/>
            <w:shd w:val="clear" w:color="auto" w:fill="CCEEFF"/>
          </w:tcPr>
          <w:p>
            <w:pPr>
              <w:ind w:left="80"/>
              <w:spacing w:after="0"/>
              <w:rPr>
                <w:sz w:val="20"/>
                <w:szCs w:val="20"/>
                <w:color w:val="auto"/>
              </w:rPr>
            </w:pPr>
            <w:r>
              <w:rPr>
                <w:rFonts w:ascii="Arial" w:cs="Arial" w:eastAsia="Arial" w:hAnsi="Arial"/>
                <w:sz w:val="15"/>
                <w:szCs w:val="15"/>
                <w:color w:val="auto"/>
              </w:rPr>
              <w:t>Foreign currency translation and other</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(66,033)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(65,021)</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(144,052)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145,352</w:t>
            </w:r>
          </w:p>
        </w:tc>
      </w:tr>
      <w:tr>
        <w:trPr>
          <w:trHeight w:val="182"/>
        </w:trPr>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Pension adjustments, net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3,983</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17,589</w:t>
            </w:r>
          </w:p>
        </w:tc>
      </w:tr>
      <w:tr>
        <w:trPr>
          <w:trHeight w:val="18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121,393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46,446</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313,536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270,700</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 w:name="page6"/>
    <w:bookmarkEnd w:id="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SHAREHOLDERS’ EQUITY</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ind w:left="160"/>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9"/>
        </w:trPr>
        <w:tc>
          <w:tcPr>
            <w:tcW w:w="29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tcPr>
          <w:p>
            <w:pPr>
              <w:spacing w:after="0"/>
              <w:rPr>
                <w:sz w:val="14"/>
                <w:szCs w:val="14"/>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6"/>
              </w:rPr>
              <w:t>Total</w:t>
            </w:r>
          </w:p>
        </w:tc>
      </w:tr>
      <w:tr>
        <w:trPr>
          <w:trHeight w:val="169"/>
        </w:trPr>
        <w:tc>
          <w:tcPr>
            <w:tcW w:w="29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Retained</w:t>
            </w: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Comprehensive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Shareholders’</w:t>
            </w:r>
          </w:p>
        </w:tc>
      </w:tr>
      <w:tr>
        <w:trPr>
          <w:trHeight w:val="182"/>
        </w:trPr>
        <w:tc>
          <w:tcPr>
            <w:tcW w:w="296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8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(Loss) Income</w:t>
            </w:r>
          </w:p>
        </w:tc>
        <w:tc>
          <w:tcPr>
            <w:tcW w:w="260" w:type="dxa"/>
            <w:vAlign w:val="bottom"/>
          </w:tcPr>
          <w:p>
            <w:pPr>
              <w:spacing w:after="0"/>
              <w:rPr>
                <w:sz w:val="15"/>
                <w:szCs w:val="15"/>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5"/>
              </w:rPr>
              <w:t>Equity</w:t>
            </w:r>
          </w:p>
        </w:tc>
      </w:tr>
      <w:tr>
        <w:trPr>
          <w:trHeight w:val="157"/>
        </w:trPr>
        <w:tc>
          <w:tcPr>
            <w:tcW w:w="29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July 3, 2021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99,601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99,601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1,622,160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2,516,170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(153,747)</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4,084,184</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111,318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111,318</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(29,036)</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4,012</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(23,893)</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(275)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(10,228)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(10,503)</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9,517</w:t>
            </w:r>
          </w:p>
        </w:tc>
      </w:tr>
      <w:tr>
        <w:trPr>
          <w:trHeight w:val="151"/>
        </w:trPr>
        <w:tc>
          <w:tcPr>
            <w:tcW w:w="296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Balance, October 2, 2021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99,336</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99,336</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1,631,667</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2,593,367</w:t>
            </w: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(178,771)</w:t>
            </w: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4,145,599</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150,821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150,821</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(48,982)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(48,982)</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(23,749)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(23,749)</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(34,421)</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(35,342)</w:t>
            </w:r>
          </w:p>
        </w:tc>
      </w:tr>
      <w:tr>
        <w:trPr>
          <w:trHeight w:val="171"/>
        </w:trPr>
        <w:tc>
          <w:tcPr>
            <w:tcW w:w="29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10,869</w:t>
            </w:r>
          </w:p>
        </w:tc>
      </w:tr>
      <w:tr>
        <w:trPr>
          <w:trHeight w:val="16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January 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98,430</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98,430</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1,642,521</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2,686,018</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(223,743)</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4,203,226</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183,417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183,417</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4,009</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(25,612)</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(1,101)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(44,031)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(45,132)</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2,845</w:t>
            </w:r>
          </w:p>
        </w:tc>
      </w:tr>
      <w:tr>
        <w:trPr>
          <w:trHeight w:val="151"/>
        </w:trPr>
        <w:tc>
          <w:tcPr>
            <w:tcW w:w="296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Balance, April 2, 2022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97,980</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97,980</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1,644,715</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2,799,792</w:t>
            </w: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(285,767)</w:t>
            </w: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4,256,720</w:t>
            </w:r>
          </w:p>
        </w:tc>
      </w:tr>
      <w:tr>
        <w:trPr>
          <w:trHeight w:val="20"/>
        </w:trPr>
        <w:tc>
          <w:tcPr>
            <w:tcW w:w="2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23"/>
        </w:trPr>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9"/>
        </w:trPr>
        <w:tc>
          <w:tcPr>
            <w:tcW w:w="29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tcPr>
          <w:p>
            <w:pPr>
              <w:spacing w:after="0"/>
              <w:rPr>
                <w:sz w:val="14"/>
                <w:szCs w:val="14"/>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6"/>
              </w:rPr>
              <w:t>Total</w:t>
            </w:r>
          </w:p>
        </w:tc>
      </w:tr>
      <w:tr>
        <w:trPr>
          <w:trHeight w:val="169"/>
        </w:trPr>
        <w:tc>
          <w:tcPr>
            <w:tcW w:w="29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Retained</w:t>
            </w: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Comprehensive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Shareholders’</w:t>
            </w:r>
          </w:p>
        </w:tc>
      </w:tr>
      <w:tr>
        <w:trPr>
          <w:trHeight w:val="182"/>
        </w:trPr>
        <w:tc>
          <w:tcPr>
            <w:tcW w:w="296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8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(Loss) Income</w:t>
            </w:r>
          </w:p>
        </w:tc>
        <w:tc>
          <w:tcPr>
            <w:tcW w:w="260" w:type="dxa"/>
            <w:vAlign w:val="bottom"/>
          </w:tcPr>
          <w:p>
            <w:pPr>
              <w:spacing w:after="0"/>
              <w:rPr>
                <w:sz w:val="15"/>
                <w:szCs w:val="15"/>
                <w:color w:val="auto"/>
              </w:rPr>
            </w:pPr>
          </w:p>
        </w:tc>
        <w:tc>
          <w:tcPr>
            <w:tcW w:w="760" w:type="dxa"/>
            <w:vAlign w:val="bottom"/>
          </w:tcPr>
          <w:p>
            <w:pPr>
              <w:jc w:val="center"/>
              <w:ind w:right="193"/>
              <w:spacing w:after="0"/>
              <w:rPr>
                <w:sz w:val="20"/>
                <w:szCs w:val="20"/>
                <w:color w:val="auto"/>
              </w:rPr>
            </w:pPr>
            <w:r>
              <w:rPr>
                <w:rFonts w:ascii="Arial" w:cs="Arial" w:eastAsia="Arial" w:hAnsi="Arial"/>
                <w:sz w:val="13"/>
                <w:szCs w:val="13"/>
                <w:b w:val="1"/>
                <w:bCs w:val="1"/>
                <w:color w:val="auto"/>
                <w:w w:val="95"/>
              </w:rPr>
              <w:t>Equity</w:t>
            </w:r>
          </w:p>
        </w:tc>
      </w:tr>
      <w:tr>
        <w:trPr>
          <w:trHeight w:val="157"/>
        </w:trPr>
        <w:tc>
          <w:tcPr>
            <w:tcW w:w="29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June 27, 2020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98,793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98,793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1,594,140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2,421,845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(388,380)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3,726,398</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(18,889)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(18,889)</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90,373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90,373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9,623</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(20,756)</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(20,756)</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Effects of new accounting principles, net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(14,480)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(14,480)</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5,242</w:t>
            </w:r>
          </w:p>
        </w:tc>
      </w:tr>
      <w:tr>
        <w:trPr>
          <w:trHeight w:val="151"/>
        </w:trPr>
        <w:tc>
          <w:tcPr>
            <w:tcW w:w="296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Balance, October 3,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98,844</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98,844</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1,599,331</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2,367,720</w:t>
            </w: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(288,384)</w:t>
            </w: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3,777,511</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19,163</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120,000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120,000</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(20,756)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(20,756)</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10,832</w:t>
            </w:r>
          </w:p>
        </w:tc>
      </w:tr>
      <w:tr>
        <w:trPr>
          <w:trHeight w:val="151"/>
        </w:trPr>
        <w:tc>
          <w:tcPr>
            <w:tcW w:w="296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Balance, January 2, 2021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98,862</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98,862</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1,610,145</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2,366,127</w:t>
            </w: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(164,401)</w:t>
            </w: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3,910,733</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107,484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107,484</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Translation adjustments and other</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(65,021)</w:t>
            </w:r>
          </w:p>
        </w:tc>
      </w:tr>
      <w:tr>
        <w:trPr>
          <w:trHeight w:val="16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Pension liability adjustments, net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r>
      <w:tr>
        <w:trPr>
          <w:trHeight w:val="169"/>
        </w:trPr>
        <w:tc>
          <w:tcPr>
            <w:tcW w:w="2960" w:type="dxa"/>
            <w:vAlign w:val="bottom"/>
          </w:tcPr>
          <w:p>
            <w:pPr>
              <w:spacing w:after="0"/>
              <w:rPr>
                <w:sz w:val="20"/>
                <w:szCs w:val="20"/>
                <w:color w:val="auto"/>
              </w:rPr>
            </w:pPr>
            <w:r>
              <w:rPr>
                <w:rFonts w:ascii="Arial" w:cs="Arial" w:eastAsia="Arial" w:hAnsi="Arial"/>
                <w:sz w:val="13"/>
                <w:szCs w:val="13"/>
                <w:color w:val="auto"/>
              </w:rPr>
              <w:t>Cash dividends</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(20,888)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(20,888)</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w:t>
            </w:r>
          </w:p>
        </w:tc>
      </w:tr>
      <w:tr>
        <w:trPr>
          <w:trHeight w:val="151"/>
        </w:trPr>
        <w:tc>
          <w:tcPr>
            <w:tcW w:w="296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Balance, April 3,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99,489</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99,489</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1,611,114</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2,452,723</w:t>
            </w: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(225,439)</w:t>
            </w:r>
          </w:p>
        </w:tc>
        <w:tc>
          <w:tcPr>
            <w:tcW w:w="160" w:type="dxa"/>
            <w:vAlign w:val="bottom"/>
            <w:tcBorders>
              <w:top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3,937,887</w:t>
            </w:r>
          </w:p>
        </w:tc>
      </w:tr>
      <w:tr>
        <w:trPr>
          <w:trHeight w:val="20"/>
        </w:trPr>
        <w:tc>
          <w:tcPr>
            <w:tcW w:w="2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 w:name="page7"/>
    <w:bookmarkEnd w:id="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5"/>
          </w:tcPr>
          <w:p>
            <w:pPr>
              <w:ind w:left="360"/>
              <w:spacing w:after="0"/>
              <w:rPr>
                <w:sz w:val="20"/>
                <w:szCs w:val="20"/>
                <w:color w:val="auto"/>
              </w:rPr>
            </w:pPr>
            <w:r>
              <w:rPr>
                <w:rFonts w:ascii="Arial" w:cs="Arial" w:eastAsia="Arial" w:hAnsi="Arial"/>
                <w:sz w:val="13"/>
                <w:szCs w:val="13"/>
                <w:b w:val="1"/>
                <w:bCs w:val="1"/>
                <w:color w:val="auto"/>
              </w:rPr>
              <w:t>Nine Months Ended</w:t>
            </w:r>
          </w:p>
        </w:tc>
      </w:tr>
      <w:tr>
        <w:trPr>
          <w:trHeight w:val="158"/>
        </w:trPr>
        <w:tc>
          <w:tcPr>
            <w:tcW w:w="5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April 2,</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99"/>
              </w:rPr>
              <w:t>April 3,</w:t>
            </w:r>
          </w:p>
        </w:tc>
        <w:tc>
          <w:tcPr>
            <w:tcW w:w="20" w:type="dxa"/>
            <w:vAlign w:val="bottom"/>
          </w:tcPr>
          <w:p>
            <w:pPr>
              <w:spacing w:after="0"/>
              <w:rPr>
                <w:sz w:val="13"/>
                <w:szCs w:val="13"/>
                <w:color w:val="auto"/>
              </w:rPr>
            </w:pPr>
          </w:p>
        </w:tc>
      </w:tr>
      <w:tr>
        <w:trPr>
          <w:trHeight w:val="182"/>
        </w:trPr>
        <w:tc>
          <w:tcPr>
            <w:tcW w:w="5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r>
      <w:tr>
        <w:trPr>
          <w:trHeight w:val="157"/>
        </w:trPr>
        <w:tc>
          <w:tcPr>
            <w:tcW w:w="5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54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445,556</w:t>
            </w:r>
          </w:p>
        </w:tc>
        <w:tc>
          <w:tcPr>
            <w:tcW w:w="160" w:type="dxa"/>
            <w:vAlign w:val="bottom"/>
          </w:tcPr>
          <w:p>
            <w:pPr>
              <w:spacing w:after="0"/>
              <w:rPr>
                <w:sz w:val="14"/>
                <w:szCs w:val="1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107,759</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Non-cash and other reconciling items: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65,719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67,462</w:t>
            </w:r>
          </w:p>
        </w:tc>
        <w:tc>
          <w:tcPr>
            <w:tcW w:w="20" w:type="dxa"/>
            <w:vAlign w:val="bottom"/>
          </w:tcPr>
          <w:p>
            <w:pPr>
              <w:spacing w:after="0"/>
              <w:rPr>
                <w:sz w:val="14"/>
                <w:szCs w:val="14"/>
                <w:color w:val="auto"/>
              </w:rPr>
            </w:pPr>
          </w:p>
        </w:tc>
      </w:tr>
      <w:tr>
        <w:trPr>
          <w:trHeight w:val="169"/>
        </w:trPr>
        <w:tc>
          <w:tcPr>
            <w:tcW w:w="5340" w:type="dxa"/>
            <w:vAlign w:val="bottom"/>
          </w:tcPr>
          <w:p>
            <w:pPr>
              <w:ind w:left="260"/>
              <w:spacing w:after="0"/>
              <w:rPr>
                <w:sz w:val="20"/>
                <w:szCs w:val="20"/>
                <w:color w:val="auto"/>
              </w:rPr>
            </w:pPr>
            <w:r>
              <w:rPr>
                <w:rFonts w:ascii="Arial" w:cs="Arial" w:eastAsia="Arial" w:hAnsi="Arial"/>
                <w:sz w:val="13"/>
                <w:szCs w:val="13"/>
                <w:color w:val="auto"/>
              </w:rPr>
              <w:t>Amortization</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12,034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35,730</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operating lease assets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40,298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42,054</w:t>
            </w:r>
          </w:p>
        </w:tc>
        <w:tc>
          <w:tcPr>
            <w:tcW w:w="20" w:type="dxa"/>
            <w:vAlign w:val="bottom"/>
          </w:tcPr>
          <w:p>
            <w:pPr>
              <w:spacing w:after="0"/>
              <w:rPr>
                <w:sz w:val="14"/>
                <w:szCs w:val="14"/>
                <w:color w:val="auto"/>
              </w:rPr>
            </w:pPr>
          </w:p>
        </w:tc>
      </w:tr>
      <w:tr>
        <w:trPr>
          <w:trHeight w:val="169"/>
        </w:trPr>
        <w:tc>
          <w:tcPr>
            <w:tcW w:w="534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11,510</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28,638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22,293</w:t>
            </w:r>
          </w:p>
        </w:tc>
        <w:tc>
          <w:tcPr>
            <w:tcW w:w="20" w:type="dxa"/>
            <w:vAlign w:val="bottom"/>
          </w:tcPr>
          <w:p>
            <w:pPr>
              <w:spacing w:after="0"/>
              <w:rPr>
                <w:sz w:val="14"/>
                <w:szCs w:val="14"/>
                <w:color w:val="auto"/>
              </w:rPr>
            </w:pPr>
          </w:p>
        </w:tc>
      </w:tr>
      <w:tr>
        <w:trPr>
          <w:trHeight w:val="169"/>
        </w:trPr>
        <w:tc>
          <w:tcPr>
            <w:tcW w:w="5340" w:type="dxa"/>
            <w:vAlign w:val="bottom"/>
          </w:tcPr>
          <w:p>
            <w:pPr>
              <w:ind w:left="260"/>
              <w:spacing w:after="0"/>
              <w:rPr>
                <w:sz w:val="20"/>
                <w:szCs w:val="20"/>
                <w:color w:val="auto"/>
              </w:rPr>
            </w:pPr>
            <w:r>
              <w:rPr>
                <w:rFonts w:ascii="Arial" w:cs="Arial" w:eastAsia="Arial" w:hAnsi="Arial"/>
                <w:sz w:val="13"/>
                <w:szCs w:val="13"/>
                <w:color w:val="auto"/>
              </w:rPr>
              <w:t>Impairments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15,166</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net</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47,667</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7,558</w:t>
            </w: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Changes in (net of effects from businesses acquired and divested):</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Receivables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(880,957)</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(405,700)</w:t>
            </w:r>
          </w:p>
        </w:tc>
        <w:tc>
          <w:tcPr>
            <w:tcW w:w="20" w:type="dxa"/>
            <w:vAlign w:val="bottom"/>
          </w:tcPr>
          <w:p>
            <w:pPr>
              <w:spacing w:after="0"/>
              <w:rPr>
                <w:sz w:val="14"/>
                <w:szCs w:val="14"/>
                <w:color w:val="auto"/>
              </w:rPr>
            </w:pPr>
          </w:p>
        </w:tc>
      </w:tr>
      <w:tr>
        <w:trPr>
          <w:trHeight w:val="169"/>
        </w:trPr>
        <w:tc>
          <w:tcPr>
            <w:tcW w:w="534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(549,999)</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63,017</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628,822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224,151</w:t>
            </w:r>
          </w:p>
        </w:tc>
        <w:tc>
          <w:tcPr>
            <w:tcW w:w="20" w:type="dxa"/>
            <w:vAlign w:val="bottom"/>
          </w:tcPr>
          <w:p>
            <w:pPr>
              <w:spacing w:after="0"/>
              <w:rPr>
                <w:sz w:val="14"/>
                <w:szCs w:val="14"/>
                <w:color w:val="auto"/>
              </w:rPr>
            </w:pPr>
          </w:p>
        </w:tc>
      </w:tr>
      <w:tr>
        <w:trPr>
          <w:trHeight w:val="171"/>
        </w:trPr>
        <w:tc>
          <w:tcPr>
            <w:tcW w:w="534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Accrued expenses and other, net</w:t>
            </w: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141,381</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6,526</w:t>
            </w:r>
          </w:p>
        </w:tc>
        <w:tc>
          <w:tcPr>
            <w:tcW w:w="20" w:type="dxa"/>
            <w:vAlign w:val="bottom"/>
          </w:tcPr>
          <w:p>
            <w:pPr>
              <w:spacing w:after="0"/>
              <w:rPr>
                <w:sz w:val="14"/>
                <w:szCs w:val="14"/>
                <w:color w:val="auto"/>
              </w:rPr>
            </w:pPr>
          </w:p>
        </w:tc>
      </w:tr>
      <w:tr>
        <w:trPr>
          <w:trHeight w:val="171"/>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flows (used) provided by operating activities</w:t>
            </w:r>
          </w:p>
        </w:tc>
        <w:tc>
          <w:tcPr>
            <w:tcW w:w="13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(19,418)</w:t>
            </w:r>
          </w:p>
        </w:tc>
        <w:tc>
          <w:tcPr>
            <w:tcW w:w="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197,526</w:t>
            </w:r>
          </w:p>
        </w:tc>
        <w:tc>
          <w:tcPr>
            <w:tcW w:w="20" w:type="dxa"/>
            <w:vAlign w:val="bottom"/>
          </w:tcPr>
          <w:p>
            <w:pPr>
              <w:spacing w:after="0"/>
              <w:rPr>
                <w:sz w:val="14"/>
                <w:szCs w:val="14"/>
                <w:color w:val="auto"/>
              </w:rPr>
            </w:pPr>
          </w:p>
        </w:tc>
      </w:tr>
      <w:tr>
        <w:trPr>
          <w:trHeight w:val="169"/>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Borrowings under accounts receivable securitization, net</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57,400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Repayments under senior unsecured credit facility, net</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(232,347)</w:t>
            </w: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Borrowings (repayments) under bank credit facilities and other debt, net</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117,982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(2,192)</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Repurchases of common stock</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(88,952)</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Dividends paid on common stock</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(73,253)</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(62,400)</w:t>
            </w:r>
          </w:p>
        </w:tc>
        <w:tc>
          <w:tcPr>
            <w:tcW w:w="20" w:type="dxa"/>
            <w:vAlign w:val="bottom"/>
          </w:tcPr>
          <w:p>
            <w:pPr>
              <w:spacing w:after="0"/>
              <w:rPr>
                <w:sz w:val="14"/>
                <w:szCs w:val="14"/>
                <w:color w:val="auto"/>
              </w:rPr>
            </w:pPr>
          </w:p>
        </w:tc>
      </w:tr>
      <w:tr>
        <w:trPr>
          <w:trHeight w:val="189"/>
        </w:trPr>
        <w:tc>
          <w:tcPr>
            <w:tcW w:w="5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net</w:t>
            </w: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(16,853)</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(11,455)</w:t>
            </w:r>
          </w:p>
        </w:tc>
        <w:tc>
          <w:tcPr>
            <w:tcW w:w="20" w:type="dxa"/>
            <w:vAlign w:val="bottom"/>
          </w:tcPr>
          <w:p>
            <w:pPr>
              <w:spacing w:after="0"/>
              <w:rPr>
                <w:sz w:val="16"/>
                <w:szCs w:val="16"/>
                <w:color w:val="auto"/>
              </w:rPr>
            </w:pPr>
          </w:p>
        </w:tc>
      </w:tr>
      <w:tr>
        <w:trPr>
          <w:trHeight w:val="154"/>
        </w:trPr>
        <w:tc>
          <w:tcPr>
            <w:tcW w:w="53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3"/>
                <w:szCs w:val="13"/>
                <w:color w:val="auto"/>
              </w:rPr>
              <w:t>Net cash flows used for financing activities</w:t>
            </w:r>
          </w:p>
        </w:tc>
        <w:tc>
          <w:tcPr>
            <w:tcW w:w="136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(3,676)</w:t>
            </w:r>
          </w:p>
        </w:tc>
        <w:tc>
          <w:tcPr>
            <w:tcW w:w="160" w:type="dxa"/>
            <w:vAlign w:val="bottom"/>
            <w:tcBorders>
              <w:top w:val="single" w:sz="8" w:color="CCEEFF"/>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(308,394)</w:t>
            </w:r>
          </w:p>
        </w:tc>
        <w:tc>
          <w:tcPr>
            <w:tcW w:w="20" w:type="dxa"/>
            <w:vAlign w:val="bottom"/>
          </w:tcPr>
          <w:p>
            <w:pPr>
              <w:spacing w:after="0"/>
              <w:rPr>
                <w:sz w:val="13"/>
                <w:szCs w:val="13"/>
                <w:color w:val="auto"/>
              </w:rPr>
            </w:pPr>
          </w:p>
        </w:tc>
      </w:tr>
      <w:tr>
        <w:trPr>
          <w:trHeight w:val="169"/>
        </w:trPr>
        <w:tc>
          <w:tcPr>
            <w:tcW w:w="5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property, plant and equipment</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(33,679)</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(39,001)</w:t>
            </w:r>
          </w:p>
        </w:tc>
        <w:tc>
          <w:tcPr>
            <w:tcW w:w="20" w:type="dxa"/>
            <w:vAlign w:val="bottom"/>
          </w:tcPr>
          <w:p>
            <w:pPr>
              <w:spacing w:after="0"/>
              <w:rPr>
                <w:sz w:val="14"/>
                <w:szCs w:val="14"/>
                <w:color w:val="auto"/>
              </w:rPr>
            </w:pPr>
          </w:p>
        </w:tc>
      </w:tr>
      <w:tr>
        <w:trPr>
          <w:trHeight w:val="169"/>
        </w:trPr>
        <w:tc>
          <w:tcPr>
            <w:tcW w:w="5340" w:type="dxa"/>
            <w:vAlign w:val="bottom"/>
          </w:tcPr>
          <w:p>
            <w:pPr>
              <w:ind w:left="80"/>
              <w:spacing w:after="0"/>
              <w:rPr>
                <w:sz w:val="20"/>
                <w:szCs w:val="20"/>
                <w:color w:val="auto"/>
              </w:rPr>
            </w:pPr>
            <w:r>
              <w:rPr>
                <w:rFonts w:ascii="Arial" w:cs="Arial" w:eastAsia="Arial" w:hAnsi="Arial"/>
                <w:sz w:val="13"/>
                <w:szCs w:val="13"/>
                <w:color w:val="auto"/>
              </w:rPr>
              <w:t>Acquisitions of assets and businesses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(18,371)</w:t>
            </w: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liquidation of Company owned life insurance policies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84,343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53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net</w:t>
            </w: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6,201</w:t>
            </w:r>
          </w:p>
        </w:tc>
        <w:tc>
          <w:tcPr>
            <w:tcW w:w="20" w:type="dxa"/>
            <w:vAlign w:val="bottom"/>
          </w:tcPr>
          <w:p>
            <w:pPr>
              <w:spacing w:after="0"/>
              <w:rPr>
                <w:sz w:val="14"/>
                <w:szCs w:val="14"/>
                <w:color w:val="auto"/>
              </w:rPr>
            </w:pPr>
          </w:p>
        </w:tc>
      </w:tr>
      <w:tr>
        <w:trPr>
          <w:trHeight w:val="171"/>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flows provided (used) for investing activities</w:t>
            </w:r>
          </w:p>
        </w:tc>
        <w:tc>
          <w:tcPr>
            <w:tcW w:w="13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51,388</w:t>
            </w:r>
          </w:p>
        </w:tc>
        <w:tc>
          <w:tcPr>
            <w:tcW w:w="1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(51,171)</w:t>
            </w:r>
          </w:p>
        </w:tc>
        <w:tc>
          <w:tcPr>
            <w:tcW w:w="20" w:type="dxa"/>
            <w:vAlign w:val="bottom"/>
          </w:tcPr>
          <w:p>
            <w:pPr>
              <w:spacing w:after="0"/>
              <w:rPr>
                <w:sz w:val="14"/>
                <w:szCs w:val="14"/>
                <w:color w:val="auto"/>
              </w:rPr>
            </w:pPr>
          </w:p>
        </w:tc>
      </w:tr>
      <w:tr>
        <w:trPr>
          <w:trHeight w:val="169"/>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Effect of currency exchange rate changes on cash and cash equivalents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(28,528)</w:t>
            </w: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7,750</w:t>
            </w:r>
          </w:p>
        </w:tc>
        <w:tc>
          <w:tcPr>
            <w:tcW w:w="20" w:type="dxa"/>
            <w:vAlign w:val="bottom"/>
          </w:tcPr>
          <w:p>
            <w:pPr>
              <w:spacing w:after="0"/>
              <w:rPr>
                <w:sz w:val="14"/>
                <w:szCs w:val="14"/>
                <w:color w:val="auto"/>
              </w:rPr>
            </w:pPr>
          </w:p>
        </w:tc>
      </w:tr>
      <w:tr>
        <w:trPr>
          <w:trHeight w:val="169"/>
        </w:trPr>
        <w:tc>
          <w:tcPr>
            <w:tcW w:w="5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tcPr>
          <w:p>
            <w:pPr>
              <w:spacing w:after="0"/>
              <w:rPr>
                <w:sz w:val="20"/>
                <w:szCs w:val="20"/>
                <w:color w:val="auto"/>
              </w:rPr>
            </w:pPr>
            <w:r>
              <w:rPr>
                <w:rFonts w:ascii="Arial" w:cs="Arial" w:eastAsia="Arial" w:hAnsi="Arial"/>
                <w:sz w:val="13"/>
                <w:szCs w:val="13"/>
                <w:color w:val="auto"/>
              </w:rPr>
              <w:t>— decrease</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(234)</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(154,289)</w:t>
            </w:r>
          </w:p>
        </w:tc>
        <w:tc>
          <w:tcPr>
            <w:tcW w:w="20" w:type="dxa"/>
            <w:vAlign w:val="bottom"/>
          </w:tcPr>
          <w:p>
            <w:pPr>
              <w:spacing w:after="0"/>
              <w:rPr>
                <w:sz w:val="14"/>
                <w:szCs w:val="14"/>
                <w:color w:val="auto"/>
              </w:rPr>
            </w:pPr>
          </w:p>
        </w:tc>
      </w:tr>
      <w:tr>
        <w:trPr>
          <w:trHeight w:val="189"/>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 at beginning of period</w:t>
            </w:r>
          </w:p>
        </w:tc>
        <w:tc>
          <w:tcPr>
            <w:tcW w:w="13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199,691</w:t>
            </w: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477,038</w:t>
            </w:r>
          </w:p>
        </w:tc>
        <w:tc>
          <w:tcPr>
            <w:tcW w:w="20" w:type="dxa"/>
            <w:vAlign w:val="bottom"/>
          </w:tcPr>
          <w:p>
            <w:pPr>
              <w:spacing w:after="0"/>
              <w:rPr>
                <w:sz w:val="16"/>
                <w:szCs w:val="16"/>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3"/>
                <w:szCs w:val="13"/>
                <w:color w:val="auto"/>
              </w:rPr>
              <w:t>— at end of period</w:t>
            </w:r>
          </w:p>
        </w:tc>
        <w:tc>
          <w:tcPr>
            <w:tcW w:w="136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199,457</w:t>
            </w:r>
          </w:p>
        </w:tc>
        <w:tc>
          <w:tcPr>
            <w:tcW w:w="16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322,749</w:t>
            </w:r>
          </w:p>
        </w:tc>
        <w:tc>
          <w:tcPr>
            <w:tcW w:w="20" w:type="dxa"/>
            <w:vAlign w:val="bottom"/>
          </w:tcPr>
          <w:p>
            <w:pPr>
              <w:spacing w:after="0"/>
              <w:rPr>
                <w:sz w:val="13"/>
                <w:szCs w:val="13"/>
                <w:color w:val="auto"/>
              </w:rPr>
            </w:pPr>
          </w:p>
        </w:tc>
      </w:tr>
      <w:tr>
        <w:trPr>
          <w:trHeight w:val="20"/>
        </w:trPr>
        <w:tc>
          <w:tcPr>
            <w:tcW w:w="5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 w:name="page8"/>
    <w:bookmarkEnd w:id="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 Basis of presentation and new accounting pronouncements</w:t>
      </w:r>
    </w:p>
    <w:p>
      <w:pPr>
        <w:spacing w:after="0" w:line="191" w:lineRule="exact"/>
        <w:rPr>
          <w:sz w:val="20"/>
          <w:szCs w:val="20"/>
          <w:color w:val="auto"/>
        </w:rPr>
      </w:pPr>
    </w:p>
    <w:p>
      <w:pPr>
        <w:ind w:left="40" w:right="339" w:firstLine="356"/>
        <w:spacing w:after="0" w:line="289" w:lineRule="auto"/>
        <w:rPr>
          <w:sz w:val="20"/>
          <w:szCs w:val="20"/>
          <w:color w:val="auto"/>
        </w:rPr>
      </w:pPr>
      <w:r>
        <w:rPr>
          <w:rFonts w:ascii="Arial" w:cs="Arial" w:eastAsia="Arial" w:hAnsi="Arial"/>
          <w:sz w:val="14"/>
          <w:szCs w:val="14"/>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38" w:lineRule="exact"/>
        <w:rPr>
          <w:sz w:val="20"/>
          <w:szCs w:val="20"/>
          <w:color w:val="auto"/>
        </w:rPr>
      </w:pPr>
    </w:p>
    <w:p>
      <w:pPr>
        <w:ind w:left="40" w:right="159" w:firstLine="356"/>
        <w:spacing w:after="0" w:line="262" w:lineRule="auto"/>
        <w:rPr>
          <w:sz w:val="20"/>
          <w:szCs w:val="20"/>
          <w:color w:val="auto"/>
        </w:rPr>
      </w:pPr>
      <w:r>
        <w:rPr>
          <w:rFonts w:ascii="Arial" w:cs="Arial" w:eastAsia="Arial" w:hAnsi="Arial"/>
          <w:sz w:val="15"/>
          <w:szCs w:val="15"/>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55" w:lineRule="exact"/>
        <w:rPr>
          <w:sz w:val="20"/>
          <w:szCs w:val="20"/>
          <w:color w:val="auto"/>
        </w:rPr>
      </w:pPr>
    </w:p>
    <w:p>
      <w:pPr>
        <w:ind w:left="40" w:right="299" w:firstLine="356"/>
        <w:spacing w:after="0" w:line="262" w:lineRule="auto"/>
        <w:rPr>
          <w:sz w:val="20"/>
          <w:szCs w:val="20"/>
          <w:color w:val="auto"/>
        </w:rPr>
      </w:pPr>
      <w:r>
        <w:rPr>
          <w:rFonts w:ascii="Arial" w:cs="Arial" w:eastAsia="Arial" w:hAnsi="Arial"/>
          <w:sz w:val="15"/>
          <w:szCs w:val="15"/>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3, 2021.</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Fiscal year</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operates on a “52/53 week” fiscal year, and fiscal 2022 contains 52 weeks compared to fiscal 2021, which contained 53 weeks.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 a result, the first nine months of fiscal 2022, contained 39 weeks compared to the first nine months of fiscal 2021, which contained 40 weeks.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87" w:lineRule="exact"/>
        <w:rPr>
          <w:sz w:val="20"/>
          <w:szCs w:val="20"/>
          <w:color w:val="auto"/>
        </w:rPr>
      </w:pPr>
    </w:p>
    <w:p>
      <w:pPr>
        <w:ind w:left="40" w:right="239" w:firstLine="356"/>
        <w:spacing w:after="0" w:line="304"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Simplifying the Accounting for Income Taxes (Topic 740)</w:t>
      </w:r>
      <w:r>
        <w:rPr>
          <w:rFonts w:ascii="Arial" w:cs="Arial" w:eastAsia="Arial" w:hAnsi="Arial"/>
          <w:sz w:val="13"/>
          <w:szCs w:val="13"/>
          <w:color w:val="auto"/>
        </w:rPr>
        <w:t xml:space="preserve"> (“ASU No. 2019-12”), which simplifies income tax accounting, eliminates certain exceptions within ASC Topic 740, </w:t>
      </w:r>
      <w:r>
        <w:rPr>
          <w:rFonts w:ascii="Arial" w:cs="Arial" w:eastAsia="Arial" w:hAnsi="Arial"/>
          <w:sz w:val="13"/>
          <w:szCs w:val="13"/>
          <w:i w:val="1"/>
          <w:iCs w:val="1"/>
          <w:color w:val="auto"/>
        </w:rPr>
        <w:t>Income Taxes</w:t>
      </w:r>
      <w:r>
        <w:rPr>
          <w:rFonts w:ascii="Arial" w:cs="Arial" w:eastAsia="Arial" w:hAnsi="Arial"/>
          <w:sz w:val="13"/>
          <w:szCs w:val="13"/>
          <w:color w:val="auto"/>
        </w:rPr>
        <w:t>, and clarifies certain aspects of the current guidance to promote consistency among reporting entities. Most amendments within ASU No. 2019-12 are required to be applied on a prospective basis, while certain amendments must be applied on a retrospective or modified retrospective basis. The Company’s adoption of ASU No. 2019-12 beginning the first quarter of fiscal 2022 did not have a material impact on the Company’s consolidated financial statements.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Recently issued accounting pronouncements</w:t>
      </w:r>
    </w:p>
    <w:p>
      <w:pPr>
        <w:spacing w:after="0" w:line="187" w:lineRule="exact"/>
        <w:rPr>
          <w:sz w:val="20"/>
          <w:szCs w:val="20"/>
          <w:color w:val="auto"/>
        </w:rPr>
      </w:pPr>
    </w:p>
    <w:p>
      <w:pPr>
        <w:ind w:left="40" w:right="59" w:firstLine="356"/>
        <w:spacing w:after="0" w:line="274" w:lineRule="auto"/>
        <w:rPr>
          <w:sz w:val="20"/>
          <w:szCs w:val="20"/>
          <w:color w:val="auto"/>
        </w:rPr>
      </w:pPr>
      <w:r>
        <w:rPr>
          <w:rFonts w:ascii="Arial" w:cs="Arial" w:eastAsia="Arial" w:hAnsi="Arial"/>
          <w:sz w:val="14"/>
          <w:szCs w:val="14"/>
          <w:color w:val="auto"/>
        </w:rPr>
        <w:t xml:space="preserve">In March 2020, the FASB issued ASU No. 2020-04, </w:t>
      </w:r>
      <w:r>
        <w:rPr>
          <w:rFonts w:ascii="Arial" w:cs="Arial" w:eastAsia="Arial" w:hAnsi="Arial"/>
          <w:sz w:val="14"/>
          <w:szCs w:val="14"/>
          <w:i w:val="1"/>
          <w:iCs w:val="1"/>
          <w:color w:val="auto"/>
        </w:rPr>
        <w:t>Reference Rate Reform (Topic 848): Facilitation of the Effects of Reference Rate Reform</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on Financial Reporting </w:t>
      </w:r>
      <w:r>
        <w:rPr>
          <w:rFonts w:ascii="Arial" w:cs="Arial" w:eastAsia="Arial" w:hAnsi="Arial"/>
          <w:sz w:val="14"/>
          <w:szCs w:val="14"/>
          <w:color w:val="auto"/>
        </w:rPr>
        <w:t>(“ASU No. 2020-04”), which provides optional guidance to ease the potential burden in accounting for reference rate reform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 financial reporting. The new guidance provides optional expedients and exceptions for applying GAAP to transactions affected by reference rate reform if certain criteria are met. In January 2021, the FASB issued ASU No. 2021-01, </w:t>
      </w:r>
      <w:r>
        <w:rPr>
          <w:rFonts w:ascii="Arial" w:cs="Arial" w:eastAsia="Arial" w:hAnsi="Arial"/>
          <w:sz w:val="14"/>
          <w:szCs w:val="14"/>
          <w:i w:val="1"/>
          <w:iCs w:val="1"/>
          <w:color w:val="auto"/>
        </w:rPr>
        <w:t>Reference Rate Reform (Topic 848): Scope</w:t>
      </w:r>
      <w:r>
        <w:rPr>
          <w:rFonts w:ascii="Arial" w:cs="Arial" w:eastAsia="Arial" w:hAnsi="Arial"/>
          <w:sz w:val="14"/>
          <w:szCs w:val="14"/>
          <w:color w:val="auto"/>
        </w:rPr>
        <w:t xml:space="preserve"> (“ASU No. 2021-01”), to clarify certain optional expedients and exceptions in Topic 848 for contract modifications and hedge accounting to apply to derivatives that are affected by the discounting transition. Both ASU No. 2020-04 and ASU No. 2021-01 are effective upon issuance through December 31, 2022. The Company plans to adopt ASU 2020-04 and ASU 2021-01 when LIBOR is discontinued and does not currently expect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 w:name="page9"/>
    <w:bookmarkEnd w:id="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620" w:type="dxa"/>
            <w:vAlign w:val="bottom"/>
          </w:tcPr>
          <w:p>
            <w:pPr>
              <w:spacing w:after="0"/>
              <w:rPr>
                <w:sz w:val="20"/>
                <w:szCs w:val="20"/>
                <w:color w:val="auto"/>
              </w:rPr>
            </w:pPr>
            <w:r>
              <w:rPr>
                <w:rFonts w:ascii="Arial" w:cs="Arial" w:eastAsia="Arial" w:hAnsi="Arial"/>
                <w:sz w:val="15"/>
                <w:szCs w:val="15"/>
                <w:b w:val="1"/>
                <w:bCs w:val="1"/>
                <w:color w:val="auto"/>
              </w:rPr>
              <w:t>2. Receivables and Russian-Ukraine conflict related expenses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0"/>
        </w:trPr>
        <w:tc>
          <w:tcPr>
            <w:tcW w:w="5620" w:type="dxa"/>
            <w:vAlign w:val="bottom"/>
          </w:tcPr>
          <w:p>
            <w:pPr>
              <w:ind w:left="360"/>
              <w:spacing w:after="0"/>
              <w:rPr>
                <w:sz w:val="20"/>
                <w:szCs w:val="20"/>
                <w:color w:val="auto"/>
              </w:rPr>
            </w:pPr>
            <w:r>
              <w:rPr>
                <w:rFonts w:ascii="Arial" w:cs="Arial" w:eastAsia="Arial" w:hAnsi="Arial"/>
                <w:sz w:val="15"/>
                <w:szCs w:val="15"/>
                <w:color w:val="auto"/>
              </w:rPr>
              <w:t>The Company’s receivables and allowance for credit losses were as follows: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7"/>
        </w:trPr>
        <w:tc>
          <w:tcPr>
            <w:tcW w:w="5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05"/>
              <w:spacing w:after="0"/>
              <w:rPr>
                <w:sz w:val="20"/>
                <w:szCs w:val="20"/>
                <w:color w:val="auto"/>
              </w:rPr>
            </w:pPr>
            <w:r>
              <w:rPr>
                <w:rFonts w:ascii="Arial" w:cs="Arial" w:eastAsia="Arial" w:hAnsi="Arial"/>
                <w:sz w:val="15"/>
                <w:szCs w:val="15"/>
                <w:b w:val="1"/>
                <w:bCs w:val="1"/>
                <w:color w:val="auto"/>
              </w:rPr>
              <w:t>April 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Arial" w:cs="Arial" w:eastAsia="Arial" w:hAnsi="Arial"/>
                <w:sz w:val="15"/>
                <w:szCs w:val="15"/>
                <w:b w:val="1"/>
                <w:bCs w:val="1"/>
                <w:color w:val="auto"/>
                <w:w w:val="94"/>
              </w:rPr>
              <w:t>July 3,</w:t>
            </w:r>
          </w:p>
        </w:tc>
      </w:tr>
      <w:tr>
        <w:trPr>
          <w:trHeight w:val="197"/>
        </w:trPr>
        <w:tc>
          <w:tcPr>
            <w:tcW w:w="5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2021</w:t>
            </w:r>
          </w:p>
        </w:tc>
      </w:tr>
      <w:tr>
        <w:trPr>
          <w:trHeight w:val="169"/>
        </w:trPr>
        <w:tc>
          <w:tcPr>
            <w:tcW w:w="5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right"/>
              <w:ind w:right="40"/>
              <w:spacing w:after="0" w:line="169" w:lineRule="exact"/>
              <w:rPr>
                <w:sz w:val="20"/>
                <w:szCs w:val="20"/>
                <w:color w:val="auto"/>
              </w:rPr>
            </w:pPr>
            <w:r>
              <w:rPr>
                <w:rFonts w:ascii="Arial" w:cs="Arial" w:eastAsia="Arial" w:hAnsi="Arial"/>
                <w:sz w:val="15"/>
                <w:szCs w:val="15"/>
                <w:b w:val="1"/>
                <w:bCs w:val="1"/>
                <w:color w:val="auto"/>
              </w:rPr>
              <w:t>(Thousands)</w:t>
            </w:r>
          </w:p>
        </w:tc>
        <w:tc>
          <w:tcPr>
            <w:tcW w:w="860" w:type="dxa"/>
            <w:vAlign w:val="bottom"/>
          </w:tcPr>
          <w:p>
            <w:pPr>
              <w:spacing w:after="0"/>
              <w:rPr>
                <w:sz w:val="14"/>
                <w:szCs w:val="14"/>
                <w:color w:val="auto"/>
              </w:rPr>
            </w:pPr>
          </w:p>
        </w:tc>
      </w:tr>
      <w:tr>
        <w:trPr>
          <w:trHeight w:val="180"/>
        </w:trPr>
        <w:tc>
          <w:tcPr>
            <w:tcW w:w="56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Receivables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4,279,564</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3,664,290</w:t>
            </w:r>
          </w:p>
        </w:tc>
      </w:tr>
      <w:tr>
        <w:trPr>
          <w:trHeight w:val="190"/>
        </w:trPr>
        <w:tc>
          <w:tcPr>
            <w:tcW w:w="5620" w:type="dxa"/>
            <w:vAlign w:val="bottom"/>
          </w:tcPr>
          <w:p>
            <w:pPr>
              <w:ind w:left="80"/>
              <w:spacing w:after="0"/>
              <w:rPr>
                <w:sz w:val="20"/>
                <w:szCs w:val="20"/>
                <w:color w:val="auto"/>
              </w:rPr>
            </w:pPr>
            <w:r>
              <w:rPr>
                <w:rFonts w:ascii="Arial" w:cs="Arial" w:eastAsia="Arial" w:hAnsi="Arial"/>
                <w:sz w:val="15"/>
                <w:szCs w:val="15"/>
                <w:color w:val="auto"/>
              </w:rPr>
              <w:t>Allowance for Credit Losses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(114,991)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(88,160)</w:t>
            </w:r>
          </w:p>
        </w:tc>
      </w:tr>
    </w:tbl>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had the following activity in the allowance for credit losses during the first nine months of fiscal 2022 and 2021:</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5"/>
                <w:szCs w:val="15"/>
                <w:b w:val="1"/>
                <w:bCs w:val="1"/>
                <w:color w:val="auto"/>
              </w:rPr>
              <w:t>April 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85"/>
              <w:spacing w:after="0"/>
              <w:rPr>
                <w:sz w:val="20"/>
                <w:szCs w:val="20"/>
                <w:color w:val="auto"/>
              </w:rPr>
            </w:pPr>
            <w:r>
              <w:rPr>
                <w:rFonts w:ascii="Arial" w:cs="Arial" w:eastAsia="Arial" w:hAnsi="Arial"/>
                <w:sz w:val="15"/>
                <w:szCs w:val="15"/>
                <w:b w:val="1"/>
                <w:bCs w:val="1"/>
                <w:color w:val="auto"/>
                <w:w w:val="98"/>
              </w:rPr>
              <w:t>April 3,</w:t>
            </w:r>
          </w:p>
        </w:tc>
      </w:tr>
      <w:tr>
        <w:trPr>
          <w:trHeight w:val="197"/>
        </w:trPr>
        <w:tc>
          <w:tcPr>
            <w:tcW w:w="4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2021</w:t>
            </w:r>
          </w:p>
        </w:tc>
      </w:tr>
      <w:tr>
        <w:trPr>
          <w:trHeight w:val="169"/>
        </w:trPr>
        <w:tc>
          <w:tcPr>
            <w:tcW w:w="4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jc w:val="right"/>
              <w:spacing w:after="0" w:line="169" w:lineRule="exact"/>
              <w:rPr>
                <w:sz w:val="20"/>
                <w:szCs w:val="20"/>
                <w:color w:val="auto"/>
              </w:rPr>
            </w:pPr>
            <w:r>
              <w:rPr>
                <w:rFonts w:ascii="Arial" w:cs="Arial" w:eastAsia="Arial" w:hAnsi="Arial"/>
                <w:sz w:val="15"/>
                <w:szCs w:val="15"/>
                <w:b w:val="1"/>
                <w:bCs w:val="1"/>
                <w:color w:val="auto"/>
              </w:rPr>
              <w:t>(Thousands)</w:t>
            </w:r>
          </w:p>
        </w:tc>
        <w:tc>
          <w:tcPr>
            <w:tcW w:w="880" w:type="dxa"/>
            <w:vAlign w:val="bottom"/>
          </w:tcPr>
          <w:p>
            <w:pPr>
              <w:spacing w:after="0"/>
              <w:rPr>
                <w:sz w:val="14"/>
                <w:szCs w:val="14"/>
                <w:color w:val="auto"/>
              </w:rPr>
            </w:pPr>
          </w:p>
        </w:tc>
      </w:tr>
      <w:tr>
        <w:trPr>
          <w:trHeight w:val="180"/>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the period</w:t>
            </w:r>
          </w:p>
        </w:tc>
        <w:tc>
          <w:tcPr>
            <w:tcW w:w="184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88,160</w:t>
            </w: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65,018</w:t>
            </w:r>
          </w:p>
        </w:tc>
      </w:tr>
      <w:tr>
        <w:trPr>
          <w:trHeight w:val="180"/>
        </w:trPr>
        <w:tc>
          <w:tcPr>
            <w:tcW w:w="4680" w:type="dxa"/>
            <w:vAlign w:val="bottom"/>
          </w:tcPr>
          <w:p>
            <w:pPr>
              <w:ind w:left="80"/>
              <w:spacing w:after="0"/>
              <w:rPr>
                <w:sz w:val="20"/>
                <w:szCs w:val="20"/>
                <w:color w:val="auto"/>
              </w:rPr>
            </w:pPr>
            <w:r>
              <w:rPr>
                <w:rFonts w:ascii="Arial" w:cs="Arial" w:eastAsia="Arial" w:hAnsi="Arial"/>
                <w:sz w:val="15"/>
                <w:szCs w:val="15"/>
                <w:color w:val="auto"/>
              </w:rPr>
              <w:t>Effect of adopting credit loss accounting standard</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17,205</w:t>
            </w:r>
          </w:p>
        </w:tc>
      </w:tr>
      <w:tr>
        <w:trPr>
          <w:trHeight w:val="180"/>
        </w:trPr>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Credit Loss Provisions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21,746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7,370</w:t>
            </w:r>
          </w:p>
        </w:tc>
      </w:tr>
      <w:tr>
        <w:trPr>
          <w:trHeight w:val="180"/>
        </w:trPr>
        <w:tc>
          <w:tcPr>
            <w:tcW w:w="4680" w:type="dxa"/>
            <w:vAlign w:val="bottom"/>
          </w:tcPr>
          <w:p>
            <w:pPr>
              <w:ind w:left="80"/>
              <w:spacing w:after="0"/>
              <w:rPr>
                <w:sz w:val="20"/>
                <w:szCs w:val="20"/>
                <w:color w:val="auto"/>
              </w:rPr>
            </w:pPr>
            <w:r>
              <w:rPr>
                <w:rFonts w:ascii="Arial" w:cs="Arial" w:eastAsia="Arial" w:hAnsi="Arial"/>
                <w:sz w:val="15"/>
                <w:szCs w:val="15"/>
                <w:color w:val="auto"/>
              </w:rPr>
              <w:t>Russian-Ukraine conflict Credit Loss Provisions</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17,202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Credit Loss Recoveries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80"/>
        </w:trPr>
        <w:tc>
          <w:tcPr>
            <w:tcW w:w="4680" w:type="dxa"/>
            <w:vAlign w:val="bottom"/>
          </w:tcPr>
          <w:p>
            <w:pPr>
              <w:ind w:left="80"/>
              <w:spacing w:after="0"/>
              <w:rPr>
                <w:sz w:val="20"/>
                <w:szCs w:val="20"/>
                <w:color w:val="auto"/>
              </w:rPr>
            </w:pPr>
            <w:r>
              <w:rPr>
                <w:rFonts w:ascii="Arial" w:cs="Arial" w:eastAsia="Arial" w:hAnsi="Arial"/>
                <w:sz w:val="15"/>
                <w:szCs w:val="15"/>
                <w:color w:val="auto"/>
              </w:rPr>
              <w:t>Receivables Write offs</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(9,194)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(5,666)</w:t>
            </w:r>
          </w:p>
        </w:tc>
      </w:tr>
      <w:tr>
        <w:trPr>
          <w:trHeight w:val="200"/>
        </w:trPr>
        <w:tc>
          <w:tcPr>
            <w:tcW w:w="4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Foreign Currency Effect and Other</w:t>
            </w:r>
          </w:p>
        </w:tc>
        <w:tc>
          <w:tcPr>
            <w:tcW w:w="1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(2,623)</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2,054</w:t>
            </w:r>
          </w:p>
        </w:tc>
      </w:tr>
      <w:tr>
        <w:trPr>
          <w:trHeight w:val="162"/>
        </w:trPr>
        <w:tc>
          <w:tcPr>
            <w:tcW w:w="4680" w:type="dxa"/>
            <w:vAlign w:val="bottom"/>
          </w:tcPr>
          <w:p>
            <w:pPr>
              <w:spacing w:after="0" w:line="162" w:lineRule="exact"/>
              <w:rPr>
                <w:sz w:val="20"/>
                <w:szCs w:val="20"/>
                <w:color w:val="auto"/>
              </w:rPr>
            </w:pPr>
            <w:r>
              <w:rPr>
                <w:rFonts w:ascii="Arial" w:cs="Arial" w:eastAsia="Arial" w:hAnsi="Arial"/>
                <w:sz w:val="15"/>
                <w:szCs w:val="15"/>
                <w:color w:val="auto"/>
              </w:rPr>
              <w:t>Balance at end of the period</w:t>
            </w:r>
          </w:p>
        </w:tc>
        <w:tc>
          <w:tcPr>
            <w:tcW w:w="1620" w:type="dxa"/>
            <w:vAlign w:val="bottom"/>
          </w:tcPr>
          <w:p>
            <w:pPr>
              <w:spacing w:after="0"/>
              <w:rPr>
                <w:sz w:val="14"/>
                <w:szCs w:val="14"/>
                <w:color w:val="auto"/>
              </w:rPr>
            </w:pPr>
          </w:p>
        </w:tc>
        <w:tc>
          <w:tcPr>
            <w:tcW w:w="220" w:type="dxa"/>
            <w:vAlign w:val="bottom"/>
            <w:tcBorders>
              <w:bottom w:val="single" w:sz="8" w:color="auto"/>
            </w:tcBorders>
          </w:tcPr>
          <w:p>
            <w:pPr>
              <w:jc w:val="right"/>
              <w:ind w:right="65"/>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114,991</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85,789</w:t>
            </w:r>
          </w:p>
        </w:tc>
      </w:tr>
      <w:tr>
        <w:trPr>
          <w:trHeight w:val="20"/>
        </w:trPr>
        <w:tc>
          <w:tcPr>
            <w:tcW w:w="4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 w:right="79" w:firstLine="356"/>
        <w:spacing w:after="0" w:line="258" w:lineRule="auto"/>
        <w:rPr>
          <w:sz w:val="20"/>
          <w:szCs w:val="20"/>
          <w:color w:val="auto"/>
        </w:rPr>
      </w:pPr>
      <w:r>
        <w:rPr>
          <w:rFonts w:ascii="Arial" w:cs="Arial" w:eastAsia="Arial" w:hAnsi="Arial"/>
          <w:sz w:val="15"/>
          <w:szCs w:val="15"/>
          <w:color w:val="auto"/>
        </w:rPr>
        <w:t>As a direct and incremental impact associated with the Russian invasion of Ukraine, the Company incurred $26.3 million of expense, primarily related to $17.2 million of credit loss provisions associated with accounts receivable from Russian customers that are no longer considered collectible. The remaining $9.1 million of expenses were related to product write downs and other costs associated with the wind-down of the Company’s business operations in Russia and Ukraine.</w:t>
      </w:r>
    </w:p>
    <w:p>
      <w:pPr>
        <w:spacing w:after="0" w:line="120" w:lineRule="exact"/>
        <w:rPr>
          <w:sz w:val="20"/>
          <w:szCs w:val="20"/>
          <w:color w:val="auto"/>
        </w:rPr>
      </w:pPr>
    </w:p>
    <w:p>
      <w:pPr>
        <w:ind w:left="400" w:right="6879" w:hanging="364"/>
        <w:spacing w:after="0" w:line="503" w:lineRule="auto"/>
        <w:tabs>
          <w:tab w:leader="none" w:pos="19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Goodwill and intangible assets </w:t>
      </w:r>
      <w:r>
        <w:rPr>
          <w:rFonts w:ascii="Arial" w:cs="Arial" w:eastAsia="Arial" w:hAnsi="Arial"/>
          <w:sz w:val="15"/>
          <w:szCs w:val="15"/>
          <w:i w:val="1"/>
          <w:iCs w:val="1"/>
          <w:color w:val="auto"/>
        </w:rPr>
        <w:t>Goodwill</w:t>
      </w:r>
    </w:p>
    <w:p>
      <w:pPr>
        <w:ind w:left="40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presents the change in goodwill by reportable segment for the nine months ended April 2, 2022.</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2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9"/>
              </w:rPr>
              <w:t>Electronic</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7"/>
        </w:trPr>
        <w:tc>
          <w:tcPr>
            <w:tcW w:w="2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1"/>
              </w:rPr>
              <w:t>Components</w:t>
            </w:r>
          </w:p>
        </w:tc>
        <w:tc>
          <w:tcPr>
            <w:tcW w:w="16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Farnell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45"/>
              <w:spacing w:after="0"/>
              <w:rPr>
                <w:sz w:val="20"/>
                <w:szCs w:val="20"/>
                <w:color w:val="auto"/>
              </w:rPr>
            </w:pPr>
            <w:r>
              <w:rPr>
                <w:rFonts w:ascii="Arial" w:cs="Arial" w:eastAsia="Arial" w:hAnsi="Arial"/>
                <w:sz w:val="15"/>
                <w:szCs w:val="15"/>
                <w:b w:val="1"/>
                <w:bCs w:val="1"/>
                <w:color w:val="auto"/>
              </w:rPr>
              <w:t>Total</w:t>
            </w:r>
          </w:p>
        </w:tc>
      </w:tr>
      <w:tr>
        <w:trPr>
          <w:trHeight w:val="169"/>
        </w:trPr>
        <w:tc>
          <w:tcPr>
            <w:tcW w:w="2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85"/>
              <w:spacing w:after="0" w:line="169" w:lineRule="exact"/>
              <w:rPr>
                <w:sz w:val="20"/>
                <w:szCs w:val="20"/>
                <w:color w:val="auto"/>
              </w:rPr>
            </w:pPr>
            <w:r>
              <w:rPr>
                <w:rFonts w:ascii="Arial" w:cs="Arial" w:eastAsia="Arial" w:hAnsi="Arial"/>
                <w:sz w:val="15"/>
                <w:szCs w:val="15"/>
                <w:b w:val="1"/>
                <w:bCs w:val="1"/>
                <w:color w:val="auto"/>
                <w:w w:val="93"/>
              </w:rPr>
              <w:t>(Thousands)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80"/>
        </w:trPr>
        <w:tc>
          <w:tcPr>
            <w:tcW w:w="5080" w:type="dxa"/>
            <w:vAlign w:val="bottom"/>
            <w:gridSpan w:val="2"/>
            <w:shd w:val="clear" w:color="auto" w:fill="CCEEFF"/>
          </w:tcPr>
          <w:p>
            <w:pPr>
              <w:spacing w:after="0" w:line="180" w:lineRule="exact"/>
              <w:rPr>
                <w:sz w:val="20"/>
                <w:szCs w:val="20"/>
                <w:color w:val="auto"/>
              </w:rPr>
            </w:pPr>
            <w:r>
              <w:rPr>
                <w:rFonts w:ascii="Arial" w:cs="Arial" w:eastAsia="Arial" w:hAnsi="Arial"/>
                <w:sz w:val="14"/>
                <w:szCs w:val="14"/>
                <w:color w:val="auto"/>
              </w:rPr>
              <w:t xml:space="preserve">Carrying value at July 3, 2021 </w:t>
            </w:r>
            <w:r>
              <w:rPr>
                <w:rFonts w:ascii="Arial" w:cs="Arial" w:eastAsia="Arial" w:hAnsi="Arial"/>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310,582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527,523</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838,105</w:t>
            </w:r>
          </w:p>
        </w:tc>
      </w:tr>
      <w:tr>
        <w:trPr>
          <w:trHeight w:val="182"/>
        </w:trPr>
        <w:tc>
          <w:tcPr>
            <w:tcW w:w="5080" w:type="dxa"/>
            <w:vAlign w:val="bottom"/>
            <w:gridSpan w:val="2"/>
          </w:tcPr>
          <w:p>
            <w:pPr>
              <w:ind w:left="80"/>
              <w:spacing w:after="0"/>
              <w:rPr>
                <w:sz w:val="20"/>
                <w:szCs w:val="20"/>
                <w:color w:val="auto"/>
              </w:rPr>
            </w:pPr>
            <w:r>
              <w:rPr>
                <w:rFonts w:ascii="Arial" w:cs="Arial" w:eastAsia="Arial" w:hAnsi="Arial"/>
                <w:sz w:val="15"/>
                <w:szCs w:val="15"/>
                <w:color w:val="auto"/>
              </w:rPr>
              <w:t>Foreign currency translation</w:t>
            </w:r>
          </w:p>
        </w:tc>
        <w:tc>
          <w:tcPr>
            <w:tcW w:w="14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(9,057)</w:t>
            </w:r>
          </w:p>
        </w:tc>
        <w:tc>
          <w:tcPr>
            <w:tcW w:w="1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(23,664)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(32,721)</w:t>
            </w:r>
          </w:p>
        </w:tc>
      </w:tr>
      <w:tr>
        <w:trPr>
          <w:trHeight w:val="180"/>
        </w:trPr>
        <w:tc>
          <w:tcPr>
            <w:tcW w:w="508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Arial" w:cs="Arial" w:eastAsia="Arial" w:hAnsi="Arial"/>
                <w:sz w:val="14"/>
                <w:szCs w:val="14"/>
                <w:color w:val="auto"/>
              </w:rPr>
              <w:t xml:space="preserve">Carrying value at April 2, 2022 </w:t>
            </w:r>
            <w:r>
              <w:rPr>
                <w:rFonts w:ascii="Arial" w:cs="Arial" w:eastAsia="Arial" w:hAnsi="Arial"/>
                <w:sz w:val="20"/>
                <w:szCs w:val="20"/>
                <w:color w:val="auto"/>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301,525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503,859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805,384</w:t>
            </w:r>
          </w:p>
        </w:tc>
      </w:tr>
      <w:tr>
        <w:trPr>
          <w:trHeight w:val="20"/>
        </w:trPr>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4"/>
        </w:trPr>
        <w:tc>
          <w:tcPr>
            <w:tcW w:w="2220" w:type="dxa"/>
            <w:vAlign w:val="bottom"/>
            <w:tcBorders>
              <w:bottom w:val="single" w:sz="8" w:color="0D0D0D"/>
            </w:tcBorders>
          </w:tcPr>
          <w:p>
            <w:pPr>
              <w:spacing w:after="0"/>
              <w:rPr>
                <w:sz w:val="5"/>
                <w:szCs w:val="5"/>
                <w:color w:val="auto"/>
              </w:rPr>
            </w:pPr>
          </w:p>
        </w:tc>
        <w:tc>
          <w:tcPr>
            <w:tcW w:w="2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59" w:lineRule="exact"/>
        <w:rPr>
          <w:sz w:val="20"/>
          <w:szCs w:val="20"/>
          <w:color w:val="auto"/>
        </w:rPr>
      </w:pPr>
    </w:p>
    <w:p>
      <w:pPr>
        <w:ind w:left="240" w:hanging="204"/>
        <w:spacing w:after="0"/>
        <w:tabs>
          <w:tab w:leader="none" w:pos="240" w:val="left"/>
        </w:tabs>
        <w:numPr>
          <w:ilvl w:val="0"/>
          <w:numId w:val="4"/>
        </w:numPr>
        <w:rPr>
          <w:rFonts w:ascii="Arial" w:cs="Arial" w:eastAsia="Arial" w:hAnsi="Arial"/>
          <w:sz w:val="10"/>
          <w:szCs w:val="10"/>
          <w:color w:val="auto"/>
        </w:rPr>
      </w:pPr>
      <w:r>
        <w:rPr>
          <w:rFonts w:ascii="Arial" w:cs="Arial" w:eastAsia="Arial" w:hAnsi="Arial"/>
          <w:sz w:val="13"/>
          <w:szCs w:val="13"/>
          <w:color w:val="auto"/>
        </w:rPr>
        <w:t>Includes accumulated impairments of $1,482,677 from prior fiscal years.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 w:name="page10"/>
    <w:bookmarkEnd w:id="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Intangible Assets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the Company’s acquired intangible assets at April 2, 2022 and July 3, 2021, respectively.</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5"/>
                <w:szCs w:val="15"/>
                <w:b w:val="1"/>
                <w:bCs w:val="1"/>
                <w:color w:val="auto"/>
                <w:w w:val="92"/>
              </w:rPr>
              <w:t>April 2, 2022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0"/>
              </w:rPr>
              <w:t>July 3, 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58"/>
        </w:trPr>
        <w:tc>
          <w:tcPr>
            <w:tcW w:w="2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20"/>
              <w:spacing w:after="0" w:line="158" w:lineRule="exact"/>
              <w:rPr>
                <w:sz w:val="20"/>
                <w:szCs w:val="20"/>
                <w:color w:val="auto"/>
              </w:rPr>
            </w:pPr>
            <w:r>
              <w:rPr>
                <w:rFonts w:ascii="Arial" w:cs="Arial" w:eastAsia="Arial" w:hAnsi="Arial"/>
                <w:sz w:val="15"/>
                <w:szCs w:val="15"/>
                <w:b w:val="1"/>
                <w:bCs w:val="1"/>
                <w:color w:val="auto"/>
              </w:rPr>
              <w:t>Acquired</w:t>
            </w:r>
          </w:p>
        </w:tc>
        <w:tc>
          <w:tcPr>
            <w:tcW w:w="80" w:type="dxa"/>
            <w:vAlign w:val="bottom"/>
          </w:tcPr>
          <w:p>
            <w:pPr>
              <w:spacing w:after="0"/>
              <w:rPr>
                <w:sz w:val="13"/>
                <w:szCs w:val="13"/>
                <w:color w:val="auto"/>
              </w:rPr>
            </w:pPr>
          </w:p>
        </w:tc>
        <w:tc>
          <w:tcPr>
            <w:tcW w:w="1160" w:type="dxa"/>
            <w:vAlign w:val="bottom"/>
            <w:gridSpan w:val="2"/>
          </w:tcPr>
          <w:p>
            <w:pPr>
              <w:jc w:val="right"/>
              <w:ind w:right="280"/>
              <w:spacing w:after="0" w:line="158" w:lineRule="exact"/>
              <w:rPr>
                <w:sz w:val="20"/>
                <w:szCs w:val="20"/>
                <w:color w:val="auto"/>
              </w:rPr>
            </w:pPr>
            <w:r>
              <w:rPr>
                <w:rFonts w:ascii="Arial" w:cs="Arial" w:eastAsia="Arial" w:hAnsi="Arial"/>
                <w:sz w:val="15"/>
                <w:szCs w:val="15"/>
                <w:b w:val="1"/>
                <w:bCs w:val="1"/>
                <w:color w:val="auto"/>
                <w:w w:val="91"/>
              </w:rPr>
              <w:t>Accumulated</w:t>
            </w:r>
          </w:p>
        </w:tc>
        <w:tc>
          <w:tcPr>
            <w:tcW w:w="720" w:type="dxa"/>
            <w:vAlign w:val="bottom"/>
            <w:gridSpan w:val="2"/>
          </w:tcPr>
          <w:p>
            <w:pPr>
              <w:jc w:val="right"/>
              <w:spacing w:after="0" w:line="158" w:lineRule="exact"/>
              <w:rPr>
                <w:sz w:val="20"/>
                <w:szCs w:val="20"/>
                <w:color w:val="auto"/>
              </w:rPr>
            </w:pPr>
            <w:r>
              <w:rPr>
                <w:rFonts w:ascii="Arial" w:cs="Arial" w:eastAsia="Arial" w:hAnsi="Arial"/>
                <w:sz w:val="15"/>
                <w:szCs w:val="15"/>
                <w:b w:val="1"/>
                <w:bCs w:val="1"/>
                <w:color w:val="auto"/>
                <w:w w:val="97"/>
              </w:rPr>
              <w:t>Net Book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Arial" w:cs="Arial" w:eastAsia="Arial" w:hAnsi="Arial"/>
                <w:sz w:val="15"/>
                <w:szCs w:val="15"/>
                <w:b w:val="1"/>
                <w:bCs w:val="1"/>
                <w:color w:val="auto"/>
              </w:rPr>
              <w:t>Acquired</w:t>
            </w:r>
          </w:p>
        </w:tc>
        <w:tc>
          <w:tcPr>
            <w:tcW w:w="120" w:type="dxa"/>
            <w:vAlign w:val="bottom"/>
          </w:tcPr>
          <w:p>
            <w:pPr>
              <w:spacing w:after="0"/>
              <w:rPr>
                <w:sz w:val="13"/>
                <w:szCs w:val="13"/>
                <w:color w:val="auto"/>
              </w:rPr>
            </w:pPr>
          </w:p>
        </w:tc>
        <w:tc>
          <w:tcPr>
            <w:tcW w:w="1200" w:type="dxa"/>
            <w:vAlign w:val="bottom"/>
            <w:gridSpan w:val="2"/>
          </w:tcPr>
          <w:p>
            <w:pPr>
              <w:jc w:val="center"/>
              <w:ind w:right="300"/>
              <w:spacing w:after="0" w:line="158" w:lineRule="exact"/>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45"/>
              <w:spacing w:after="0" w:line="158" w:lineRule="exact"/>
              <w:rPr>
                <w:sz w:val="20"/>
                <w:szCs w:val="20"/>
                <w:color w:val="auto"/>
              </w:rPr>
            </w:pPr>
            <w:r>
              <w:rPr>
                <w:rFonts w:ascii="Arial" w:cs="Arial" w:eastAsia="Arial" w:hAnsi="Arial"/>
                <w:sz w:val="15"/>
                <w:szCs w:val="15"/>
                <w:b w:val="1"/>
                <w:bCs w:val="1"/>
                <w:color w:val="auto"/>
                <w:w w:val="91"/>
              </w:rPr>
              <w:t>Net Book</w:t>
            </w:r>
          </w:p>
        </w:tc>
        <w:tc>
          <w:tcPr>
            <w:tcW w:w="40" w:type="dxa"/>
            <w:vAlign w:val="bottom"/>
          </w:tcPr>
          <w:p>
            <w:pPr>
              <w:spacing w:after="0"/>
              <w:rPr>
                <w:sz w:val="13"/>
                <w:szCs w:val="13"/>
                <w:color w:val="auto"/>
              </w:rPr>
            </w:pPr>
          </w:p>
        </w:tc>
      </w:tr>
      <w:tr>
        <w:trPr>
          <w:trHeight w:val="205"/>
        </w:trPr>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93"/>
              </w:rPr>
              <w:t>Amortization</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99"/>
              </w:rPr>
              <w:t>Value</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line="202" w:lineRule="exact"/>
              <w:rPr>
                <w:sz w:val="20"/>
                <w:szCs w:val="20"/>
                <w:color w:val="auto"/>
              </w:rPr>
            </w:pPr>
            <w:r>
              <w:rPr>
                <w:rFonts w:ascii="Arial" w:cs="Arial" w:eastAsia="Arial" w:hAnsi="Arial"/>
                <w:sz w:val="15"/>
                <w:szCs w:val="15"/>
                <w:b w:val="1"/>
                <w:bCs w:val="1"/>
                <w:color w:val="auto"/>
                <w:w w:val="88"/>
              </w:rPr>
              <w:t>Amount</w:t>
            </w:r>
            <w:r>
              <w:rPr>
                <w:rFonts w:ascii="Arial" w:cs="Arial" w:eastAsia="Arial" w:hAnsi="Arial"/>
                <w:sz w:val="22"/>
                <w:szCs w:val="22"/>
                <w:b w:val="1"/>
                <w:bCs w:val="1"/>
                <w:color w:val="auto"/>
                <w:w w:val="88"/>
                <w:vertAlign w:val="superscript"/>
              </w:rPr>
              <w:t>(1)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3"/>
              </w:rPr>
              <w:t>Amortization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Value</w:t>
            </w:r>
          </w:p>
        </w:tc>
        <w:tc>
          <w:tcPr>
            <w:tcW w:w="40" w:type="dxa"/>
            <w:vAlign w:val="bottom"/>
          </w:tcPr>
          <w:p>
            <w:pPr>
              <w:spacing w:after="0"/>
              <w:rPr>
                <w:sz w:val="17"/>
                <w:szCs w:val="17"/>
                <w:color w:val="auto"/>
              </w:rPr>
            </w:pPr>
          </w:p>
        </w:tc>
      </w:tr>
      <w:tr>
        <w:trPr>
          <w:trHeight w:val="169"/>
        </w:trPr>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spacing w:after="0" w:line="169" w:lineRule="exact"/>
              <w:rPr>
                <w:sz w:val="20"/>
                <w:szCs w:val="20"/>
                <w:color w:val="auto"/>
              </w:rPr>
            </w:pPr>
            <w:r>
              <w:rPr>
                <w:rFonts w:ascii="Arial" w:cs="Arial" w:eastAsia="Arial" w:hAnsi="Arial"/>
                <w:sz w:val="15"/>
                <w:szCs w:val="15"/>
                <w:b w:val="1"/>
                <w:bCs w:val="1"/>
                <w:color w:val="auto"/>
                <w:w w:val="88"/>
              </w:rPr>
              <w:t>(Thousands)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Customer related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311,226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(301,348)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9,878</w:t>
            </w:r>
          </w:p>
        </w:tc>
        <w:tc>
          <w:tcPr>
            <w:tcW w:w="260" w:type="dxa"/>
            <w:vAlign w:val="bottom"/>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324,416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(312,392)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12,024</w:t>
            </w:r>
          </w:p>
        </w:tc>
        <w:tc>
          <w:tcPr>
            <w:tcW w:w="40" w:type="dxa"/>
            <w:vAlign w:val="bottom"/>
            <w:shd w:val="clear" w:color="auto" w:fill="CCEEFF"/>
          </w:tcPr>
          <w:p>
            <w:pPr>
              <w:spacing w:after="0"/>
              <w:rPr>
                <w:sz w:val="15"/>
                <w:szCs w:val="15"/>
                <w:color w:val="auto"/>
              </w:rPr>
            </w:pPr>
          </w:p>
        </w:tc>
      </w:tr>
      <w:tr>
        <w:trPr>
          <w:trHeight w:val="180"/>
        </w:trPr>
        <w:tc>
          <w:tcPr>
            <w:tcW w:w="2220" w:type="dxa"/>
            <w:vAlign w:val="bottom"/>
          </w:tcPr>
          <w:p>
            <w:pPr>
              <w:spacing w:after="0"/>
              <w:rPr>
                <w:sz w:val="20"/>
                <w:szCs w:val="20"/>
                <w:color w:val="auto"/>
              </w:rPr>
            </w:pPr>
            <w:r>
              <w:rPr>
                <w:rFonts w:ascii="Arial" w:cs="Arial" w:eastAsia="Arial" w:hAnsi="Arial"/>
                <w:sz w:val="15"/>
                <w:szCs w:val="15"/>
                <w:color w:val="auto"/>
              </w:rPr>
              <w:t>Trade name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54,569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(49,486)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5,083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57,184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(45,019)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12,165</w:t>
            </w:r>
          </w:p>
        </w:tc>
        <w:tc>
          <w:tcPr>
            <w:tcW w:w="40" w:type="dxa"/>
            <w:vAlign w:val="bottom"/>
          </w:tcPr>
          <w:p>
            <w:pPr>
              <w:spacing w:after="0"/>
              <w:rPr>
                <w:sz w:val="15"/>
                <w:szCs w:val="15"/>
                <w:color w:val="auto"/>
              </w:rPr>
            </w:pPr>
          </w:p>
        </w:tc>
      </w:tr>
      <w:tr>
        <w:trPr>
          <w:trHeight w:val="200"/>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Technology and other</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55,120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(54,106)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57,809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(53,459)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4,350</w:t>
            </w:r>
          </w:p>
        </w:tc>
        <w:tc>
          <w:tcPr>
            <w:tcW w:w="40" w:type="dxa"/>
            <w:vAlign w:val="bottom"/>
            <w:shd w:val="clear" w:color="auto" w:fill="CCEEFF"/>
          </w:tcPr>
          <w:p>
            <w:pPr>
              <w:spacing w:after="0"/>
              <w:rPr>
                <w:sz w:val="17"/>
                <w:szCs w:val="17"/>
                <w:color w:val="auto"/>
              </w:rPr>
            </w:pPr>
          </w:p>
        </w:tc>
      </w:tr>
      <w:tr>
        <w:trPr>
          <w:trHeight w:val="162"/>
        </w:trPr>
        <w:tc>
          <w:tcPr>
            <w:tcW w:w="22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420,915</w:t>
            </w: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(404,940)</w:t>
            </w: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15,975</w:t>
            </w: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center"/>
              <w:spacing w:after="0" w:line="162"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439,409</w:t>
            </w: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(410,870)</w:t>
            </w: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28,539</w:t>
            </w:r>
          </w:p>
        </w:tc>
        <w:tc>
          <w:tcPr>
            <w:tcW w:w="40" w:type="dxa"/>
            <w:vAlign w:val="bottom"/>
            <w:tcBorders>
              <w:top w:val="single" w:sz="8" w:color="CCEEFF"/>
            </w:tcBorders>
          </w:tcPr>
          <w:p>
            <w:pPr>
              <w:spacing w:after="0"/>
              <w:rPr>
                <w:sz w:val="14"/>
                <w:szCs w:val="14"/>
                <w:color w:val="auto"/>
              </w:rPr>
            </w:pPr>
          </w:p>
        </w:tc>
      </w:tr>
      <w:tr>
        <w:trPr>
          <w:trHeight w:val="20"/>
        </w:trPr>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
        </w:trPr>
        <w:tc>
          <w:tcPr>
            <w:tcW w:w="2220" w:type="dxa"/>
            <w:vAlign w:val="bottom"/>
            <w:tcBorders>
              <w:bottom w:val="single" w:sz="8" w:color="0D0D0D"/>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1" w:lineRule="exact"/>
        <w:rPr>
          <w:sz w:val="20"/>
          <w:szCs w:val="20"/>
          <w:color w:val="auto"/>
        </w:rPr>
      </w:pPr>
    </w:p>
    <w:p>
      <w:pPr>
        <w:ind w:left="260" w:hanging="224"/>
        <w:spacing w:after="0"/>
        <w:tabs>
          <w:tab w:leader="none" w:pos="260" w:val="left"/>
        </w:tabs>
        <w:numPr>
          <w:ilvl w:val="0"/>
          <w:numId w:val="5"/>
        </w:numPr>
        <w:rPr>
          <w:rFonts w:ascii="Arial" w:cs="Arial" w:eastAsia="Arial" w:hAnsi="Arial"/>
          <w:sz w:val="20"/>
          <w:szCs w:val="20"/>
          <w:color w:val="auto"/>
          <w:vertAlign w:val="superscript"/>
        </w:rPr>
      </w:pPr>
      <w:r>
        <w:rPr>
          <w:rFonts w:ascii="Arial" w:cs="Arial" w:eastAsia="Arial" w:hAnsi="Arial"/>
          <w:sz w:val="13"/>
          <w:szCs w:val="13"/>
          <w:color w:val="auto"/>
        </w:rPr>
        <w:t>Acquired amount reduced by impairment of $17,473 from prior fiscal years.</w:t>
      </w:r>
    </w:p>
    <w:p>
      <w:pPr>
        <w:spacing w:after="0" w:line="152" w:lineRule="exact"/>
        <w:rPr>
          <w:sz w:val="20"/>
          <w:szCs w:val="20"/>
          <w:color w:val="auto"/>
        </w:rPr>
      </w:pPr>
    </w:p>
    <w:p>
      <w:pPr>
        <w:ind w:left="40" w:right="119" w:firstLine="356"/>
        <w:spacing w:after="0" w:line="274" w:lineRule="auto"/>
        <w:rPr>
          <w:sz w:val="20"/>
          <w:szCs w:val="20"/>
          <w:color w:val="auto"/>
        </w:rPr>
      </w:pPr>
      <w:r>
        <w:rPr>
          <w:rFonts w:ascii="Arial" w:cs="Arial" w:eastAsia="Arial" w:hAnsi="Arial"/>
          <w:sz w:val="15"/>
          <w:szCs w:val="15"/>
          <w:color w:val="auto"/>
        </w:rPr>
        <w:t>Intangible asset amortization expense was $3.1 million and $5.3 million for the third quarters of fiscal 2022 and 2021, respectively, and $12.0 million and $35.7 million for the first nine months of fiscal 2022 and 2021, respectively.</w:t>
      </w:r>
    </w:p>
    <w:p>
      <w:pPr>
        <w:spacing w:after="0" w:line="146" w:lineRule="exact"/>
        <w:rPr>
          <w:sz w:val="20"/>
          <w:szCs w:val="20"/>
          <w:color w:val="auto"/>
        </w:rPr>
      </w:pPr>
    </w:p>
    <w:p>
      <w:pPr>
        <w:ind w:left="40" w:right="479" w:firstLine="356"/>
        <w:spacing w:after="0" w:line="274" w:lineRule="auto"/>
        <w:rPr>
          <w:sz w:val="20"/>
          <w:szCs w:val="20"/>
          <w:color w:val="auto"/>
        </w:rPr>
      </w:pPr>
      <w:r>
        <w:rPr>
          <w:rFonts w:ascii="Arial" w:cs="Arial" w:eastAsia="Arial" w:hAnsi="Arial"/>
          <w:sz w:val="15"/>
          <w:szCs w:val="15"/>
          <w:color w:val="auto"/>
        </w:rPr>
        <w:t>The following table presents the estimated future amortization expense for the remainder of fiscal 2022 and the next five fiscal years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5"/>
                <w:szCs w:val="15"/>
                <w:b w:val="1"/>
                <w:bCs w:val="1"/>
                <w:color w:val="auto"/>
              </w:rPr>
              <w:t>Fiscal Year</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Remainder of fiscal 2022</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2023</w:t>
            </w:r>
          </w:p>
        </w:tc>
        <w:tc>
          <w:tcPr>
            <w:tcW w:w="4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4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2025</w:t>
            </w:r>
          </w:p>
        </w:tc>
        <w:tc>
          <w:tcPr>
            <w:tcW w:w="4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4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40" w:type="dxa"/>
            <w:vAlign w:val="bottom"/>
            <w:gridSpan w:val="2"/>
          </w:tcPr>
          <w:p>
            <w:pPr>
              <w:ind w:left="40"/>
              <w:spacing w:after="0"/>
              <w:rPr>
                <w:sz w:val="20"/>
                <w:szCs w:val="20"/>
                <w:color w:val="auto"/>
              </w:rPr>
            </w:pPr>
            <w:r>
              <w:rPr>
                <w:rFonts w:ascii="Arial" w:cs="Arial" w:eastAsia="Arial" w:hAnsi="Arial"/>
                <w:sz w:val="15"/>
                <w:szCs w:val="15"/>
                <w:color w:val="auto"/>
              </w:rPr>
              <w:t>2027</w:t>
            </w:r>
          </w:p>
        </w:tc>
        <w:tc>
          <w:tcPr>
            <w:tcW w:w="4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4. Debt</w:t>
            </w: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22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5180" w:type="dxa"/>
            <w:vAlign w:val="bottom"/>
            <w:gridSpan w:val="2"/>
          </w:tcPr>
          <w:p>
            <w:pPr>
              <w:ind w:left="360"/>
              <w:spacing w:after="0"/>
              <w:rPr>
                <w:sz w:val="20"/>
                <w:szCs w:val="20"/>
                <w:color w:val="auto"/>
              </w:rPr>
            </w:pPr>
            <w:r>
              <w:rPr>
                <w:rFonts w:ascii="Arial" w:cs="Arial" w:eastAsia="Arial" w:hAnsi="Arial"/>
                <w:sz w:val="15"/>
                <w:szCs w:val="15"/>
                <w:color w:val="auto"/>
                <w:w w:val="97"/>
              </w:rPr>
              <w:t>Short-term debt consists of the following (carrying balances in thousands):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5"/>
                <w:szCs w:val="15"/>
                <w:b w:val="1"/>
                <w:bCs w:val="1"/>
                <w:color w:val="auto"/>
              </w:rPr>
              <w:t>April 2,</w:t>
            </w:r>
          </w:p>
        </w:tc>
        <w:tc>
          <w:tcPr>
            <w:tcW w:w="640" w:type="dxa"/>
            <w:vAlign w:val="bottom"/>
          </w:tcPr>
          <w:p>
            <w:pPr>
              <w:ind w:left="120"/>
              <w:spacing w:after="0"/>
              <w:rPr>
                <w:sz w:val="20"/>
                <w:szCs w:val="20"/>
                <w:color w:val="auto"/>
              </w:rPr>
            </w:pPr>
            <w:r>
              <w:rPr>
                <w:rFonts w:ascii="Arial" w:cs="Arial" w:eastAsia="Arial" w:hAnsi="Arial"/>
                <w:sz w:val="15"/>
                <w:szCs w:val="15"/>
                <w:b w:val="1"/>
                <w:bCs w:val="1"/>
                <w:color w:val="auto"/>
              </w:rPr>
              <w:t>July 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98"/>
              </w:rPr>
              <w:t>April 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Arial" w:cs="Arial" w:eastAsia="Arial" w:hAnsi="Arial"/>
                <w:sz w:val="15"/>
                <w:szCs w:val="15"/>
                <w:b w:val="1"/>
                <w:bCs w:val="1"/>
                <w:color w:val="auto"/>
                <w:w w:val="94"/>
              </w:rPr>
              <w:t>July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98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gridSpan w:val="3"/>
          </w:tcPr>
          <w:p>
            <w:pPr>
              <w:ind w:left="460"/>
              <w:spacing w:after="0" w:line="169" w:lineRule="exact"/>
              <w:rPr>
                <w:sz w:val="20"/>
                <w:szCs w:val="20"/>
                <w:color w:val="auto"/>
              </w:rPr>
            </w:pPr>
            <w:r>
              <w:rPr>
                <w:rFonts w:ascii="Arial" w:cs="Arial" w:eastAsia="Arial" w:hAnsi="Arial"/>
                <w:sz w:val="15"/>
                <w:szCs w:val="15"/>
                <w:b w:val="1"/>
                <w:bCs w:val="1"/>
                <w:color w:val="auto"/>
              </w:rPr>
              <w:t>Interest Rate</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Carrying</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Balance</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short-term debt and accounts receivable securitization program</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0.99 %</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1.24 %</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74,182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23,078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20" w:type="dxa"/>
            <w:vAlign w:val="bottom"/>
            <w:gridSpan w:val="3"/>
          </w:tcPr>
          <w:p>
            <w:pPr>
              <w:spacing w:after="0"/>
              <w:rPr>
                <w:sz w:val="20"/>
                <w:szCs w:val="20"/>
                <w:color w:val="auto"/>
              </w:rPr>
            </w:pPr>
            <w:r>
              <w:rPr>
                <w:rFonts w:ascii="Arial" w:cs="Arial" w:eastAsia="Arial" w:hAnsi="Arial"/>
                <w:sz w:val="15"/>
                <w:szCs w:val="15"/>
                <w:color w:val="auto"/>
              </w:rPr>
              <w:t>Public notes due December 2022</w:t>
            </w:r>
          </w:p>
        </w:tc>
        <w:tc>
          <w:tcPr>
            <w:tcW w:w="980" w:type="dxa"/>
            <w:vAlign w:val="bottom"/>
          </w:tcPr>
          <w:p>
            <w:pPr>
              <w:jc w:val="right"/>
              <w:spacing w:after="0"/>
              <w:rPr>
                <w:sz w:val="20"/>
                <w:szCs w:val="20"/>
                <w:color w:val="auto"/>
              </w:rPr>
            </w:pPr>
            <w:r>
              <w:rPr>
                <w:rFonts w:ascii="Arial" w:cs="Arial" w:eastAsia="Arial" w:hAnsi="Arial"/>
                <w:sz w:val="15"/>
                <w:szCs w:val="15"/>
                <w:color w:val="auto"/>
              </w:rPr>
              <w:t>4.88 %</w:t>
            </w:r>
          </w:p>
        </w:tc>
        <w:tc>
          <w:tcPr>
            <w:tcW w:w="140" w:type="dxa"/>
            <w:vAlign w:val="bottom"/>
          </w:tcPr>
          <w:p>
            <w:pPr>
              <w:spacing w:after="0"/>
              <w:rPr>
                <w:sz w:val="15"/>
                <w:szCs w:val="15"/>
                <w:color w:val="auto"/>
              </w:rPr>
            </w:pPr>
          </w:p>
        </w:tc>
        <w:tc>
          <w:tcPr>
            <w:tcW w:w="640" w:type="dxa"/>
            <w:vAlign w:val="bottom"/>
          </w:tcPr>
          <w:p>
            <w:pPr>
              <w:ind w:lef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350,000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1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Short-term debt</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424,182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right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23,078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0" w:right="319" w:firstLine="360"/>
        <w:spacing w:after="0" w:line="310" w:lineRule="auto"/>
        <w:rPr>
          <w:sz w:val="20"/>
          <w:szCs w:val="20"/>
          <w:color w:val="auto"/>
        </w:rPr>
      </w:pPr>
      <w:r>
        <w:rPr>
          <w:rFonts w:ascii="Arial" w:cs="Arial" w:eastAsia="Arial" w:hAnsi="Arial"/>
          <w:sz w:val="14"/>
          <w:szCs w:val="14"/>
          <w:color w:val="auto"/>
        </w:rPr>
        <w:t>Other short-term debt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 w:name="page11"/>
    <w:bookmarkEnd w:id="1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ind w:left="400"/>
              <w:spacing w:after="0"/>
              <w:rPr>
                <w:sz w:val="20"/>
                <w:szCs w:val="20"/>
                <w:color w:val="auto"/>
              </w:rPr>
            </w:pPr>
            <w:r>
              <w:rPr>
                <w:rFonts w:ascii="Arial" w:cs="Arial" w:eastAsia="Arial" w:hAnsi="Arial"/>
                <w:sz w:val="15"/>
                <w:szCs w:val="15"/>
                <w:color w:val="auto"/>
                <w:w w:val="98"/>
              </w:rPr>
              <w:t>Long-term debt consists of the following (carrying balances in thousands):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7"/>
        </w:trPr>
        <w:tc>
          <w:tcPr>
            <w:tcW w:w="526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April 2,</w:t>
            </w:r>
          </w:p>
        </w:tc>
        <w:tc>
          <w:tcPr>
            <w:tcW w:w="680" w:type="dxa"/>
            <w:vAlign w:val="bottom"/>
          </w:tcPr>
          <w:p>
            <w:pPr>
              <w:jc w:val="right"/>
              <w:ind w:right="45"/>
              <w:spacing w:after="0"/>
              <w:rPr>
                <w:sz w:val="20"/>
                <w:szCs w:val="20"/>
                <w:color w:val="auto"/>
              </w:rPr>
            </w:pPr>
            <w:r>
              <w:rPr>
                <w:rFonts w:ascii="Arial" w:cs="Arial" w:eastAsia="Arial" w:hAnsi="Arial"/>
                <w:sz w:val="15"/>
                <w:szCs w:val="15"/>
                <w:b w:val="1"/>
                <w:bCs w:val="1"/>
                <w:color w:val="auto"/>
              </w:rPr>
              <w:t>July 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25"/>
              <w:spacing w:after="0"/>
              <w:rPr>
                <w:sz w:val="20"/>
                <w:szCs w:val="20"/>
                <w:color w:val="auto"/>
              </w:rPr>
            </w:pPr>
            <w:r>
              <w:rPr>
                <w:rFonts w:ascii="Arial" w:cs="Arial" w:eastAsia="Arial" w:hAnsi="Arial"/>
                <w:sz w:val="15"/>
                <w:szCs w:val="15"/>
                <w:b w:val="1"/>
                <w:bCs w:val="1"/>
                <w:color w:val="auto"/>
              </w:rPr>
              <w:t>April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July 3,</w:t>
            </w:r>
          </w:p>
        </w:tc>
      </w:tr>
      <w:tr>
        <w:trPr>
          <w:trHeight w:val="197"/>
        </w:trPr>
        <w:tc>
          <w:tcPr>
            <w:tcW w:w="5260" w:type="dxa"/>
            <w:vAlign w:val="bottom"/>
          </w:tcPr>
          <w:p>
            <w:pPr>
              <w:spacing w:after="0"/>
              <w:rPr>
                <w:sz w:val="17"/>
                <w:szCs w:val="17"/>
                <w:color w:val="auto"/>
              </w:rPr>
            </w:pPr>
          </w:p>
        </w:tc>
        <w:tc>
          <w:tcPr>
            <w:tcW w:w="74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6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17"/>
                <w:szCs w:val="17"/>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ind w:left="380"/>
              <w:spacing w:after="0" w:line="169" w:lineRule="exact"/>
              <w:rPr>
                <w:sz w:val="20"/>
                <w:szCs w:val="20"/>
                <w:color w:val="auto"/>
              </w:rPr>
            </w:pPr>
            <w:r>
              <w:rPr>
                <w:rFonts w:ascii="Arial" w:cs="Arial" w:eastAsia="Arial" w:hAnsi="Arial"/>
                <w:sz w:val="15"/>
                <w:szCs w:val="15"/>
                <w:b w:val="1"/>
                <w:bCs w:val="1"/>
                <w:color w:val="auto"/>
                <w:w w:val="95"/>
              </w:rPr>
              <w:t>Interest</w:t>
            </w:r>
          </w:p>
        </w:tc>
        <w:tc>
          <w:tcPr>
            <w:tcW w:w="68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b w:val="1"/>
                <w:bCs w:val="1"/>
                <w:color w:val="auto"/>
                <w:w w:val="85"/>
              </w:rPr>
              <w:t>Rate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Carrying</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45"/>
              <w:spacing w:after="0" w:line="169" w:lineRule="exact"/>
              <w:rPr>
                <w:sz w:val="20"/>
                <w:szCs w:val="20"/>
                <w:color w:val="auto"/>
              </w:rPr>
            </w:pPr>
            <w:r>
              <w:rPr>
                <w:rFonts w:ascii="Arial" w:cs="Arial" w:eastAsia="Arial" w:hAnsi="Arial"/>
                <w:sz w:val="15"/>
                <w:szCs w:val="15"/>
                <w:b w:val="1"/>
                <w:bCs w:val="1"/>
                <w:color w:val="auto"/>
                <w:w w:val="86"/>
              </w:rPr>
              <w:t>Balance</w:t>
            </w:r>
          </w:p>
        </w:tc>
        <w:tc>
          <w:tcPr>
            <w:tcW w:w="60" w:type="dxa"/>
            <w:vAlign w:val="bottom"/>
            <w:tcBorders>
              <w:bottom w:val="single" w:sz="8" w:color="CCEEFF"/>
            </w:tcBorders>
          </w:tcPr>
          <w:p>
            <w:pPr>
              <w:spacing w:after="0"/>
              <w:rPr>
                <w:sz w:val="14"/>
                <w:szCs w:val="14"/>
                <w:color w:val="auto"/>
              </w:rPr>
            </w:pPr>
          </w:p>
        </w:tc>
      </w:tr>
      <w:tr>
        <w:trPr>
          <w:trHeight w:val="180"/>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Revolving credit facilities: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5"/>
                <w:szCs w:val="15"/>
                <w:color w:val="auto"/>
              </w:rPr>
              <w:t>Accounts receivable securitization program</w:t>
            </w:r>
          </w:p>
        </w:tc>
        <w:tc>
          <w:tcPr>
            <w:tcW w:w="740" w:type="dxa"/>
            <w:vAlign w:val="bottom"/>
          </w:tcPr>
          <w:p>
            <w:pPr>
              <w:jc w:val="right"/>
              <w:spacing w:after="0"/>
              <w:rPr>
                <w:sz w:val="20"/>
                <w:szCs w:val="20"/>
                <w:color w:val="auto"/>
              </w:rPr>
            </w:pPr>
            <w:r>
              <w:rPr>
                <w:rFonts w:ascii="Arial" w:cs="Arial" w:eastAsia="Arial" w:hAnsi="Arial"/>
                <w:sz w:val="15"/>
                <w:szCs w:val="15"/>
                <w:color w:val="auto"/>
              </w:rPr>
              <w:t>1.19 %</w:t>
            </w:r>
          </w:p>
        </w:tc>
        <w:tc>
          <w:tcPr>
            <w:tcW w:w="18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80,300</w:t>
            </w:r>
          </w:p>
        </w:tc>
        <w:tc>
          <w:tcPr>
            <w:tcW w:w="28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Credit Facility (due June 2023)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0"/>
        </w:trPr>
        <w:tc>
          <w:tcPr>
            <w:tcW w:w="5260" w:type="dxa"/>
            <w:vAlign w:val="bottom"/>
          </w:tcPr>
          <w:p>
            <w:pPr>
              <w:spacing w:after="0"/>
              <w:rPr>
                <w:sz w:val="20"/>
                <w:szCs w:val="20"/>
                <w:color w:val="auto"/>
              </w:rPr>
            </w:pPr>
            <w:r>
              <w:rPr>
                <w:rFonts w:ascii="Arial" w:cs="Arial" w:eastAsia="Arial" w:hAnsi="Arial"/>
                <w:sz w:val="15"/>
                <w:szCs w:val="15"/>
                <w:color w:val="auto"/>
              </w:rPr>
              <w:t>Public notes due: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December 2022</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60" w:type="dxa"/>
            <w:vAlign w:val="bottom"/>
            <w:shd w:val="clear" w:color="auto" w:fill="CCEEFF"/>
          </w:tcPr>
          <w:p>
            <w:pPr>
              <w:spacing w:after="0"/>
              <w:rPr>
                <w:sz w:val="15"/>
                <w:szCs w:val="15"/>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5"/>
                <w:szCs w:val="15"/>
                <w:color w:val="auto"/>
              </w:rPr>
              <w:t>April 2026</w:t>
            </w:r>
          </w:p>
        </w:tc>
        <w:tc>
          <w:tcPr>
            <w:tcW w:w="740" w:type="dxa"/>
            <w:vAlign w:val="bottom"/>
          </w:tcPr>
          <w:p>
            <w:pPr>
              <w:jc w:val="right"/>
              <w:spacing w:after="0"/>
              <w:rPr>
                <w:sz w:val="20"/>
                <w:szCs w:val="20"/>
                <w:color w:val="auto"/>
              </w:rPr>
            </w:pPr>
            <w:r>
              <w:rPr>
                <w:rFonts w:ascii="Arial" w:cs="Arial" w:eastAsia="Arial" w:hAnsi="Arial"/>
                <w:sz w:val="15"/>
                <w:szCs w:val="15"/>
                <w:color w:val="auto"/>
              </w:rPr>
              <w:t>4.63 %</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550,000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550,000</w:t>
            </w:r>
          </w:p>
        </w:tc>
        <w:tc>
          <w:tcPr>
            <w:tcW w:w="60" w:type="dxa"/>
            <w:vAlign w:val="bottom"/>
          </w:tcPr>
          <w:p>
            <w:pPr>
              <w:spacing w:after="0"/>
              <w:rPr>
                <w:sz w:val="15"/>
                <w:szCs w:val="15"/>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May 2031</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60" w:type="dxa"/>
            <w:vAlign w:val="bottom"/>
            <w:shd w:val="clear" w:color="auto" w:fill="CCEEFF"/>
          </w:tcPr>
          <w:p>
            <w:pPr>
              <w:spacing w:after="0"/>
              <w:rPr>
                <w:sz w:val="15"/>
                <w:szCs w:val="15"/>
                <w:color w:val="auto"/>
              </w:rPr>
            </w:pPr>
          </w:p>
        </w:tc>
      </w:tr>
      <w:tr>
        <w:trPr>
          <w:trHeight w:val="182"/>
        </w:trPr>
        <w:tc>
          <w:tcPr>
            <w:tcW w:w="52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long-term debt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0.00 %</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1.22 %</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w:t>
            </w:r>
          </w:p>
        </w:tc>
        <w:tc>
          <w:tcPr>
            <w:tcW w:w="60" w:type="dxa"/>
            <w:vAlign w:val="bottom"/>
            <w:tcBorders>
              <w:bottom w:val="single" w:sz="8" w:color="CCEEFF"/>
            </w:tcBorders>
          </w:tcPr>
          <w:p>
            <w:pPr>
              <w:spacing w:after="0"/>
              <w:rPr>
                <w:sz w:val="15"/>
                <w:szCs w:val="15"/>
                <w:color w:val="auto"/>
              </w:rPr>
            </w:pPr>
          </w:p>
        </w:tc>
      </w:tr>
      <w:tr>
        <w:trPr>
          <w:trHeight w:val="180"/>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Long-term debt before discount and debt issuance costs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930,457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1,201,185</w:t>
            </w:r>
          </w:p>
        </w:tc>
        <w:tc>
          <w:tcPr>
            <w:tcW w:w="60" w:type="dxa"/>
            <w:vAlign w:val="bottom"/>
            <w:shd w:val="clear" w:color="auto" w:fill="CCEEFF"/>
          </w:tcPr>
          <w:p>
            <w:pPr>
              <w:spacing w:after="0"/>
              <w:rPr>
                <w:sz w:val="15"/>
                <w:szCs w:val="15"/>
                <w:color w:val="auto"/>
              </w:rPr>
            </w:pPr>
          </w:p>
        </w:tc>
      </w:tr>
      <w:tr>
        <w:trPr>
          <w:trHeight w:val="182"/>
        </w:trPr>
        <w:tc>
          <w:tcPr>
            <w:tcW w:w="52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Discount and debt issuance costs – unamortized</w:t>
            </w: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(9,856)</w:t>
            </w:r>
          </w:p>
        </w:tc>
        <w:tc>
          <w:tcPr>
            <w:tcW w:w="60" w:type="dxa"/>
            <w:vAlign w:val="bottom"/>
            <w:tcBorders>
              <w:bottom w:val="single" w:sz="8" w:color="CCEEFF"/>
            </w:tcBorders>
          </w:tcPr>
          <w:p>
            <w:pPr>
              <w:spacing w:after="0"/>
              <w:rPr>
                <w:sz w:val="15"/>
                <w:szCs w:val="15"/>
                <w:color w:val="auto"/>
              </w:rPr>
            </w:pPr>
          </w:p>
        </w:tc>
      </w:tr>
      <w:tr>
        <w:trPr>
          <w:trHeight w:val="18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Long-term debt</w:t>
            </w: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922,041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1,191,329</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40" w:right="239" w:firstLine="356"/>
        <w:spacing w:after="0" w:line="296" w:lineRule="auto"/>
        <w:rPr>
          <w:sz w:val="20"/>
          <w:szCs w:val="20"/>
          <w:color w:val="auto"/>
        </w:rPr>
      </w:pPr>
      <w:r>
        <w:rPr>
          <w:rFonts w:ascii="Arial" w:cs="Arial" w:eastAsia="Arial" w:hAnsi="Arial"/>
          <w:sz w:val="13"/>
          <w:szCs w:val="13"/>
          <w:color w:val="auto"/>
        </w:rPr>
        <w:t>In August 2021,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$1.09 billion and $717.4 million at April 2, 2022, and July 3, 2021, respectively. The Securitization Program contains certain covenants relating to the quality of the receivables sold. Interest on borrowings is calculated using a one-month LIBOR rate plus a spread of 0.75%. The facility fee on the unused balance of the facility is up to 0.35%.</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Company has a five-year $1.25 billion revolving credit facility (the “Credit Facility”) with a syndicate of banks, which expires in June</w:t>
      </w:r>
    </w:p>
    <w:p>
      <w:pPr>
        <w:spacing w:after="0" w:line="29" w:lineRule="exact"/>
        <w:rPr>
          <w:sz w:val="20"/>
          <w:szCs w:val="20"/>
          <w:color w:val="auto"/>
        </w:rPr>
      </w:pPr>
    </w:p>
    <w:p>
      <w:pPr>
        <w:ind w:left="40" w:right="79"/>
        <w:spacing w:after="0" w:line="252" w:lineRule="auto"/>
        <w:rPr>
          <w:sz w:val="20"/>
          <w:szCs w:val="20"/>
          <w:color w:val="auto"/>
        </w:rPr>
      </w:pPr>
      <w:r>
        <w:rPr>
          <w:rFonts w:ascii="Arial" w:cs="Arial" w:eastAsia="Arial" w:hAnsi="Arial"/>
          <w:sz w:val="15"/>
          <w:szCs w:val="15"/>
          <w:color w:val="auto"/>
        </w:rPr>
        <w:t>2023. It consists of revolving credit facilities and the issuance of up to $200.0 million of letters of credit and up to $300.0 million of loans in certain approved currencies.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April 2, 2022, and July 3, 2021.</w:t>
      </w:r>
    </w:p>
    <w:p>
      <w:pPr>
        <w:spacing w:after="0" w:line="163" w:lineRule="exact"/>
        <w:rPr>
          <w:sz w:val="20"/>
          <w:szCs w:val="20"/>
          <w:color w:val="auto"/>
        </w:rPr>
      </w:pPr>
    </w:p>
    <w:p>
      <w:pPr>
        <w:ind w:left="40" w:right="539" w:firstLine="360"/>
        <w:spacing w:after="0" w:line="274" w:lineRule="auto"/>
        <w:rPr>
          <w:sz w:val="20"/>
          <w:szCs w:val="20"/>
          <w:color w:val="auto"/>
        </w:rPr>
      </w:pPr>
      <w:r>
        <w:rPr>
          <w:rFonts w:ascii="Arial" w:cs="Arial" w:eastAsia="Arial" w:hAnsi="Arial"/>
          <w:sz w:val="15"/>
          <w:szCs w:val="15"/>
          <w:color w:val="auto"/>
        </w:rPr>
        <w:t>As of April 2, 2022, and July 3, 2021, there were $1.2 million and $1.3 million, respectively, in letters of credit issued under the Credit Facility.</w:t>
      </w:r>
    </w:p>
    <w:p>
      <w:pPr>
        <w:spacing w:after="0" w:line="146" w:lineRule="exact"/>
        <w:rPr>
          <w:sz w:val="20"/>
          <w:szCs w:val="20"/>
          <w:color w:val="auto"/>
        </w:rPr>
      </w:pPr>
    </w:p>
    <w:p>
      <w:pPr>
        <w:ind w:left="40" w:right="59" w:firstLine="356"/>
        <w:spacing w:after="0" w:line="258" w:lineRule="auto"/>
        <w:rPr>
          <w:sz w:val="20"/>
          <w:szCs w:val="20"/>
          <w:color w:val="auto"/>
        </w:rPr>
      </w:pPr>
      <w:r>
        <w:rPr>
          <w:rFonts w:ascii="Arial" w:cs="Arial" w:eastAsia="Arial" w:hAnsi="Arial"/>
          <w:sz w:val="15"/>
          <w:szCs w:val="15"/>
          <w:color w:val="auto"/>
        </w:rPr>
        <w:t>As of April 2, 2022, the carrying value and fair value of the Company’s total debt was $1.35 billion and $1.35 billion, respectively. At July 3, 2021, the carrying value and fair value of the Company’s total debt was $1.21 billion and $1.30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 w:name="page12"/>
    <w:bookmarkEnd w:id="1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5. Leases</w:t>
      </w:r>
    </w:p>
    <w:p>
      <w:pPr>
        <w:spacing w:after="0" w:line="191" w:lineRule="exact"/>
        <w:rPr>
          <w:sz w:val="20"/>
          <w:szCs w:val="20"/>
          <w:color w:val="auto"/>
        </w:rPr>
      </w:pPr>
    </w:p>
    <w:p>
      <w:pPr>
        <w:ind w:left="40" w:right="119" w:firstLine="356"/>
        <w:spacing w:after="0" w:line="262" w:lineRule="auto"/>
        <w:rPr>
          <w:sz w:val="20"/>
          <w:szCs w:val="20"/>
          <w:color w:val="auto"/>
        </w:rPr>
      </w:pPr>
      <w:r>
        <w:rPr>
          <w:rFonts w:ascii="Arial" w:cs="Arial" w:eastAsia="Arial" w:hAnsi="Arial"/>
          <w:sz w:val="15"/>
          <w:szCs w:val="15"/>
          <w:color w:val="auto"/>
        </w:rPr>
        <w:t>Substantially all the Company’s leases are classified as operating leases and are predominately related to real property for distribution centers, office space, and integration facilities with a lease term of up to 16 years. The Company’s equipment leases are primarily for automobiles and equipment and are not material to the consolidated financial statements.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components of lease cost related to the Company’s operating leases were as follows (in thousands):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5"/>
                <w:szCs w:val="15"/>
                <w:b w:val="1"/>
                <w:bCs w:val="1"/>
                <w:color w:val="auto"/>
              </w:rPr>
              <w:t>Third Quarters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5"/>
              <w:spacing w:after="0" w:line="166" w:lineRule="exact"/>
              <w:rPr>
                <w:sz w:val="20"/>
                <w:szCs w:val="20"/>
                <w:color w:val="auto"/>
              </w:rPr>
            </w:pPr>
            <w:r>
              <w:rPr>
                <w:rFonts w:ascii="Arial" w:cs="Arial" w:eastAsia="Arial" w:hAnsi="Arial"/>
                <w:sz w:val="15"/>
                <w:szCs w:val="15"/>
                <w:b w:val="1"/>
                <w:bCs w:val="1"/>
                <w:color w:val="auto"/>
              </w:rPr>
              <w:t>April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5"/>
              <w:spacing w:after="0" w:line="166" w:lineRule="exact"/>
              <w:rPr>
                <w:sz w:val="20"/>
                <w:szCs w:val="20"/>
                <w:color w:val="auto"/>
              </w:rPr>
            </w:pPr>
            <w:r>
              <w:rPr>
                <w:rFonts w:ascii="Arial" w:cs="Arial" w:eastAsia="Arial" w:hAnsi="Arial"/>
                <w:sz w:val="15"/>
                <w:szCs w:val="15"/>
                <w:b w:val="1"/>
                <w:bCs w:val="1"/>
                <w:color w:val="auto"/>
              </w:rPr>
              <w:t>April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85"/>
              <w:spacing w:after="0" w:line="166" w:lineRule="exact"/>
              <w:rPr>
                <w:sz w:val="20"/>
                <w:szCs w:val="20"/>
                <w:color w:val="auto"/>
              </w:rPr>
            </w:pPr>
            <w:r>
              <w:rPr>
                <w:rFonts w:ascii="Arial" w:cs="Arial" w:eastAsia="Arial" w:hAnsi="Arial"/>
                <w:sz w:val="15"/>
                <w:szCs w:val="15"/>
                <w:b w:val="1"/>
                <w:bCs w:val="1"/>
                <w:color w:val="auto"/>
              </w:rPr>
              <w:t>April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5"/>
              <w:spacing w:after="0" w:line="166" w:lineRule="exact"/>
              <w:rPr>
                <w:sz w:val="20"/>
                <w:szCs w:val="20"/>
                <w:color w:val="auto"/>
              </w:rPr>
            </w:pPr>
            <w:r>
              <w:rPr>
                <w:rFonts w:ascii="Arial" w:cs="Arial" w:eastAsia="Arial" w:hAnsi="Arial"/>
                <w:sz w:val="15"/>
                <w:szCs w:val="15"/>
                <w:b w:val="1"/>
                <w:bCs w:val="1"/>
                <w:color w:val="auto"/>
              </w:rPr>
              <w:t>April 3,</w:t>
            </w:r>
          </w:p>
        </w:tc>
      </w:tr>
      <w:tr>
        <w:trPr>
          <w:trHeight w:val="197"/>
        </w:trPr>
        <w:tc>
          <w:tcPr>
            <w:tcW w:w="4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r>
      <w:tr>
        <w:trPr>
          <w:trHeight w:val="180"/>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55,105</w:t>
            </w:r>
          </w:p>
        </w:tc>
      </w:tr>
      <w:tr>
        <w:trPr>
          <w:trHeight w:val="182"/>
        </w:trPr>
        <w:tc>
          <w:tcPr>
            <w:tcW w:w="47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Variable lease cost</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17,296</w:t>
            </w:r>
          </w:p>
        </w:tc>
      </w:tr>
      <w:tr>
        <w:trPr>
          <w:trHeight w:val="180"/>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Total lease cost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24,192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72,401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Future minimum operating lease payments as of April 2, 2022, are as follows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00" w:type="dxa"/>
            <w:vAlign w:val="bottom"/>
            <w:gridSpan w:val="2"/>
          </w:tcPr>
          <w:p>
            <w:pPr>
              <w:spacing w:after="0"/>
              <w:rPr>
                <w:sz w:val="20"/>
                <w:szCs w:val="20"/>
                <w:color w:val="auto"/>
              </w:rPr>
            </w:pPr>
            <w:r>
              <w:rPr>
                <w:rFonts w:ascii="Arial" w:cs="Arial" w:eastAsia="Arial" w:hAnsi="Arial"/>
                <w:sz w:val="15"/>
                <w:szCs w:val="15"/>
                <w:b w:val="1"/>
                <w:bCs w:val="1"/>
                <w:color w:val="auto"/>
              </w:rPr>
              <w:t>Fiscal Year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Remainder of fiscal 2022</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20"/>
                <w:szCs w:val="20"/>
                <w:color w:val="auto"/>
              </w:rPr>
            </w:pPr>
            <w:r>
              <w:rPr>
                <w:rFonts w:ascii="Arial" w:cs="Arial" w:eastAsia="Arial" w:hAnsi="Arial"/>
                <w:sz w:val="15"/>
                <w:szCs w:val="15"/>
                <w:color w:val="auto"/>
              </w:rPr>
              <w:t>2023</w:t>
            </w:r>
          </w:p>
        </w:tc>
        <w:tc>
          <w:tcPr>
            <w:tcW w:w="4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62,316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4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45,467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20"/>
                <w:szCs w:val="20"/>
                <w:color w:val="auto"/>
              </w:rPr>
            </w:pPr>
            <w:r>
              <w:rPr>
                <w:rFonts w:ascii="Arial" w:cs="Arial" w:eastAsia="Arial" w:hAnsi="Arial"/>
                <w:sz w:val="15"/>
                <w:szCs w:val="15"/>
                <w:color w:val="auto"/>
              </w:rPr>
              <w:t>2025</w:t>
            </w:r>
          </w:p>
        </w:tc>
        <w:tc>
          <w:tcPr>
            <w:tcW w:w="4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35,680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4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30,059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Thereafter</w:t>
            </w:r>
          </w:p>
        </w:tc>
        <w:tc>
          <w:tcPr>
            <w:tcW w:w="8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135,164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future operating lease payments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327,133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Total imputed interest on operating lease liabilities</w:t>
            </w:r>
          </w:p>
        </w:tc>
        <w:tc>
          <w:tcPr>
            <w:tcW w:w="8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(53,842)</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Total operating lease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273,291</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360"/>
              <w:spacing w:after="0"/>
              <w:rPr>
                <w:sz w:val="20"/>
                <w:szCs w:val="20"/>
                <w:color w:val="auto"/>
              </w:rPr>
            </w:pPr>
            <w:r>
              <w:rPr>
                <w:rFonts w:ascii="Arial" w:cs="Arial" w:eastAsia="Arial" w:hAnsi="Arial"/>
                <w:sz w:val="15"/>
                <w:szCs w:val="15"/>
                <w:color w:val="auto"/>
              </w:rPr>
              <w:t>Other information pertaining to operating leases consists of the following:</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100"/>
              <w:spacing w:after="0"/>
              <w:rPr>
                <w:sz w:val="20"/>
                <w:szCs w:val="20"/>
                <w:color w:val="auto"/>
              </w:rPr>
            </w:pPr>
            <w:r>
              <w:rPr>
                <w:rFonts w:ascii="Arial" w:cs="Arial" w:eastAsia="Arial" w:hAnsi="Arial"/>
                <w:sz w:val="15"/>
                <w:szCs w:val="15"/>
                <w:b w:val="1"/>
                <w:bCs w:val="1"/>
                <w:color w:val="auto"/>
                <w:w w:val="92"/>
              </w:rPr>
              <w:t>Nine Months Ended</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20" w:type="dxa"/>
            <w:vAlign w:val="bottom"/>
            <w:gridSpan w:val="2"/>
          </w:tcPr>
          <w:p>
            <w:pPr>
              <w:jc w:val="center"/>
              <w:ind w:left="445"/>
              <w:spacing w:after="0" w:line="166" w:lineRule="exact"/>
              <w:rPr>
                <w:sz w:val="20"/>
                <w:szCs w:val="20"/>
                <w:color w:val="auto"/>
              </w:rPr>
            </w:pPr>
            <w:r>
              <w:rPr>
                <w:rFonts w:ascii="Arial" w:cs="Arial" w:eastAsia="Arial" w:hAnsi="Arial"/>
                <w:sz w:val="15"/>
                <w:szCs w:val="15"/>
                <w:b w:val="1"/>
                <w:bCs w:val="1"/>
                <w:color w:val="auto"/>
                <w:w w:val="98"/>
              </w:rPr>
              <w:t>April 2,</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ind w:left="120"/>
              <w:spacing w:after="0" w:line="166" w:lineRule="exact"/>
              <w:rPr>
                <w:sz w:val="20"/>
                <w:szCs w:val="20"/>
                <w:color w:val="auto"/>
              </w:rPr>
            </w:pPr>
            <w:r>
              <w:rPr>
                <w:rFonts w:ascii="Arial" w:cs="Arial" w:eastAsia="Arial" w:hAnsi="Arial"/>
                <w:sz w:val="15"/>
                <w:szCs w:val="15"/>
                <w:b w:val="1"/>
                <w:bCs w:val="1"/>
                <w:color w:val="auto"/>
              </w:rPr>
              <w:t>April 3,</w:t>
            </w: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w w:val="83"/>
              </w:rPr>
              <w:t>2021</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400" w:type="dxa"/>
            <w:vAlign w:val="bottom"/>
            <w:gridSpan w:val="2"/>
          </w:tcPr>
          <w:p>
            <w:pPr>
              <w:spacing w:after="0"/>
              <w:rPr>
                <w:sz w:val="20"/>
                <w:szCs w:val="20"/>
                <w:color w:val="auto"/>
              </w:rPr>
            </w:pPr>
            <w:r>
              <w:rPr>
                <w:rFonts w:ascii="Arial" w:cs="Arial" w:eastAsia="Arial" w:hAnsi="Arial"/>
                <w:sz w:val="15"/>
                <w:szCs w:val="15"/>
                <w:color w:val="auto"/>
              </w:rPr>
              <w:t>Operating Lease Term and Discount Rate</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Weighted-average remaining lease term in years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8.8</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9.2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0" w:type="dxa"/>
            <w:vAlign w:val="bottom"/>
            <w:gridSpan w:val="2"/>
          </w:tcPr>
          <w:p>
            <w:pPr>
              <w:ind w:left="80"/>
              <w:spacing w:after="0"/>
              <w:rPr>
                <w:sz w:val="20"/>
                <w:szCs w:val="20"/>
                <w:color w:val="auto"/>
              </w:rPr>
            </w:pPr>
            <w:r>
              <w:rPr>
                <w:rFonts w:ascii="Arial" w:cs="Arial" w:eastAsia="Arial" w:hAnsi="Arial"/>
                <w:sz w:val="15"/>
                <w:szCs w:val="15"/>
                <w:color w:val="auto"/>
              </w:rPr>
              <w:t>Weighted-average discount rate</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5"/>
                <w:szCs w:val="15"/>
                <w:color w:val="auto"/>
              </w:rPr>
              <w:t>3.8 %</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3.8 %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7540" w:type="dxa"/>
            <w:vAlign w:val="bottom"/>
            <w:gridSpan w:val="7"/>
          </w:tcPr>
          <w:p>
            <w:pPr>
              <w:ind w:left="360"/>
              <w:spacing w:after="0"/>
              <w:rPr>
                <w:sz w:val="20"/>
                <w:szCs w:val="20"/>
                <w:color w:val="auto"/>
              </w:rPr>
            </w:pPr>
            <w:r>
              <w:rPr>
                <w:rFonts w:ascii="Arial" w:cs="Arial" w:eastAsia="Arial" w:hAnsi="Arial"/>
                <w:sz w:val="15"/>
                <w:szCs w:val="15"/>
                <w:color w:val="auto"/>
                <w:w w:val="98"/>
              </w:rPr>
              <w:t>Supplemental cash flow information related to the Company’s operating leases was as follows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ind w:left="50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40"/>
              <w:spacing w:after="0" w:line="166" w:lineRule="exact"/>
              <w:rPr>
                <w:sz w:val="20"/>
                <w:szCs w:val="20"/>
                <w:color w:val="auto"/>
              </w:rPr>
            </w:pPr>
            <w:r>
              <w:rPr>
                <w:rFonts w:ascii="Arial" w:cs="Arial" w:eastAsia="Arial" w:hAnsi="Arial"/>
                <w:sz w:val="15"/>
                <w:szCs w:val="15"/>
                <w:b w:val="1"/>
                <w:bCs w:val="1"/>
                <w:color w:val="auto"/>
                <w:w w:val="94"/>
              </w:rPr>
              <w:t>April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200"/>
              <w:spacing w:after="0" w:line="166" w:lineRule="exact"/>
              <w:rPr>
                <w:sz w:val="20"/>
                <w:szCs w:val="20"/>
                <w:color w:val="auto"/>
              </w:rPr>
            </w:pPr>
            <w:r>
              <w:rPr>
                <w:rFonts w:ascii="Arial" w:cs="Arial" w:eastAsia="Arial" w:hAnsi="Arial"/>
                <w:sz w:val="15"/>
                <w:szCs w:val="15"/>
                <w:b w:val="1"/>
                <w:bCs w:val="1"/>
                <w:color w:val="auto"/>
              </w:rPr>
              <w:t>April 3,</w:t>
            </w:r>
          </w:p>
        </w:tc>
        <w:tc>
          <w:tcPr>
            <w:tcW w:w="0" w:type="dxa"/>
            <w:vAlign w:val="bottom"/>
          </w:tcPr>
          <w:p>
            <w:pPr>
              <w:spacing w:after="0"/>
              <w:rPr>
                <w:sz w:val="1"/>
                <w:szCs w:val="1"/>
                <w:color w:val="auto"/>
              </w:rPr>
            </w:pPr>
          </w:p>
        </w:tc>
      </w:tr>
      <w:tr>
        <w:trPr>
          <w:trHeight w:val="197"/>
        </w:trPr>
        <w:tc>
          <w:tcPr>
            <w:tcW w:w="70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Supplemental Cash Flow Information:</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gridSpan w:val="2"/>
          </w:tcPr>
          <w:p>
            <w:pPr>
              <w:ind w:left="80"/>
              <w:spacing w:after="0"/>
              <w:rPr>
                <w:sz w:val="20"/>
                <w:szCs w:val="20"/>
                <w:color w:val="auto"/>
              </w:rPr>
            </w:pPr>
            <w:r>
              <w:rPr>
                <w:rFonts w:ascii="Arial" w:cs="Arial" w:eastAsia="Arial" w:hAnsi="Arial"/>
                <w:sz w:val="15"/>
                <w:szCs w:val="15"/>
                <w:color w:val="auto"/>
              </w:rPr>
              <w:t>Cash paid for operating lease liabilities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43,109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44,219</w:t>
            </w:r>
          </w:p>
        </w:tc>
        <w:tc>
          <w:tcPr>
            <w:tcW w:w="0" w:type="dxa"/>
            <w:vAlign w:val="bottom"/>
          </w:tcPr>
          <w:p>
            <w:pPr>
              <w:spacing w:after="0"/>
              <w:rPr>
                <w:sz w:val="1"/>
                <w:szCs w:val="1"/>
                <w:color w:val="auto"/>
              </w:rPr>
            </w:pPr>
          </w:p>
        </w:tc>
      </w:tr>
      <w:tr>
        <w:trPr>
          <w:trHeight w:val="180"/>
        </w:trPr>
        <w:tc>
          <w:tcPr>
            <w:tcW w:w="54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Operating lease assets obtained from new operating lease liabilities</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25,897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36,150</w:t>
            </w:r>
          </w:p>
        </w:tc>
        <w:tc>
          <w:tcPr>
            <w:tcW w:w="0" w:type="dxa"/>
            <w:vAlign w:val="bottom"/>
          </w:tcPr>
          <w:p>
            <w:pPr>
              <w:spacing w:after="0"/>
              <w:rPr>
                <w:sz w:val="1"/>
                <w:szCs w:val="1"/>
                <w:color w:val="auto"/>
              </w:rPr>
            </w:pPr>
          </w:p>
        </w:tc>
      </w:tr>
      <w:tr>
        <w:trPr>
          <w:trHeight w:val="561"/>
        </w:trPr>
        <w:tc>
          <w:tcPr>
            <w:tcW w:w="5400" w:type="dxa"/>
            <w:vAlign w:val="bottom"/>
            <w:gridSpan w:val="2"/>
          </w:tcPr>
          <w:p>
            <w:pPr>
              <w:ind w:left="4400"/>
              <w:spacing w:after="0"/>
              <w:rPr>
                <w:sz w:val="20"/>
                <w:szCs w:val="20"/>
                <w:color w:val="auto"/>
              </w:rPr>
            </w:pPr>
            <w:r>
              <w:rPr>
                <w:rFonts w:ascii="Arial" w:cs="Arial" w:eastAsia="Arial" w:hAnsi="Arial"/>
                <w:sz w:val="15"/>
                <w:szCs w:val="15"/>
                <w:color w:val="auto"/>
              </w:rPr>
              <w:t>11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12" w:name="page13"/>
    <w:bookmarkEnd w:id="1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6. Derivative financial instruments</w:t>
      </w:r>
    </w:p>
    <w:p>
      <w:pPr>
        <w:spacing w:after="0" w:line="191" w:lineRule="exact"/>
        <w:rPr>
          <w:sz w:val="20"/>
          <w:szCs w:val="20"/>
          <w:color w:val="auto"/>
        </w:rPr>
      </w:pPr>
    </w:p>
    <w:p>
      <w:pPr>
        <w:ind w:left="40" w:right="80" w:firstLine="356"/>
        <w:spacing w:after="0" w:line="272" w:lineRule="auto"/>
        <w:rPr>
          <w:sz w:val="20"/>
          <w:szCs w:val="20"/>
          <w:color w:val="auto"/>
        </w:rPr>
      </w:pPr>
      <w:r>
        <w:rPr>
          <w:rFonts w:ascii="Arial" w:cs="Arial" w:eastAsia="Arial" w:hAnsi="Arial"/>
          <w:sz w:val="14"/>
          <w:szCs w:val="14"/>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Arial" w:cs="Arial" w:eastAsia="Arial" w:hAnsi="Arial"/>
          <w:sz w:val="14"/>
          <w:szCs w:val="14"/>
          <w:i w:val="1"/>
          <w:iCs w:val="1"/>
          <w:color w:val="auto"/>
        </w:rPr>
        <w:t>i.e.</w:t>
      </w:r>
      <w:r>
        <w:rPr>
          <w:rFonts w:ascii="Arial" w:cs="Arial" w:eastAsia="Arial" w:hAnsi="Arial"/>
          <w:sz w:val="14"/>
          <w:szCs w:val="14"/>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April 2, 2022, and July 3, 2021.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52" w:lineRule="exact"/>
        <w:rPr>
          <w:sz w:val="20"/>
          <w:szCs w:val="20"/>
          <w:color w:val="auto"/>
        </w:rPr>
      </w:pPr>
    </w:p>
    <w:p>
      <w:pPr>
        <w:ind w:left="40" w:right="100" w:firstLine="356"/>
        <w:spacing w:after="0" w:line="274" w:lineRule="auto"/>
        <w:rPr>
          <w:sz w:val="20"/>
          <w:szCs w:val="20"/>
          <w:color w:val="auto"/>
        </w:rPr>
      </w:pPr>
      <w:r>
        <w:rPr>
          <w:rFonts w:ascii="Arial" w:cs="Arial" w:eastAsia="Arial" w:hAnsi="Arial"/>
          <w:sz w:val="15"/>
          <w:szCs w:val="15"/>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46" w:lineRule="exact"/>
        <w:rPr>
          <w:sz w:val="20"/>
          <w:szCs w:val="20"/>
          <w:color w:val="auto"/>
        </w:rPr>
      </w:pPr>
    </w:p>
    <w:p>
      <w:pPr>
        <w:ind w:left="40" w:right="180" w:firstLine="356"/>
        <w:spacing w:after="0" w:line="282" w:lineRule="auto"/>
        <w:rPr>
          <w:sz w:val="20"/>
          <w:szCs w:val="20"/>
          <w:color w:val="auto"/>
        </w:rPr>
      </w:pPr>
      <w:r>
        <w:rPr>
          <w:rFonts w:ascii="Arial" w:cs="Arial" w:eastAsia="Arial" w:hAnsi="Arial"/>
          <w:sz w:val="14"/>
          <w:szCs w:val="14"/>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43" w:lineRule="exact"/>
        <w:rPr>
          <w:sz w:val="20"/>
          <w:szCs w:val="20"/>
          <w:color w:val="auto"/>
        </w:rPr>
      </w:pPr>
    </w:p>
    <w:p>
      <w:pPr>
        <w:ind w:left="40" w:right="660" w:firstLine="356"/>
        <w:spacing w:after="0" w:line="274" w:lineRule="auto"/>
        <w:rPr>
          <w:sz w:val="20"/>
          <w:szCs w:val="20"/>
          <w:color w:val="auto"/>
        </w:rPr>
      </w:pPr>
      <w:r>
        <w:rPr>
          <w:rFonts w:ascii="Arial" w:cs="Arial" w:eastAsia="Arial" w:hAnsi="Arial"/>
          <w:sz w:val="15"/>
          <w:szCs w:val="15"/>
          <w:color w:val="auto"/>
        </w:rPr>
        <w:t>The fair values of forward foreign currency exchange contracts not receiving hedge accounting treatment recorded in the Company’s consolidated balance sheets are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65"/>
              <w:spacing w:after="0"/>
              <w:rPr>
                <w:sz w:val="20"/>
                <w:szCs w:val="20"/>
                <w:color w:val="auto"/>
              </w:rPr>
            </w:pPr>
            <w:r>
              <w:rPr>
                <w:rFonts w:ascii="Arial" w:cs="Arial" w:eastAsia="Arial" w:hAnsi="Arial"/>
                <w:sz w:val="15"/>
                <w:szCs w:val="15"/>
                <w:b w:val="1"/>
                <w:bCs w:val="1"/>
                <w:color w:val="auto"/>
              </w:rPr>
              <w:t>April 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rPr>
              <w:t>July 3,</w:t>
            </w:r>
          </w:p>
        </w:tc>
      </w:tr>
      <w:tr>
        <w:trPr>
          <w:trHeight w:val="197"/>
        </w:trPr>
        <w:tc>
          <w:tcPr>
            <w:tcW w:w="4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r>
      <w:tr>
        <w:trPr>
          <w:trHeight w:val="169"/>
        </w:trPr>
        <w:tc>
          <w:tcPr>
            <w:tcW w:w="4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ind w:right="20"/>
              <w:spacing w:after="0" w:line="169" w:lineRule="exact"/>
              <w:rPr>
                <w:sz w:val="20"/>
                <w:szCs w:val="20"/>
                <w:color w:val="auto"/>
              </w:rPr>
            </w:pPr>
            <w:r>
              <w:rPr>
                <w:rFonts w:ascii="Arial" w:cs="Arial" w:eastAsia="Arial" w:hAnsi="Arial"/>
                <w:sz w:val="15"/>
                <w:szCs w:val="15"/>
                <w:b w:val="1"/>
                <w:bCs w:val="1"/>
                <w:color w:val="auto"/>
              </w:rPr>
              <w:t>(Thousands)</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Prepaid and other current assets</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22,660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15,722</w:t>
            </w:r>
          </w:p>
        </w:tc>
        <w:tc>
          <w:tcPr>
            <w:tcW w:w="40" w:type="dxa"/>
            <w:vAlign w:val="bottom"/>
            <w:shd w:val="clear" w:color="auto" w:fill="CCEEFF"/>
          </w:tcPr>
          <w:p>
            <w:pPr>
              <w:spacing w:after="0"/>
              <w:rPr>
                <w:sz w:val="15"/>
                <w:szCs w:val="15"/>
                <w:color w:val="auto"/>
              </w:rPr>
            </w:pPr>
          </w:p>
        </w:tc>
      </w:tr>
      <w:tr>
        <w:trPr>
          <w:trHeight w:val="190"/>
        </w:trPr>
        <w:tc>
          <w:tcPr>
            <w:tcW w:w="4100" w:type="dxa"/>
            <w:vAlign w:val="bottom"/>
          </w:tcPr>
          <w:p>
            <w:pPr>
              <w:spacing w:after="0"/>
              <w:rPr>
                <w:sz w:val="20"/>
                <w:szCs w:val="20"/>
                <w:color w:val="auto"/>
              </w:rPr>
            </w:pPr>
            <w:r>
              <w:rPr>
                <w:rFonts w:ascii="Arial" w:cs="Arial" w:eastAsia="Arial" w:hAnsi="Arial"/>
                <w:sz w:val="15"/>
                <w:szCs w:val="15"/>
                <w:color w:val="auto"/>
              </w:rPr>
              <w:t>Accrued expenses and other</w:t>
            </w: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21,850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23,994</w:t>
            </w:r>
          </w:p>
        </w:tc>
        <w:tc>
          <w:tcPr>
            <w:tcW w:w="40" w:type="dxa"/>
            <w:vAlign w:val="bottom"/>
          </w:tcPr>
          <w:p>
            <w:pPr>
              <w:spacing w:after="0"/>
              <w:rPr>
                <w:sz w:val="16"/>
                <w:szCs w:val="16"/>
                <w:color w:val="auto"/>
              </w:rPr>
            </w:pPr>
          </w:p>
        </w:tc>
      </w:tr>
    </w:tbl>
    <w:p>
      <w:pPr>
        <w:spacing w:after="0" w:line="16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amounts recorded to other (expense) income, net, related to derivative financial instruments for economic hedges are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5"/>
                <w:szCs w:val="15"/>
                <w:b w:val="1"/>
                <w:bCs w:val="1"/>
                <w:color w:val="auto"/>
              </w:rPr>
              <w:t>Third Quarters Ended</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line="166" w:lineRule="exact"/>
              <w:rPr>
                <w:sz w:val="20"/>
                <w:szCs w:val="20"/>
                <w:color w:val="auto"/>
              </w:rPr>
            </w:pPr>
            <w:r>
              <w:rPr>
                <w:rFonts w:ascii="Arial" w:cs="Arial" w:eastAsia="Arial" w:hAnsi="Arial"/>
                <w:sz w:val="15"/>
                <w:szCs w:val="15"/>
                <w:b w:val="1"/>
                <w:bCs w:val="1"/>
                <w:color w:val="auto"/>
              </w:rPr>
              <w:t>April 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5"/>
              <w:spacing w:after="0" w:line="166" w:lineRule="exact"/>
              <w:rPr>
                <w:sz w:val="20"/>
                <w:szCs w:val="20"/>
                <w:color w:val="auto"/>
              </w:rPr>
            </w:pPr>
            <w:r>
              <w:rPr>
                <w:rFonts w:ascii="Arial" w:cs="Arial" w:eastAsia="Arial" w:hAnsi="Arial"/>
                <w:sz w:val="15"/>
                <w:szCs w:val="15"/>
                <w:b w:val="1"/>
                <w:bCs w:val="1"/>
                <w:color w:val="auto"/>
                <w:w w:val="94"/>
              </w:rPr>
              <w:t>April 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25"/>
              <w:spacing w:after="0" w:line="166" w:lineRule="exact"/>
              <w:rPr>
                <w:sz w:val="20"/>
                <w:szCs w:val="20"/>
                <w:color w:val="auto"/>
              </w:rPr>
            </w:pPr>
            <w:r>
              <w:rPr>
                <w:rFonts w:ascii="Arial" w:cs="Arial" w:eastAsia="Arial" w:hAnsi="Arial"/>
                <w:sz w:val="15"/>
                <w:szCs w:val="15"/>
                <w:b w:val="1"/>
                <w:bCs w:val="1"/>
                <w:color w:val="auto"/>
                <w:w w:val="94"/>
              </w:rPr>
              <w:t>April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5"/>
              <w:spacing w:after="0" w:line="166" w:lineRule="exact"/>
              <w:rPr>
                <w:sz w:val="20"/>
                <w:szCs w:val="20"/>
                <w:color w:val="auto"/>
              </w:rPr>
            </w:pPr>
            <w:r>
              <w:rPr>
                <w:rFonts w:ascii="Arial" w:cs="Arial" w:eastAsia="Arial" w:hAnsi="Arial"/>
                <w:sz w:val="15"/>
                <w:szCs w:val="15"/>
                <w:b w:val="1"/>
                <w:bCs w:val="1"/>
                <w:color w:val="auto"/>
                <w:w w:val="94"/>
              </w:rPr>
              <w:t>April 3,</w:t>
            </w:r>
          </w:p>
        </w:tc>
      </w:tr>
      <w:tr>
        <w:trPr>
          <w:trHeight w:val="197"/>
        </w:trPr>
        <w:tc>
          <w:tcPr>
            <w:tcW w:w="3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2021</w:t>
            </w:r>
          </w:p>
        </w:tc>
      </w:tr>
      <w:tr>
        <w:trPr>
          <w:trHeight w:val="169"/>
        </w:trPr>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585"/>
              <w:spacing w:after="0" w:line="169" w:lineRule="exact"/>
              <w:rPr>
                <w:sz w:val="20"/>
                <w:szCs w:val="20"/>
                <w:color w:val="auto"/>
              </w:rPr>
            </w:pPr>
            <w:r>
              <w:rPr>
                <w:rFonts w:ascii="Arial" w:cs="Arial" w:eastAsia="Arial" w:hAnsi="Arial"/>
                <w:sz w:val="15"/>
                <w:szCs w:val="15"/>
                <w:b w:val="1"/>
                <w:bCs w:val="1"/>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Net derivative financial instrument loss</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(24,560)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(13,201)</w:t>
            </w:r>
          </w:p>
        </w:tc>
      </w:tr>
    </w:tbl>
    <w:p>
      <w:pPr>
        <w:spacing w:after="0" w:line="169" w:lineRule="exact"/>
        <w:rPr>
          <w:sz w:val="20"/>
          <w:szCs w:val="20"/>
          <w:color w:val="auto"/>
        </w:rPr>
      </w:pPr>
    </w:p>
    <w:p>
      <w:pPr>
        <w:ind w:left="40" w:right="220" w:firstLine="356"/>
        <w:spacing w:after="0" w:line="353" w:lineRule="auto"/>
        <w:rPr>
          <w:sz w:val="20"/>
          <w:szCs w:val="20"/>
          <w:color w:val="auto"/>
        </w:rPr>
      </w:pPr>
      <w:r>
        <w:rPr>
          <w:rFonts w:ascii="Arial" w:cs="Arial" w:eastAsia="Arial" w:hAnsi="Arial"/>
          <w:sz w:val="13"/>
          <w:szCs w:val="13"/>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20"/>
          </w:cols>
          <w:pgMar w:left="1440" w:top="478" w:right="1439" w:bottom="1440" w:gutter="0" w:footer="0" w:header="0"/>
        </w:sectPr>
      </w:pPr>
    </w:p>
    <w:bookmarkStart w:id="13" w:name="page14"/>
    <w:bookmarkEnd w:id="1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7. Commitments and contingencies</w:t>
      </w:r>
    </w:p>
    <w:p>
      <w:pPr>
        <w:spacing w:after="0" w:line="191" w:lineRule="exact"/>
        <w:rPr>
          <w:sz w:val="20"/>
          <w:szCs w:val="20"/>
          <w:color w:val="auto"/>
        </w:rPr>
      </w:pPr>
    </w:p>
    <w:p>
      <w:pPr>
        <w:ind w:left="40" w:right="199" w:firstLine="356"/>
        <w:spacing w:after="0" w:line="321" w:lineRule="auto"/>
        <w:rPr>
          <w:sz w:val="20"/>
          <w:szCs w:val="20"/>
          <w:color w:val="auto"/>
        </w:rPr>
      </w:pPr>
      <w:r>
        <w:rPr>
          <w:rFonts w:ascii="Arial" w:cs="Arial" w:eastAsia="Arial" w:hAnsi="Arial"/>
          <w:sz w:val="13"/>
          <w:szCs w:val="13"/>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20" w:lineRule="exact"/>
        <w:rPr>
          <w:sz w:val="20"/>
          <w:szCs w:val="20"/>
          <w:color w:val="auto"/>
        </w:rPr>
      </w:pPr>
    </w:p>
    <w:p>
      <w:pPr>
        <w:ind w:left="40" w:right="239" w:firstLine="356"/>
        <w:spacing w:after="0" w:line="278" w:lineRule="auto"/>
        <w:rPr>
          <w:sz w:val="20"/>
          <w:szCs w:val="20"/>
          <w:color w:val="auto"/>
        </w:rPr>
      </w:pPr>
      <w:r>
        <w:rPr>
          <w:rFonts w:ascii="Arial" w:cs="Arial" w:eastAsia="Arial" w:hAnsi="Arial"/>
          <w:sz w:val="14"/>
          <w:szCs w:val="14"/>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47" w:lineRule="exact"/>
        <w:rPr>
          <w:sz w:val="20"/>
          <w:szCs w:val="20"/>
          <w:color w:val="auto"/>
        </w:rPr>
      </w:pPr>
    </w:p>
    <w:p>
      <w:pPr>
        <w:ind w:left="40" w:right="59" w:firstLine="356"/>
        <w:spacing w:after="0" w:line="274" w:lineRule="auto"/>
        <w:rPr>
          <w:sz w:val="20"/>
          <w:szCs w:val="20"/>
          <w:color w:val="auto"/>
        </w:rPr>
      </w:pPr>
      <w:r>
        <w:rPr>
          <w:rFonts w:ascii="Arial" w:cs="Arial" w:eastAsia="Arial" w:hAnsi="Arial"/>
          <w:sz w:val="15"/>
          <w:szCs w:val="15"/>
          <w:color w:val="auto"/>
        </w:rPr>
        <w:t>As of April 2, 2022, and July 3, 2021, the Company had aggregate estimated liabilities of $14.7 million classified within accrued expenses and other for such compliance-related matters that were reasonably estimable as of such dates.</w:t>
      </w:r>
    </w:p>
    <w:p>
      <w:pPr>
        <w:spacing w:after="0" w:line="146" w:lineRule="exact"/>
        <w:rPr>
          <w:sz w:val="20"/>
          <w:szCs w:val="20"/>
          <w:color w:val="auto"/>
        </w:rPr>
      </w:pPr>
    </w:p>
    <w:p>
      <w:pPr>
        <w:ind w:left="40" w:right="679" w:firstLine="356"/>
        <w:spacing w:after="0" w:line="274" w:lineRule="auto"/>
        <w:rPr>
          <w:sz w:val="20"/>
          <w:szCs w:val="20"/>
          <w:color w:val="auto"/>
        </w:rPr>
      </w:pPr>
      <w:r>
        <w:rPr>
          <w:rFonts w:ascii="Arial" w:cs="Arial" w:eastAsia="Arial" w:hAnsi="Arial"/>
          <w:sz w:val="15"/>
          <w:szCs w:val="15"/>
          <w:color w:val="auto"/>
        </w:rPr>
        <w:t>During the first nine months of fiscal 2021, the Company recorded a gain on legal settlement of $8.2 million, which is classified as a component of Restructuring, integration and other expenses.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8. Income taxes</w:t>
      </w:r>
    </w:p>
    <w:p>
      <w:pPr>
        <w:spacing w:after="0" w:line="191" w:lineRule="exact"/>
        <w:rPr>
          <w:sz w:val="20"/>
          <w:szCs w:val="20"/>
          <w:color w:val="auto"/>
        </w:rPr>
      </w:pPr>
    </w:p>
    <w:p>
      <w:pPr>
        <w:ind w:left="40" w:right="279" w:firstLine="356"/>
        <w:spacing w:after="0" w:line="310" w:lineRule="auto"/>
        <w:rPr>
          <w:sz w:val="20"/>
          <w:szCs w:val="20"/>
          <w:color w:val="auto"/>
        </w:rPr>
      </w:pPr>
      <w:r>
        <w:rPr>
          <w:rFonts w:ascii="Arial" w:cs="Arial" w:eastAsia="Arial" w:hAnsi="Arial"/>
          <w:sz w:val="14"/>
          <w:szCs w:val="14"/>
          <w:color w:val="auto"/>
        </w:rPr>
        <w:t>The Company’s effective tax rate on its income before taxes was 26.0% in the third quarter of fiscal 2022. During the third quarter of fiscal 2022, the Company’s effective tax rate was unfavorably impacted primarily by the mix of income in higher tax jurisdictions.</w:t>
      </w:r>
    </w:p>
    <w:p>
      <w:pPr>
        <w:spacing w:after="0" w:line="124" w:lineRule="exact"/>
        <w:rPr>
          <w:sz w:val="20"/>
          <w:szCs w:val="20"/>
          <w:color w:val="auto"/>
        </w:rPr>
      </w:pPr>
    </w:p>
    <w:p>
      <w:pPr>
        <w:ind w:left="40" w:right="259" w:firstLine="356"/>
        <w:spacing w:after="0" w:line="289" w:lineRule="auto"/>
        <w:rPr>
          <w:sz w:val="20"/>
          <w:szCs w:val="20"/>
          <w:color w:val="auto"/>
        </w:rPr>
      </w:pPr>
      <w:r>
        <w:rPr>
          <w:rFonts w:ascii="Arial" w:cs="Arial" w:eastAsia="Arial" w:hAnsi="Arial"/>
          <w:sz w:val="14"/>
          <w:szCs w:val="14"/>
          <w:color w:val="auto"/>
        </w:rPr>
        <w:t>During the third quarter of fiscal 2021, the Company’s effective tax rate on its income before taxes was a benefit of 53.3%. The Company’s effective tax rate was favorably impacted primarily by (i) the tax benefit arising from the reduction in value of certain businesses for income tax purposes and (ii) decreases to valuation allowances, partially offset by (iii) increases to unrecognized tax benefit reserves.</w:t>
      </w:r>
    </w:p>
    <w:p>
      <w:pPr>
        <w:spacing w:after="0" w:line="138" w:lineRule="exact"/>
        <w:rPr>
          <w:sz w:val="20"/>
          <w:szCs w:val="20"/>
          <w:color w:val="auto"/>
        </w:rPr>
      </w:pPr>
    </w:p>
    <w:p>
      <w:pPr>
        <w:ind w:left="40" w:right="179" w:firstLine="356"/>
        <w:spacing w:after="0" w:line="262" w:lineRule="auto"/>
        <w:rPr>
          <w:sz w:val="20"/>
          <w:szCs w:val="20"/>
          <w:color w:val="auto"/>
        </w:rPr>
      </w:pPr>
      <w:r>
        <w:rPr>
          <w:rFonts w:ascii="Arial" w:cs="Arial" w:eastAsia="Arial" w:hAnsi="Arial"/>
          <w:sz w:val="15"/>
          <w:szCs w:val="15"/>
          <w:color w:val="auto"/>
        </w:rPr>
        <w:t>For the first nine months of fiscal 2022, the Company’s effective tax rate on its income before taxes was 23.8%. The effective tax rate for the first nine months of fiscal 2022 was unfavorably impacted primarily by (i) the mix of income in higher tax jurisdictions and (ii) increases to valuation allowances.</w:t>
      </w:r>
    </w:p>
    <w:p>
      <w:pPr>
        <w:spacing w:after="0" w:line="155" w:lineRule="exact"/>
        <w:rPr>
          <w:sz w:val="20"/>
          <w:szCs w:val="20"/>
          <w:color w:val="auto"/>
        </w:rPr>
      </w:pPr>
    </w:p>
    <w:p>
      <w:pPr>
        <w:jc w:val="both"/>
        <w:ind w:left="40" w:right="139" w:firstLine="360"/>
        <w:spacing w:after="0" w:line="258" w:lineRule="auto"/>
        <w:rPr>
          <w:sz w:val="20"/>
          <w:szCs w:val="20"/>
          <w:color w:val="auto"/>
        </w:rPr>
      </w:pPr>
      <w:r>
        <w:rPr>
          <w:rFonts w:ascii="Arial" w:cs="Arial" w:eastAsia="Arial" w:hAnsi="Arial"/>
          <w:sz w:val="15"/>
          <w:szCs w:val="15"/>
          <w:color w:val="auto"/>
        </w:rPr>
        <w:t>During the first nine months of fiscal 2021, the Company’s effective tax rate on its income before taxes was a benefit of 32.7%. The effective tax rate for the first nine months of fiscal 2021 was favorably impacted primarily by (i) the tax benefit arising from the reduction in value of certain businesses for income tax purposes, (ii) decreases to valuation allowances, and (iii) the mix of income in lower tax jurisdictions, partially offset by (iv) increases to unrecognized tax benefit reserves.</w:t>
      </w:r>
    </w:p>
    <w:p>
      <w:pPr>
        <w:spacing w:after="0" w:line="158" w:lineRule="exact"/>
        <w:rPr>
          <w:sz w:val="20"/>
          <w:szCs w:val="20"/>
          <w:color w:val="auto"/>
        </w:rPr>
      </w:pPr>
    </w:p>
    <w:p>
      <w:pPr>
        <w:ind w:left="40" w:right="219" w:firstLine="360"/>
        <w:spacing w:after="0" w:line="274" w:lineRule="auto"/>
        <w:rPr>
          <w:sz w:val="20"/>
          <w:szCs w:val="20"/>
          <w:color w:val="auto"/>
        </w:rPr>
      </w:pPr>
      <w:r>
        <w:rPr>
          <w:rFonts w:ascii="Arial" w:cs="Arial" w:eastAsia="Arial" w:hAnsi="Arial"/>
          <w:sz w:val="15"/>
          <w:szCs w:val="15"/>
          <w:color w:val="auto"/>
        </w:rPr>
        <w:t>In January 2022, the U.S. Treasury published new regulations impacting foreign tax credit utilization. The Company has determined there is no material impact of the regulations to the Company’s financial position.</w:t>
      </w:r>
    </w:p>
    <w:p>
      <w:pPr>
        <w:spacing w:after="0" w:line="146" w:lineRule="exact"/>
        <w:rPr>
          <w:sz w:val="20"/>
          <w:szCs w:val="20"/>
          <w:color w:val="auto"/>
        </w:rPr>
      </w:pPr>
    </w:p>
    <w:p>
      <w:pPr>
        <w:ind w:left="40" w:right="219" w:firstLine="360"/>
        <w:spacing w:after="0" w:line="258" w:lineRule="auto"/>
        <w:rPr>
          <w:sz w:val="20"/>
          <w:szCs w:val="20"/>
          <w:color w:val="auto"/>
        </w:rPr>
      </w:pPr>
      <w:r>
        <w:rPr>
          <w:rFonts w:ascii="Arial" w:cs="Arial" w:eastAsia="Arial" w:hAnsi="Arial"/>
          <w:sz w:val="15"/>
          <w:szCs w:val="15"/>
          <w:color w:val="auto"/>
        </w:rPr>
        <w:t>The Company has established a full valuation allowance against its deferred tax assets in the United States. As a result of improved profitability in the United States, primarily due to the performance of the Company’s Americas business, the Company expects to release the valuation allowance established in the United States in the fourth quarter of fiscal 2022. As a result, the discrete tax benefit from the release of the valuation allowance will reduce the effective tax rate for fiscal 2022.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4" w:name="page15"/>
    <w:bookmarkEnd w:id="1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9. Pension plan</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has a noncontributory defined benefit pension plan that covers substantially all current or former U.S. employees (the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Components of net periodic pension cost for the Plan was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5"/>
                <w:szCs w:val="15"/>
                <w:b w:val="1"/>
                <w:bCs w:val="1"/>
                <w:color w:val="auto"/>
              </w:rPr>
              <w:t>Third Quarters Ended</w:t>
            </w:r>
          </w:p>
        </w:tc>
        <w:tc>
          <w:tcPr>
            <w:tcW w:w="300" w:type="dxa"/>
            <w:vAlign w:val="bottom"/>
          </w:tcPr>
          <w:p>
            <w:pPr>
              <w:spacing w:after="0"/>
              <w:rPr>
                <w:sz w:val="17"/>
                <w:szCs w:val="17"/>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36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580"/>
              <w:spacing w:after="0" w:line="166" w:lineRule="exact"/>
              <w:rPr>
                <w:sz w:val="20"/>
                <w:szCs w:val="20"/>
                <w:color w:val="auto"/>
              </w:rPr>
            </w:pPr>
            <w:r>
              <w:rPr>
                <w:rFonts w:ascii="Arial" w:cs="Arial" w:eastAsia="Arial" w:hAnsi="Arial"/>
                <w:sz w:val="15"/>
                <w:szCs w:val="15"/>
                <w:b w:val="1"/>
                <w:bCs w:val="1"/>
                <w:color w:val="auto"/>
              </w:rPr>
              <w:t>April 2,</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05"/>
              <w:spacing w:after="0" w:line="166" w:lineRule="exact"/>
              <w:rPr>
                <w:sz w:val="20"/>
                <w:szCs w:val="20"/>
                <w:color w:val="auto"/>
              </w:rPr>
            </w:pPr>
            <w:r>
              <w:rPr>
                <w:rFonts w:ascii="Arial" w:cs="Arial" w:eastAsia="Arial" w:hAnsi="Arial"/>
                <w:sz w:val="15"/>
                <w:szCs w:val="15"/>
                <w:b w:val="1"/>
                <w:bCs w:val="1"/>
                <w:color w:val="auto"/>
              </w:rPr>
              <w:t>April 3,</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560"/>
              <w:spacing w:after="0" w:line="166" w:lineRule="exact"/>
              <w:rPr>
                <w:sz w:val="20"/>
                <w:szCs w:val="20"/>
                <w:color w:val="auto"/>
              </w:rPr>
            </w:pPr>
            <w:r>
              <w:rPr>
                <w:rFonts w:ascii="Arial" w:cs="Arial" w:eastAsia="Arial" w:hAnsi="Arial"/>
                <w:sz w:val="15"/>
                <w:szCs w:val="15"/>
                <w:b w:val="1"/>
                <w:bCs w:val="1"/>
                <w:color w:val="auto"/>
              </w:rPr>
              <w:t>April 2,</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25"/>
              <w:spacing w:after="0" w:line="166" w:lineRule="exact"/>
              <w:rPr>
                <w:sz w:val="20"/>
                <w:szCs w:val="20"/>
                <w:color w:val="auto"/>
              </w:rPr>
            </w:pPr>
            <w:r>
              <w:rPr>
                <w:rFonts w:ascii="Arial" w:cs="Arial" w:eastAsia="Arial" w:hAnsi="Arial"/>
                <w:sz w:val="15"/>
                <w:szCs w:val="15"/>
                <w:b w:val="1"/>
                <w:bCs w:val="1"/>
                <w:color w:val="auto"/>
              </w:rPr>
              <w:t>April 3,</w:t>
            </w:r>
          </w:p>
        </w:tc>
        <w:tc>
          <w:tcPr>
            <w:tcW w:w="20" w:type="dxa"/>
            <w:vAlign w:val="bottom"/>
          </w:tcPr>
          <w:p>
            <w:pPr>
              <w:spacing w:after="0"/>
              <w:rPr>
                <w:sz w:val="14"/>
                <w:szCs w:val="14"/>
                <w:color w:val="auto"/>
              </w:rPr>
            </w:pPr>
          </w:p>
        </w:tc>
      </w:tr>
      <w:tr>
        <w:trPr>
          <w:trHeight w:val="197"/>
        </w:trPr>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r>
      <w:tr>
        <w:trPr>
          <w:trHeight w:val="169"/>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spacing w:after="0" w:line="169" w:lineRule="exact"/>
              <w:rPr>
                <w:sz w:val="20"/>
                <w:szCs w:val="20"/>
                <w:color w:val="auto"/>
              </w:rPr>
            </w:pPr>
            <w:r>
              <w:rPr>
                <w:rFonts w:ascii="Arial" w:cs="Arial" w:eastAsia="Arial" w:hAnsi="Arial"/>
                <w:sz w:val="15"/>
                <w:szCs w:val="15"/>
                <w:b w:val="1"/>
                <w:bCs w:val="1"/>
                <w:color w:val="auto"/>
              </w:rPr>
              <w:t>(Thousands)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Service cost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11,255</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11,813</w:t>
            </w:r>
          </w:p>
        </w:tc>
        <w:tc>
          <w:tcPr>
            <w:tcW w:w="20" w:type="dxa"/>
            <w:vAlign w:val="bottom"/>
          </w:tcPr>
          <w:p>
            <w:pPr>
              <w:spacing w:after="0"/>
              <w:rPr>
                <w:sz w:val="17"/>
                <w:szCs w:val="17"/>
                <w:color w:val="auto"/>
              </w:rPr>
            </w:pPr>
          </w:p>
        </w:tc>
      </w:tr>
      <w:tr>
        <w:trPr>
          <w:trHeight w:val="141"/>
        </w:trPr>
        <w:tc>
          <w:tcPr>
            <w:tcW w:w="3640" w:type="dxa"/>
            <w:vAlign w:val="bottom"/>
          </w:tcPr>
          <w:p>
            <w:pPr>
              <w:ind w:left="100"/>
              <w:spacing w:after="0" w:line="141" w:lineRule="exact"/>
              <w:rPr>
                <w:sz w:val="20"/>
                <w:szCs w:val="20"/>
                <w:color w:val="auto"/>
              </w:rPr>
            </w:pPr>
            <w:r>
              <w:rPr>
                <w:rFonts w:ascii="Arial" w:cs="Arial" w:eastAsia="Arial" w:hAnsi="Arial"/>
                <w:sz w:val="15"/>
                <w:szCs w:val="15"/>
                <w:color w:val="auto"/>
              </w:rPr>
              <w:t>Total net periodic pension cost within selling, general</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3640" w:type="dxa"/>
            <w:vAlign w:val="bottom"/>
          </w:tcPr>
          <w:p>
            <w:pPr>
              <w:ind w:left="100"/>
              <w:spacing w:after="0"/>
              <w:rPr>
                <w:sz w:val="20"/>
                <w:szCs w:val="20"/>
                <w:color w:val="auto"/>
              </w:rPr>
            </w:pPr>
            <w:r>
              <w:rPr>
                <w:rFonts w:ascii="Arial" w:cs="Arial" w:eastAsia="Arial" w:hAnsi="Arial"/>
                <w:sz w:val="15"/>
                <w:szCs w:val="15"/>
                <w:color w:val="auto"/>
              </w:rPr>
              <w:t>and administrative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3,752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11,255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11,813</w:t>
            </w:r>
          </w:p>
        </w:tc>
        <w:tc>
          <w:tcPr>
            <w:tcW w:w="20" w:type="dxa"/>
            <w:vAlign w:val="bottom"/>
          </w:tcPr>
          <w:p>
            <w:pPr>
              <w:spacing w:after="0"/>
              <w:rPr>
                <w:sz w:val="16"/>
                <w:szCs w:val="16"/>
                <w:color w:val="auto"/>
              </w:rPr>
            </w:pPr>
          </w:p>
        </w:tc>
      </w:tr>
      <w:tr>
        <w:trPr>
          <w:trHeight w:val="180"/>
        </w:trPr>
        <w:tc>
          <w:tcPr>
            <w:tcW w:w="3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640" w:type="dxa"/>
            <w:vAlign w:val="bottom"/>
          </w:tcPr>
          <w:p>
            <w:pPr>
              <w:spacing w:after="0"/>
              <w:rPr>
                <w:sz w:val="20"/>
                <w:szCs w:val="20"/>
                <w:color w:val="auto"/>
              </w:rPr>
            </w:pPr>
            <w:r>
              <w:rPr>
                <w:rFonts w:ascii="Arial" w:cs="Arial" w:eastAsia="Arial" w:hAnsi="Arial"/>
                <w:sz w:val="15"/>
                <w:szCs w:val="15"/>
                <w:color w:val="auto"/>
              </w:rPr>
              <w:t>Interest cost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3,947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11,928</w:t>
            </w:r>
          </w:p>
        </w:tc>
        <w:tc>
          <w:tcPr>
            <w:tcW w:w="20" w:type="dxa"/>
            <w:vAlign w:val="bottom"/>
          </w:tcPr>
          <w:p>
            <w:pPr>
              <w:spacing w:after="0"/>
              <w:rPr>
                <w:sz w:val="15"/>
                <w:szCs w:val="15"/>
                <w:color w:val="auto"/>
              </w:rPr>
            </w:pPr>
          </w:p>
        </w:tc>
      </w:tr>
      <w:tr>
        <w:trPr>
          <w:trHeight w:val="180"/>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(12,284)</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(12,421)</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(36,852)</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(37,261)</w:t>
            </w:r>
          </w:p>
        </w:tc>
        <w:tc>
          <w:tcPr>
            <w:tcW w:w="20" w:type="dxa"/>
            <w:vAlign w:val="bottom"/>
          </w:tcPr>
          <w:p>
            <w:pPr>
              <w:spacing w:after="0"/>
              <w:rPr>
                <w:sz w:val="15"/>
                <w:szCs w:val="15"/>
                <w:color w:val="auto"/>
              </w:rPr>
            </w:pPr>
          </w:p>
        </w:tc>
      </w:tr>
      <w:tr>
        <w:trPr>
          <w:trHeight w:val="180"/>
        </w:trPr>
        <w:tc>
          <w:tcPr>
            <w:tcW w:w="364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226</w:t>
            </w:r>
          </w:p>
        </w:tc>
        <w:tc>
          <w:tcPr>
            <w:tcW w:w="20" w:type="dxa"/>
            <w:vAlign w:val="bottom"/>
          </w:tcPr>
          <w:p>
            <w:pPr>
              <w:spacing w:after="0"/>
              <w:rPr>
                <w:sz w:val="15"/>
                <w:szCs w:val="15"/>
                <w:color w:val="auto"/>
              </w:rPr>
            </w:pPr>
          </w:p>
        </w:tc>
      </w:tr>
      <w:tr>
        <w:trPr>
          <w:trHeight w:val="20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Recognized net actuarial loss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12,257</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15,453</w:t>
            </w:r>
          </w:p>
        </w:tc>
        <w:tc>
          <w:tcPr>
            <w:tcW w:w="20" w:type="dxa"/>
            <w:vAlign w:val="bottom"/>
          </w:tcPr>
          <w:p>
            <w:pPr>
              <w:spacing w:after="0"/>
              <w:rPr>
                <w:sz w:val="17"/>
                <w:szCs w:val="17"/>
                <w:color w:val="auto"/>
              </w:rPr>
            </w:pPr>
          </w:p>
        </w:tc>
      </w:tr>
      <w:tr>
        <w:trPr>
          <w:trHeight w:val="141"/>
        </w:trPr>
        <w:tc>
          <w:tcPr>
            <w:tcW w:w="3640" w:type="dxa"/>
            <w:vAlign w:val="bottom"/>
          </w:tcPr>
          <w:p>
            <w:pPr>
              <w:ind w:left="100"/>
              <w:spacing w:after="0" w:line="141" w:lineRule="exact"/>
              <w:rPr>
                <w:sz w:val="20"/>
                <w:szCs w:val="20"/>
                <w:color w:val="auto"/>
              </w:rPr>
            </w:pPr>
            <w:r>
              <w:rPr>
                <w:rFonts w:ascii="Arial" w:cs="Arial" w:eastAsia="Arial" w:hAnsi="Arial"/>
                <w:sz w:val="15"/>
                <w:szCs w:val="15"/>
                <w:color w:val="auto"/>
                <w:w w:val="95"/>
              </w:rPr>
              <w:t>Total net periodic pension benefit within other expense,</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3640" w:type="dxa"/>
            <w:vAlign w:val="bottom"/>
          </w:tcPr>
          <w:p>
            <w:pPr>
              <w:ind w:left="100"/>
              <w:spacing w:after="0"/>
              <w:rPr>
                <w:sz w:val="20"/>
                <w:szCs w:val="20"/>
                <w:color w:val="auto"/>
              </w:rPr>
            </w:pPr>
            <w:r>
              <w:rPr>
                <w:rFonts w:ascii="Arial" w:cs="Arial" w:eastAsia="Arial" w:hAnsi="Arial"/>
                <w:sz w:val="15"/>
                <w:szCs w:val="15"/>
                <w:color w:val="auto"/>
              </w:rPr>
              <w:t>net</w:t>
            </w:r>
          </w:p>
        </w:tc>
        <w:tc>
          <w:tcPr>
            <w:tcW w:w="2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(4,251)</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(3,219)</w:t>
            </w:r>
          </w:p>
        </w:tc>
        <w:tc>
          <w:tcPr>
            <w:tcW w:w="3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(12,751)</w:t>
            </w: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(9,654)</w:t>
            </w:r>
          </w:p>
        </w:tc>
      </w:tr>
      <w:tr>
        <w:trPr>
          <w:trHeight w:val="200"/>
        </w:trPr>
        <w:tc>
          <w:tcPr>
            <w:tcW w:w="3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3640" w:type="dxa"/>
            <w:vAlign w:val="bottom"/>
          </w:tcPr>
          <w:p>
            <w:pPr>
              <w:ind w:left="100"/>
              <w:spacing w:after="0" w:line="162" w:lineRule="exact"/>
              <w:rPr>
                <w:sz w:val="20"/>
                <w:szCs w:val="20"/>
                <w:color w:val="auto"/>
              </w:rPr>
            </w:pPr>
            <w:r>
              <w:rPr>
                <w:rFonts w:ascii="Arial" w:cs="Arial" w:eastAsia="Arial" w:hAnsi="Arial"/>
                <w:sz w:val="15"/>
                <w:szCs w:val="15"/>
                <w:color w:val="auto"/>
              </w:rPr>
              <w:t>Net periodic pension (benefit) cost</w:t>
            </w:r>
          </w:p>
        </w:tc>
        <w:tc>
          <w:tcPr>
            <w:tcW w:w="220" w:type="dxa"/>
            <w:vAlign w:val="bottom"/>
            <w:tcBorders>
              <w:bottom w:val="single" w:sz="8" w:color="auto"/>
            </w:tcBorders>
          </w:tcPr>
          <w:p>
            <w:pPr>
              <w:jc w:val="right"/>
              <w:ind w:right="65"/>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(499)</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85"/>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719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5"/>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(1,496)</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45"/>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2,159</w:t>
            </w:r>
          </w:p>
        </w:tc>
        <w:tc>
          <w:tcPr>
            <w:tcW w:w="20" w:type="dxa"/>
            <w:vAlign w:val="bottom"/>
          </w:tcPr>
          <w:p>
            <w:pPr>
              <w:spacing w:after="0"/>
              <w:rPr>
                <w:sz w:val="14"/>
                <w:szCs w:val="14"/>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8" w:lineRule="exact"/>
        <w:rPr>
          <w:sz w:val="20"/>
          <w:szCs w:val="20"/>
          <w:color w:val="auto"/>
        </w:rPr>
      </w:pPr>
    </w:p>
    <w:p>
      <w:pPr>
        <w:ind w:left="40" w:right="139" w:firstLine="356"/>
        <w:spacing w:after="0" w:line="274" w:lineRule="auto"/>
        <w:rPr>
          <w:sz w:val="20"/>
          <w:szCs w:val="20"/>
          <w:color w:val="auto"/>
        </w:rPr>
      </w:pPr>
      <w:r>
        <w:rPr>
          <w:rFonts w:ascii="Arial" w:cs="Arial" w:eastAsia="Arial" w:hAnsi="Arial"/>
          <w:sz w:val="15"/>
          <w:szCs w:val="15"/>
          <w:color w:val="auto"/>
        </w:rPr>
        <w:t>The Company made $12.0 million of contributions during the first nine months of fiscal 2022 and expects to make additional contributions to the Plan of $2.0 million in the fourth quarter of fiscal 2022.</w:t>
      </w:r>
    </w:p>
    <w:p>
      <w:pPr>
        <w:spacing w:after="0" w:line="142" w:lineRule="exact"/>
        <w:rPr>
          <w:sz w:val="20"/>
          <w:szCs w:val="20"/>
          <w:color w:val="auto"/>
        </w:rPr>
      </w:pPr>
    </w:p>
    <w:p>
      <w:pPr>
        <w:ind w:left="400" w:right="7019" w:hanging="364"/>
        <w:spacing w:after="0" w:line="580" w:lineRule="auto"/>
        <w:tabs>
          <w:tab w:leader="none" w:pos="269"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Shareholders’ equity </w:t>
      </w:r>
      <w:r>
        <w:rPr>
          <w:rFonts w:ascii="Arial" w:cs="Arial" w:eastAsia="Arial" w:hAnsi="Arial"/>
          <w:sz w:val="13"/>
          <w:szCs w:val="13"/>
          <w:i w:val="1"/>
          <w:iCs w:val="1"/>
          <w:color w:val="auto"/>
        </w:rPr>
        <w:t>Share repurchase program</w:t>
      </w:r>
    </w:p>
    <w:p>
      <w:pPr>
        <w:spacing w:after="0" w:line="1" w:lineRule="exact"/>
        <w:rPr>
          <w:sz w:val="20"/>
          <w:szCs w:val="20"/>
          <w:color w:val="auto"/>
        </w:rPr>
      </w:pPr>
    </w:p>
    <w:p>
      <w:pPr>
        <w:ind w:left="40" w:right="159" w:firstLine="356"/>
        <w:spacing w:after="0" w:line="255" w:lineRule="auto"/>
        <w:rPr>
          <w:sz w:val="20"/>
          <w:szCs w:val="20"/>
          <w:color w:val="auto"/>
        </w:rPr>
      </w:pPr>
      <w:r>
        <w:rPr>
          <w:rFonts w:ascii="Arial" w:cs="Arial" w:eastAsia="Arial" w:hAnsi="Arial"/>
          <w:sz w:val="15"/>
          <w:szCs w:val="15"/>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third quarter ended April 2, 2022, the Company repurchased 1.1 million shares under this program for a total cost of $45.1 million. As of April 2, 2022, the Company had $378.0 million remaining under its share repurchase authorization.</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Common stock dividend</w:t>
      </w:r>
    </w:p>
    <w:p>
      <w:pPr>
        <w:spacing w:after="0" w:line="187" w:lineRule="exact"/>
        <w:rPr>
          <w:sz w:val="20"/>
          <w:szCs w:val="20"/>
          <w:color w:val="auto"/>
        </w:rPr>
      </w:pPr>
    </w:p>
    <w:p>
      <w:pPr>
        <w:ind w:left="40" w:right="59" w:firstLine="360"/>
        <w:spacing w:after="0" w:line="274" w:lineRule="auto"/>
        <w:rPr>
          <w:sz w:val="20"/>
          <w:szCs w:val="20"/>
          <w:color w:val="auto"/>
        </w:rPr>
      </w:pPr>
      <w:r>
        <w:rPr>
          <w:rFonts w:ascii="Arial" w:cs="Arial" w:eastAsia="Arial" w:hAnsi="Arial"/>
          <w:sz w:val="15"/>
          <w:szCs w:val="15"/>
          <w:color w:val="auto"/>
        </w:rPr>
        <w:t>In February 2022, the Company’s Board of Directors approved a dividend of $0.26 per common share and dividend payments of $25.6 million were made in March 2022.</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86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6"/>
        </w:trPr>
        <w:tc>
          <w:tcPr>
            <w:tcW w:w="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720" w:type="dxa"/>
            <w:vAlign w:val="bottom"/>
            <w:gridSpan w:val="3"/>
          </w:tcPr>
          <w:p>
            <w:pPr>
              <w:jc w:val="center"/>
              <w:ind w:left="2025"/>
              <w:spacing w:after="0"/>
              <w:rPr>
                <w:sz w:val="20"/>
                <w:szCs w:val="20"/>
                <w:color w:val="auto"/>
              </w:rPr>
            </w:pPr>
            <w:r>
              <w:rPr>
                <w:rFonts w:ascii="Arial" w:cs="Arial" w:eastAsia="Arial" w:hAnsi="Arial"/>
                <w:sz w:val="15"/>
                <w:szCs w:val="15"/>
                <w:b w:val="1"/>
                <w:bCs w:val="1"/>
                <w:color w:val="auto"/>
                <w:w w:val="98"/>
              </w:rPr>
              <w:t>AVNET, INC. AND SUBSIDIARIES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gridSpan w:val="9"/>
          </w:tcPr>
          <w:p>
            <w:pPr>
              <w:jc w:val="center"/>
              <w:ind w:left="825"/>
              <w:spacing w:after="0"/>
              <w:rPr>
                <w:sz w:val="20"/>
                <w:szCs w:val="20"/>
                <w:color w:val="auto"/>
              </w:rPr>
            </w:pPr>
            <w:r>
              <w:rPr>
                <w:rFonts w:ascii="Arial" w:cs="Arial" w:eastAsia="Arial" w:hAnsi="Arial"/>
                <w:sz w:val="15"/>
                <w:szCs w:val="15"/>
                <w:b w:val="1"/>
                <w:bCs w:val="1"/>
                <w:color w:val="auto"/>
                <w:w w:val="98"/>
              </w:rPr>
              <w:t>NOTES TO CONSOLIDATED FINANCIAL STATEMENTS - (Continued)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5"/>
                <w:szCs w:val="15"/>
                <w:b w:val="1"/>
                <w:bCs w:val="1"/>
                <w:color w:val="auto"/>
              </w:rPr>
              <w:t>11. Earnings per share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7"/>
          </w:tcPr>
          <w:p>
            <w:pPr>
              <w:ind w:left="140"/>
              <w:spacing w:after="0"/>
              <w:rPr>
                <w:sz w:val="20"/>
                <w:szCs w:val="20"/>
                <w:color w:val="auto"/>
              </w:rPr>
            </w:pPr>
            <w:r>
              <w:rPr>
                <w:rFonts w:ascii="Arial" w:cs="Arial" w:eastAsia="Arial" w:hAnsi="Arial"/>
                <w:sz w:val="15"/>
                <w:szCs w:val="15"/>
                <w:b w:val="1"/>
                <w:bCs w:val="1"/>
                <w:color w:val="auto"/>
              </w:rPr>
              <w:t>Third Quarters Ended</w:t>
            </w:r>
          </w:p>
        </w:tc>
        <w:tc>
          <w:tcPr>
            <w:tcW w:w="100" w:type="dxa"/>
            <w:vAlign w:val="bottom"/>
          </w:tcPr>
          <w:p>
            <w:pPr>
              <w:spacing w:after="0"/>
              <w:rPr>
                <w:sz w:val="24"/>
                <w:szCs w:val="24"/>
                <w:color w:val="auto"/>
              </w:rPr>
            </w:pPr>
          </w:p>
        </w:tc>
        <w:tc>
          <w:tcPr>
            <w:tcW w:w="1900" w:type="dxa"/>
            <w:vAlign w:val="bottom"/>
            <w:gridSpan w:val="7"/>
          </w:tcPr>
          <w:p>
            <w:pPr>
              <w:jc w:val="center"/>
              <w:ind w:right="100"/>
              <w:spacing w:after="0"/>
              <w:rPr>
                <w:sz w:val="20"/>
                <w:szCs w:val="20"/>
                <w:color w:val="auto"/>
              </w:rPr>
            </w:pPr>
            <w:r>
              <w:rPr>
                <w:rFonts w:ascii="Arial" w:cs="Arial" w:eastAsia="Arial" w:hAnsi="Arial"/>
                <w:sz w:val="15"/>
                <w:szCs w:val="15"/>
                <w:b w:val="1"/>
                <w:bCs w:val="1"/>
                <w:color w:val="auto"/>
                <w:w w:val="91"/>
              </w:rPr>
              <w:t>Nine Months Ended</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05"/>
              <w:spacing w:after="0" w:line="166" w:lineRule="exact"/>
              <w:rPr>
                <w:sz w:val="20"/>
                <w:szCs w:val="20"/>
                <w:color w:val="auto"/>
              </w:rPr>
            </w:pPr>
            <w:r>
              <w:rPr>
                <w:rFonts w:ascii="Arial" w:cs="Arial" w:eastAsia="Arial" w:hAnsi="Arial"/>
                <w:sz w:val="15"/>
                <w:szCs w:val="15"/>
                <w:b w:val="1"/>
                <w:bCs w:val="1"/>
                <w:color w:val="auto"/>
              </w:rPr>
              <w:t>April 2,</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140"/>
              <w:spacing w:after="0" w:line="166" w:lineRule="exact"/>
              <w:rPr>
                <w:sz w:val="20"/>
                <w:szCs w:val="20"/>
                <w:color w:val="auto"/>
              </w:rPr>
            </w:pPr>
            <w:r>
              <w:rPr>
                <w:rFonts w:ascii="Arial" w:cs="Arial" w:eastAsia="Arial" w:hAnsi="Arial"/>
                <w:sz w:val="15"/>
                <w:szCs w:val="15"/>
                <w:b w:val="1"/>
                <w:bCs w:val="1"/>
                <w:color w:val="auto"/>
                <w:w w:val="94"/>
              </w:rPr>
              <w:t>April 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120"/>
              <w:spacing w:after="0" w:line="166" w:lineRule="exact"/>
              <w:rPr>
                <w:sz w:val="20"/>
                <w:szCs w:val="20"/>
                <w:color w:val="auto"/>
              </w:rPr>
            </w:pPr>
            <w:r>
              <w:rPr>
                <w:rFonts w:ascii="Arial" w:cs="Arial" w:eastAsia="Arial" w:hAnsi="Arial"/>
                <w:sz w:val="15"/>
                <w:szCs w:val="15"/>
                <w:b w:val="1"/>
                <w:bCs w:val="1"/>
                <w:color w:val="auto"/>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100"/>
              <w:spacing w:after="0" w:line="166" w:lineRule="exact"/>
              <w:rPr>
                <w:sz w:val="20"/>
                <w:szCs w:val="20"/>
                <w:color w:val="auto"/>
              </w:rPr>
            </w:pPr>
            <w:r>
              <w:rPr>
                <w:rFonts w:ascii="Arial" w:cs="Arial" w:eastAsia="Arial" w:hAnsi="Arial"/>
                <w:sz w:val="15"/>
                <w:szCs w:val="15"/>
                <w:b w:val="1"/>
                <w:bCs w:val="1"/>
                <w:color w:val="auto"/>
              </w:rPr>
              <w:t>April 3,</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spacing w:after="0" w:line="169" w:lineRule="exact"/>
              <w:rPr>
                <w:sz w:val="20"/>
                <w:szCs w:val="20"/>
                <w:color w:val="auto"/>
              </w:rPr>
            </w:pPr>
            <w:r>
              <w:rPr>
                <w:rFonts w:ascii="Arial" w:cs="Arial" w:eastAsia="Arial" w:hAnsi="Arial"/>
                <w:sz w:val="15"/>
                <w:szCs w:val="15"/>
                <w:b w:val="1"/>
                <w:bCs w:val="1"/>
                <w:color w:val="auto"/>
                <w:w w:val="72"/>
              </w:rPr>
              <w:t>(Thousands, except</w:t>
            </w:r>
          </w:p>
        </w:tc>
        <w:tc>
          <w:tcPr>
            <w:tcW w:w="1040" w:type="dxa"/>
            <w:vAlign w:val="bottom"/>
            <w:gridSpan w:val="5"/>
          </w:tcPr>
          <w:p>
            <w:pPr>
              <w:ind w:left="100"/>
              <w:spacing w:after="0" w:line="169" w:lineRule="exact"/>
              <w:rPr>
                <w:sz w:val="20"/>
                <w:szCs w:val="20"/>
                <w:color w:val="auto"/>
              </w:rPr>
            </w:pPr>
            <w:r>
              <w:rPr>
                <w:rFonts w:ascii="Arial" w:cs="Arial" w:eastAsia="Arial" w:hAnsi="Arial"/>
                <w:sz w:val="15"/>
                <w:szCs w:val="15"/>
                <w:b w:val="1"/>
                <w:bCs w:val="1"/>
                <w:color w:val="auto"/>
                <w:w w:val="85"/>
              </w:rPr>
              <w:t>per share data)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Numerator:</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00" w:type="dxa"/>
            <w:vAlign w:val="bottom"/>
            <w:gridSpan w:val="3"/>
          </w:tcPr>
          <w:p>
            <w:pPr>
              <w:spacing w:after="0"/>
              <w:rPr>
                <w:sz w:val="20"/>
                <w:szCs w:val="20"/>
                <w:color w:val="auto"/>
              </w:rPr>
            </w:pPr>
            <w:r>
              <w:rPr>
                <w:rFonts w:ascii="Arial" w:cs="Arial" w:eastAsia="Arial" w:hAnsi="Arial"/>
                <w:sz w:val="15"/>
                <w:szCs w:val="15"/>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183,417</w:t>
            </w:r>
          </w:p>
        </w:tc>
        <w:tc>
          <w:tcPr>
            <w:tcW w:w="320" w:type="dxa"/>
            <w:vAlign w:val="bottom"/>
            <w:gridSpan w:val="3"/>
          </w:tcPr>
          <w:p>
            <w:pPr>
              <w:ind w:lef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107,484</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445,556</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107,759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gridSpan w:val="3"/>
          </w:tcPr>
          <w:p>
            <w:pPr>
              <w:spacing w:after="0"/>
              <w:rPr>
                <w:sz w:val="20"/>
                <w:szCs w:val="20"/>
                <w:color w:val="auto"/>
              </w:rPr>
            </w:pPr>
            <w:r>
              <w:rPr>
                <w:rFonts w:ascii="Arial" w:cs="Arial" w:eastAsia="Arial" w:hAnsi="Arial"/>
                <w:sz w:val="15"/>
                <w:szCs w:val="15"/>
                <w:color w:val="auto"/>
              </w:rPr>
              <w:t>Denominator:</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Weighted average common shares for basic earnings per share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98,659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99,542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99,113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0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Net effect of dilutive stock-based compensation awards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705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1,183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Weighted average common shares for diluted earnings per share</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99,486</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100,247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100,296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100,013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5"/>
                <w:szCs w:val="15"/>
                <w:color w:val="auto"/>
              </w:rPr>
              <w:t>Basic earnings per share</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0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line="154"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1.86</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gridSpan w:val="2"/>
          </w:tcPr>
          <w:p>
            <w:pPr>
              <w:jc w:val="right"/>
              <w:ind w:right="40"/>
              <w:spacing w:after="0" w:line="154" w:lineRule="exact"/>
              <w:rPr>
                <w:sz w:val="20"/>
                <w:szCs w:val="20"/>
                <w:color w:val="auto"/>
              </w:rPr>
            </w:pPr>
            <w:r>
              <w:rPr>
                <w:rFonts w:ascii="Arial" w:cs="Arial" w:eastAsia="Arial" w:hAnsi="Arial"/>
                <w:sz w:val="15"/>
                <w:szCs w:val="15"/>
                <w:color w:val="auto"/>
              </w:rPr>
              <w:t>1.08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gridSpan w:val="2"/>
          </w:tcPr>
          <w:p>
            <w:pPr>
              <w:jc w:val="right"/>
              <w:ind w:right="40"/>
              <w:spacing w:after="0" w:line="154" w:lineRule="exact"/>
              <w:rPr>
                <w:sz w:val="20"/>
                <w:szCs w:val="20"/>
                <w:color w:val="auto"/>
              </w:rPr>
            </w:pPr>
            <w:r>
              <w:rPr>
                <w:rFonts w:ascii="Arial" w:cs="Arial" w:eastAsia="Arial" w:hAnsi="Arial"/>
                <w:sz w:val="15"/>
                <w:szCs w:val="15"/>
                <w:color w:val="auto"/>
              </w:rPr>
              <w:t>4.50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1.09</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gridSpan w:val="3"/>
            <w:shd w:val="clear" w:color="auto" w:fill="CCEEFF"/>
          </w:tcPr>
          <w:p>
            <w:pPr>
              <w:spacing w:after="0" w:line="154" w:lineRule="exact"/>
              <w:rPr>
                <w:sz w:val="20"/>
                <w:szCs w:val="20"/>
                <w:color w:val="auto"/>
              </w:rPr>
            </w:pPr>
            <w:r>
              <w:rPr>
                <w:rFonts w:ascii="Arial" w:cs="Arial" w:eastAsia="Arial" w:hAnsi="Arial"/>
                <w:sz w:val="15"/>
                <w:szCs w:val="15"/>
                <w:color w:val="auto"/>
              </w:rPr>
              <w:t>Diluted earnings per share</w:t>
            </w:r>
          </w:p>
        </w:tc>
        <w:tc>
          <w:tcPr>
            <w:tcW w:w="160" w:type="dxa"/>
            <w:vAlign w:val="bottom"/>
            <w:tcBorders>
              <w:bottom w:val="single" w:sz="8" w:color="auto"/>
            </w:tcBorders>
            <w:shd w:val="clear" w:color="auto" w:fill="CCEEFF"/>
          </w:tcPr>
          <w:p>
            <w:pPr>
              <w:jc w:val="right"/>
              <w:ind w:right="5"/>
              <w:spacing w:after="0" w:line="154"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1.84</w:t>
            </w: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line="154"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4.44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1.08</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line="161" w:lineRule="exact"/>
              <w:rPr>
                <w:sz w:val="20"/>
                <w:szCs w:val="20"/>
                <w:color w:val="auto"/>
              </w:rPr>
            </w:pPr>
            <w:r>
              <w:rPr>
                <w:rFonts w:ascii="Arial" w:cs="Arial" w:eastAsia="Arial" w:hAnsi="Arial"/>
                <w:sz w:val="15"/>
                <w:szCs w:val="15"/>
                <w:color w:val="auto"/>
                <w:w w:val="94"/>
              </w:rPr>
              <w:t>Stock options excluded from earnings per share calculation due to anti-dilutive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00" w:type="dxa"/>
            <w:vAlign w:val="bottom"/>
            <w:gridSpan w:val="3"/>
          </w:tcPr>
          <w:p>
            <w:pPr>
              <w:spacing w:after="0"/>
              <w:rPr>
                <w:sz w:val="20"/>
                <w:szCs w:val="20"/>
                <w:color w:val="auto"/>
              </w:rPr>
            </w:pPr>
            <w:r>
              <w:rPr>
                <w:rFonts w:ascii="Arial" w:cs="Arial" w:eastAsia="Arial" w:hAnsi="Arial"/>
                <w:sz w:val="15"/>
                <w:szCs w:val="15"/>
                <w:color w:val="auto"/>
              </w:rPr>
              <w:t>effect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642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5"/>
                <w:szCs w:val="15"/>
                <w:b w:val="1"/>
                <w:bCs w:val="1"/>
                <w:color w:val="auto"/>
              </w:rPr>
              <w:t>12. Additional cash flow information</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6980" w:type="dxa"/>
            <w:vAlign w:val="bottom"/>
            <w:gridSpan w:val="10"/>
          </w:tcPr>
          <w:p>
            <w:pPr>
              <w:ind w:left="360"/>
              <w:spacing w:after="0"/>
              <w:rPr>
                <w:sz w:val="20"/>
                <w:szCs w:val="20"/>
                <w:color w:val="auto"/>
              </w:rPr>
            </w:pPr>
            <w:r>
              <w:rPr>
                <w:rFonts w:ascii="Arial" w:cs="Arial" w:eastAsia="Arial" w:hAnsi="Arial"/>
                <w:sz w:val="15"/>
                <w:szCs w:val="15"/>
                <w:color w:val="auto"/>
                <w:w w:val="99"/>
              </w:rPr>
              <w:t>Non-cash investing and financing activities and supplemental cash flow information were as follows: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7"/>
          </w:tcPr>
          <w:p>
            <w:pPr>
              <w:ind w:left="1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ind w:left="20"/>
              <w:spacing w:after="0" w:line="166" w:lineRule="exact"/>
              <w:rPr>
                <w:sz w:val="20"/>
                <w:szCs w:val="20"/>
                <w:color w:val="auto"/>
              </w:rPr>
            </w:pPr>
            <w:r>
              <w:rPr>
                <w:rFonts w:ascii="Arial" w:cs="Arial" w:eastAsia="Arial" w:hAnsi="Arial"/>
                <w:sz w:val="15"/>
                <w:szCs w:val="15"/>
                <w:b w:val="1"/>
                <w:bCs w:val="1"/>
                <w:color w:val="auto"/>
              </w:rPr>
              <w:t>April 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05"/>
              <w:spacing w:after="0" w:line="166" w:lineRule="exact"/>
              <w:rPr>
                <w:sz w:val="20"/>
                <w:szCs w:val="20"/>
                <w:color w:val="auto"/>
              </w:rPr>
            </w:pPr>
            <w:r>
              <w:rPr>
                <w:rFonts w:ascii="Arial" w:cs="Arial" w:eastAsia="Arial" w:hAnsi="Arial"/>
                <w:sz w:val="15"/>
                <w:szCs w:val="15"/>
                <w:b w:val="1"/>
                <w:bCs w:val="1"/>
                <w:color w:val="auto"/>
              </w:rPr>
              <w:t>April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w w:val="89"/>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45"/>
              <w:spacing w:after="0" w:line="169" w:lineRule="exact"/>
              <w:rPr>
                <w:sz w:val="20"/>
                <w:szCs w:val="20"/>
                <w:color w:val="auto"/>
              </w:rPr>
            </w:pPr>
            <w:r>
              <w:rPr>
                <w:rFonts w:ascii="Arial" w:cs="Arial" w:eastAsia="Arial" w:hAnsi="Arial"/>
                <w:sz w:val="15"/>
                <w:szCs w:val="15"/>
                <w:b w:val="1"/>
                <w:bCs w:val="1"/>
                <w:color w:val="auto"/>
              </w:rPr>
              <w:t>(Thousands)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Non-cash Investing Activities: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60" w:type="dxa"/>
            <w:vAlign w:val="bottom"/>
            <w:gridSpan w:val="2"/>
          </w:tcPr>
          <w:p>
            <w:pPr>
              <w:ind w:left="60"/>
              <w:spacing w:after="0"/>
              <w:rPr>
                <w:sz w:val="20"/>
                <w:szCs w:val="20"/>
                <w:color w:val="auto"/>
              </w:rPr>
            </w:pPr>
            <w:r>
              <w:rPr>
                <w:rFonts w:ascii="Arial" w:cs="Arial" w:eastAsia="Arial" w:hAnsi="Arial"/>
                <w:sz w:val="15"/>
                <w:szCs w:val="15"/>
                <w:color w:val="auto"/>
              </w:rPr>
              <w:t>Capital expenditures incurred but not paid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5,393</w:t>
            </w:r>
          </w:p>
        </w:tc>
        <w:tc>
          <w:tcPr>
            <w:tcW w:w="180" w:type="dxa"/>
            <w:vAlign w:val="bottom"/>
          </w:tcPr>
          <w:p>
            <w:pPr>
              <w:spacing w:after="0"/>
              <w:rPr>
                <w:sz w:val="15"/>
                <w:szCs w:val="15"/>
                <w:color w:val="auto"/>
              </w:rPr>
            </w:pPr>
          </w:p>
        </w:tc>
        <w:tc>
          <w:tcPr>
            <w:tcW w:w="1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Non-cash Financing Activities: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60" w:type="dxa"/>
            <w:vAlign w:val="bottom"/>
            <w:gridSpan w:val="2"/>
          </w:tcPr>
          <w:p>
            <w:pPr>
              <w:ind w:left="60"/>
              <w:spacing w:after="0"/>
              <w:rPr>
                <w:sz w:val="20"/>
                <w:szCs w:val="20"/>
                <w:color w:val="auto"/>
              </w:rPr>
            </w:pPr>
            <w:r>
              <w:rPr>
                <w:rFonts w:ascii="Arial" w:cs="Arial" w:eastAsia="Arial" w:hAnsi="Arial"/>
                <w:sz w:val="15"/>
                <w:szCs w:val="15"/>
                <w:color w:val="auto"/>
              </w:rPr>
              <w:t>Unsettled share repurchases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Supplemental Cash Flow Information:</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60" w:type="dxa"/>
            <w:vAlign w:val="bottom"/>
            <w:gridSpan w:val="2"/>
          </w:tcPr>
          <w:p>
            <w:pPr>
              <w:ind w:left="60"/>
              <w:spacing w:after="0"/>
              <w:rPr>
                <w:sz w:val="20"/>
                <w:szCs w:val="20"/>
                <w:color w:val="auto"/>
              </w:rPr>
            </w:pPr>
            <w:r>
              <w:rPr>
                <w:rFonts w:ascii="Arial" w:cs="Arial" w:eastAsia="Arial" w:hAnsi="Arial"/>
                <w:sz w:val="15"/>
                <w:szCs w:val="15"/>
                <w:color w:val="auto"/>
              </w:rPr>
              <w:t>Interest</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65,514</w:t>
            </w:r>
          </w:p>
        </w:tc>
        <w:tc>
          <w:tcPr>
            <w:tcW w:w="180" w:type="dxa"/>
            <w:vAlign w:val="bottom"/>
          </w:tcPr>
          <w:p>
            <w:pPr>
              <w:spacing w:after="0"/>
              <w:rPr>
                <w:sz w:val="15"/>
                <w:szCs w:val="15"/>
                <w:color w:val="auto"/>
              </w:rPr>
            </w:pPr>
          </w:p>
        </w:tc>
        <w:tc>
          <w:tcPr>
            <w:tcW w:w="10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61,127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8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Income tax net payments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111,351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 w:right="739" w:firstLine="360"/>
        <w:spacing w:after="0" w:line="310" w:lineRule="auto"/>
        <w:rPr>
          <w:sz w:val="20"/>
          <w:szCs w:val="20"/>
          <w:color w:val="auto"/>
        </w:rPr>
      </w:pPr>
      <w:r>
        <w:rPr>
          <w:rFonts w:ascii="Arial" w:cs="Arial" w:eastAsia="Arial" w:hAnsi="Arial"/>
          <w:sz w:val="14"/>
          <w:szCs w:val="14"/>
          <w:color w:val="auto"/>
        </w:rPr>
        <w:t>Included in cash and cash equivalents as of April 2, 2022, and July 3, 2021, was $3.7 million and $3.8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62" w:right="1440" w:bottom="1440" w:gutter="0" w:footer="0" w:header="0"/>
        </w:sectPr>
      </w:pPr>
    </w:p>
    <w:bookmarkStart w:id="16" w:name="page17"/>
    <w:bookmarkEnd w:id="1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AVNET,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13. Segment information</w:t>
      </w:r>
    </w:p>
    <w:p>
      <w:pPr>
        <w:spacing w:after="0" w:line="191" w:lineRule="exact"/>
        <w:rPr>
          <w:sz w:val="20"/>
          <w:szCs w:val="20"/>
          <w:color w:val="auto"/>
        </w:rPr>
      </w:pPr>
    </w:p>
    <w:p>
      <w:pPr>
        <w:jc w:val="both"/>
        <w:ind w:left="40" w:right="99" w:firstLine="356"/>
        <w:spacing w:after="0" w:line="258" w:lineRule="auto"/>
        <w:rPr>
          <w:sz w:val="20"/>
          <w:szCs w:val="20"/>
          <w:color w:val="auto"/>
        </w:rPr>
      </w:pPr>
      <w:r>
        <w:rPr>
          <w:rFonts w:ascii="Arial" w:cs="Arial" w:eastAsia="Arial" w:hAnsi="Arial"/>
          <w:sz w:val="15"/>
          <w:szCs w:val="15"/>
          <w:color w:val="auto"/>
        </w:rPr>
        <w:t>Electronic Components (“EC”) and Farnell (“Farnell”) are the Company’s reportable segments (“operating groups”). EC markets and sells (i) semiconductors, (ii) interconnect, passive and electromechanical devices, and (iii) integrated components, to a diverse customer base serving many end-markets. Farnell distributes electronic components and related products to the electronic system design community utilizing multi-channel sales and marketing resources.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5"/>
                <w:szCs w:val="15"/>
                <w:b w:val="1"/>
                <w:bCs w:val="1"/>
                <w:color w:val="auto"/>
              </w:rPr>
              <w:t>Third Quarters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ind w:left="300"/>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45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300"/>
              <w:spacing w:after="0" w:line="166" w:lineRule="exact"/>
              <w:rPr>
                <w:sz w:val="20"/>
                <w:szCs w:val="20"/>
                <w:color w:val="auto"/>
              </w:rPr>
            </w:pPr>
            <w:r>
              <w:rPr>
                <w:rFonts w:ascii="Arial" w:cs="Arial" w:eastAsia="Arial" w:hAnsi="Arial"/>
                <w:sz w:val="15"/>
                <w:szCs w:val="15"/>
                <w:b w:val="1"/>
                <w:bCs w:val="1"/>
                <w:color w:val="auto"/>
              </w:rPr>
              <w:t>April 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45"/>
              <w:spacing w:after="0" w:line="166" w:lineRule="exact"/>
              <w:rPr>
                <w:sz w:val="20"/>
                <w:szCs w:val="20"/>
                <w:color w:val="auto"/>
              </w:rPr>
            </w:pPr>
            <w:r>
              <w:rPr>
                <w:rFonts w:ascii="Arial" w:cs="Arial" w:eastAsia="Arial" w:hAnsi="Arial"/>
                <w:sz w:val="15"/>
                <w:szCs w:val="15"/>
                <w:b w:val="1"/>
                <w:bCs w:val="1"/>
                <w:color w:val="auto"/>
              </w:rPr>
              <w:t>April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440"/>
              <w:spacing w:after="0" w:line="166" w:lineRule="exact"/>
              <w:rPr>
                <w:sz w:val="20"/>
                <w:szCs w:val="20"/>
                <w:color w:val="auto"/>
              </w:rPr>
            </w:pPr>
            <w:r>
              <w:rPr>
                <w:rFonts w:ascii="Arial" w:cs="Arial" w:eastAsia="Arial" w:hAnsi="Arial"/>
                <w:sz w:val="15"/>
                <w:szCs w:val="15"/>
                <w:b w:val="1"/>
                <w:bCs w:val="1"/>
                <w:color w:val="auto"/>
              </w:rPr>
              <w:t>April 2,</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85"/>
              <w:spacing w:after="0" w:line="166" w:lineRule="exact"/>
              <w:rPr>
                <w:sz w:val="20"/>
                <w:szCs w:val="20"/>
                <w:color w:val="auto"/>
              </w:rPr>
            </w:pPr>
            <w:r>
              <w:rPr>
                <w:rFonts w:ascii="Arial" w:cs="Arial" w:eastAsia="Arial" w:hAnsi="Arial"/>
                <w:sz w:val="15"/>
                <w:szCs w:val="15"/>
                <w:b w:val="1"/>
                <w:bCs w:val="1"/>
                <w:color w:val="auto"/>
              </w:rPr>
              <w:t>April 3,</w:t>
            </w:r>
          </w:p>
        </w:tc>
        <w:tc>
          <w:tcPr>
            <w:tcW w:w="20" w:type="dxa"/>
            <w:vAlign w:val="bottom"/>
          </w:tcPr>
          <w:p>
            <w:pPr>
              <w:spacing w:after="0"/>
              <w:rPr>
                <w:sz w:val="14"/>
                <w:szCs w:val="14"/>
                <w:color w:val="auto"/>
              </w:rPr>
            </w:pPr>
          </w:p>
        </w:tc>
      </w:tr>
      <w:tr>
        <w:trPr>
          <w:trHeight w:val="197"/>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r>
      <w:tr>
        <w:trPr>
          <w:trHeight w:val="169"/>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525"/>
              <w:spacing w:after="0" w:line="169" w:lineRule="exact"/>
              <w:rPr>
                <w:sz w:val="20"/>
                <w:szCs w:val="20"/>
                <w:color w:val="auto"/>
              </w:rPr>
            </w:pPr>
            <w:r>
              <w:rPr>
                <w:rFonts w:ascii="Arial" w:cs="Arial" w:eastAsia="Arial" w:hAnsi="Arial"/>
                <w:sz w:val="15"/>
                <w:szCs w:val="15"/>
                <w:b w:val="1"/>
                <w:bCs w:val="1"/>
                <w:color w:val="auto"/>
              </w:rPr>
              <w:t>(Thousands)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500" w:type="dxa"/>
            <w:vAlign w:val="bottom"/>
          </w:tcPr>
          <w:p>
            <w:pPr>
              <w:spacing w:after="0"/>
              <w:rPr>
                <w:sz w:val="20"/>
                <w:szCs w:val="20"/>
                <w:color w:val="auto"/>
              </w:rPr>
            </w:pPr>
            <w:r>
              <w:rPr>
                <w:rFonts w:ascii="Arial" w:cs="Arial" w:eastAsia="Arial" w:hAnsi="Arial"/>
                <w:sz w:val="15"/>
                <w:szCs w:val="15"/>
                <w:color w:val="auto"/>
              </w:rPr>
              <w:t>Electronic Components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6,019,094</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4,520,608</w:t>
            </w:r>
          </w:p>
        </w:tc>
        <w:tc>
          <w:tcPr>
            <w:tcW w:w="10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16,572,940</w:t>
            </w:r>
          </w:p>
        </w:tc>
        <w:tc>
          <w:tcPr>
            <w:tcW w:w="18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13,245,143</w:t>
            </w:r>
          </w:p>
        </w:tc>
        <w:tc>
          <w:tcPr>
            <w:tcW w:w="20" w:type="dxa"/>
            <w:vAlign w:val="bottom"/>
          </w:tcPr>
          <w:p>
            <w:pPr>
              <w:spacing w:after="0"/>
              <w:rPr>
                <w:sz w:val="15"/>
                <w:szCs w:val="15"/>
                <w:color w:val="auto"/>
              </w:rPr>
            </w:pPr>
          </w:p>
        </w:tc>
      </w:tr>
      <w:tr>
        <w:trPr>
          <w:trHeight w:val="182"/>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Farnell</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469,049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396,106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1,365,115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1,062,802</w:t>
            </w:r>
          </w:p>
        </w:tc>
        <w:tc>
          <w:tcPr>
            <w:tcW w:w="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6,488,143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4,916,714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17,938,055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14,307,945</w:t>
            </w:r>
          </w:p>
        </w:tc>
        <w:tc>
          <w:tcPr>
            <w:tcW w:w="20" w:type="dxa"/>
            <w:vAlign w:val="bottom"/>
          </w:tcPr>
          <w:p>
            <w:pPr>
              <w:spacing w:after="0"/>
              <w:rPr>
                <w:sz w:val="15"/>
                <w:szCs w:val="15"/>
                <w:color w:val="auto"/>
              </w:rPr>
            </w:pPr>
          </w:p>
        </w:tc>
      </w:tr>
      <w:tr>
        <w:trPr>
          <w:trHeight w:val="18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500" w:type="dxa"/>
            <w:vAlign w:val="bottom"/>
          </w:tcPr>
          <w:p>
            <w:pPr>
              <w:spacing w:after="0"/>
              <w:rPr>
                <w:sz w:val="20"/>
                <w:szCs w:val="20"/>
                <w:color w:val="auto"/>
              </w:rPr>
            </w:pPr>
            <w:r>
              <w:rPr>
                <w:rFonts w:ascii="Arial" w:cs="Arial" w:eastAsia="Arial" w:hAnsi="Arial"/>
                <w:sz w:val="15"/>
                <w:szCs w:val="15"/>
                <w:color w:val="auto"/>
              </w:rPr>
              <w:t>Electronic Components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265,017</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118,565</w:t>
            </w:r>
          </w:p>
        </w:tc>
        <w:tc>
          <w:tcPr>
            <w:tcW w:w="10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616,383</w:t>
            </w:r>
          </w:p>
        </w:tc>
        <w:tc>
          <w:tcPr>
            <w:tcW w:w="18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306,927</w:t>
            </w:r>
          </w:p>
        </w:tc>
        <w:tc>
          <w:tcPr>
            <w:tcW w:w="20" w:type="dxa"/>
            <w:vAlign w:val="bottom"/>
          </w:tcPr>
          <w:p>
            <w:pPr>
              <w:spacing w:after="0"/>
              <w:rPr>
                <w:sz w:val="15"/>
                <w:szCs w:val="15"/>
                <w:color w:val="auto"/>
              </w:rPr>
            </w:pPr>
          </w:p>
        </w:tc>
      </w:tr>
      <w:tr>
        <w:trPr>
          <w:trHeight w:val="182"/>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Farnell</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69,817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23,861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179,598</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50,412</w:t>
            </w:r>
          </w:p>
        </w:tc>
        <w:tc>
          <w:tcPr>
            <w:tcW w:w="2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334,834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142,426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795,981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357,339</w:t>
            </w:r>
          </w:p>
        </w:tc>
        <w:tc>
          <w:tcPr>
            <w:tcW w:w="20" w:type="dxa"/>
            <w:vAlign w:val="bottom"/>
          </w:tcPr>
          <w:p>
            <w:pPr>
              <w:spacing w:after="0"/>
              <w:rPr>
                <w:sz w:val="15"/>
                <w:szCs w:val="15"/>
                <w:color w:val="auto"/>
              </w:rPr>
            </w:pPr>
          </w:p>
        </w:tc>
      </w:tr>
      <w:tr>
        <w:trPr>
          <w:trHeight w:val="18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Corporate</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(31,091)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(31,885)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(98,016)</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(102,114)</w:t>
            </w:r>
          </w:p>
        </w:tc>
        <w:tc>
          <w:tcPr>
            <w:tcW w:w="20" w:type="dxa"/>
            <w:vAlign w:val="bottom"/>
          </w:tcPr>
          <w:p>
            <w:pPr>
              <w:spacing w:after="0"/>
              <w:rPr>
                <w:sz w:val="15"/>
                <w:szCs w:val="15"/>
                <w:color w:val="auto"/>
              </w:rPr>
            </w:pPr>
          </w:p>
        </w:tc>
      </w:tr>
      <w:tr>
        <w:trPr>
          <w:trHeight w:val="180"/>
        </w:trPr>
        <w:tc>
          <w:tcPr>
            <w:tcW w:w="4500" w:type="dxa"/>
            <w:vAlign w:val="bottom"/>
          </w:tcPr>
          <w:p>
            <w:pPr>
              <w:spacing w:after="0"/>
              <w:rPr>
                <w:sz w:val="20"/>
                <w:szCs w:val="20"/>
                <w:color w:val="auto"/>
              </w:rPr>
            </w:pPr>
            <w:r>
              <w:rPr>
                <w:rFonts w:ascii="Arial" w:cs="Arial" w:eastAsia="Arial" w:hAnsi="Arial"/>
                <w:sz w:val="15"/>
                <w:szCs w:val="15"/>
                <w:color w:val="auto"/>
              </w:rPr>
              <w:t>Restructuring, integration and other expenses</w:t>
            </w:r>
          </w:p>
        </w:tc>
        <w:tc>
          <w:tcPr>
            <w:tcW w:w="1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(17,574)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(5,272)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(55,943)</w:t>
            </w:r>
          </w:p>
        </w:tc>
        <w:tc>
          <w:tcPr>
            <w:tcW w:w="20" w:type="dxa"/>
            <w:vAlign w:val="bottom"/>
          </w:tcPr>
          <w:p>
            <w:pPr>
              <w:spacing w:after="0"/>
              <w:rPr>
                <w:sz w:val="15"/>
                <w:szCs w:val="15"/>
                <w:color w:val="auto"/>
              </w:rPr>
            </w:pPr>
          </w:p>
        </w:tc>
      </w:tr>
      <w:tr>
        <w:trPr>
          <w:trHeight w:val="18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Russian-Ukraine conflict related expenses</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(26,261)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(26,261)</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2"/>
        </w:trPr>
        <w:tc>
          <w:tcPr>
            <w:tcW w:w="4500" w:type="dxa"/>
            <w:vAlign w:val="bottom"/>
          </w:tcPr>
          <w:p>
            <w:pPr>
              <w:spacing w:after="0"/>
              <w:rPr>
                <w:sz w:val="20"/>
                <w:szCs w:val="20"/>
                <w:color w:val="auto"/>
              </w:rPr>
            </w:pPr>
            <w:r>
              <w:rPr>
                <w:rFonts w:ascii="Arial" w:cs="Arial" w:eastAsia="Arial" w:hAnsi="Arial"/>
                <w:sz w:val="15"/>
                <w:szCs w:val="15"/>
                <w:color w:val="auto"/>
              </w:rPr>
              <w:t>Amortization of acquired intangible assets and other</w:t>
            </w: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(3,074)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(5,283)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(12,109)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(35,875)</w:t>
            </w:r>
          </w:p>
        </w:tc>
        <w:tc>
          <w:tcPr>
            <w:tcW w:w="20" w:type="dxa"/>
            <w:vAlign w:val="bottom"/>
          </w:tcPr>
          <w:p>
            <w:pPr>
              <w:spacing w:after="0"/>
              <w:rPr>
                <w:sz w:val="15"/>
                <w:szCs w:val="15"/>
                <w:color w:val="auto"/>
              </w:rPr>
            </w:pPr>
          </w:p>
        </w:tc>
      </w:tr>
      <w:tr>
        <w:trPr>
          <w:trHeight w:val="18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274,408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654,323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163,407</w:t>
            </w:r>
          </w:p>
        </w:tc>
        <w:tc>
          <w:tcPr>
            <w:tcW w:w="2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Sales, by geographic area:</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500" w:type="dxa"/>
            <w:vAlign w:val="bottom"/>
          </w:tcPr>
          <w:p>
            <w:pPr>
              <w:ind w:left="80"/>
              <w:spacing w:after="0" w:line="180" w:lineRule="exact"/>
              <w:rPr>
                <w:sz w:val="20"/>
                <w:szCs w:val="20"/>
                <w:color w:val="auto"/>
              </w:rPr>
            </w:pPr>
            <w:r>
              <w:rPr>
                <w:rFonts w:ascii="Arial" w:cs="Arial" w:eastAsia="Arial" w:hAnsi="Arial"/>
                <w:sz w:val="14"/>
                <w:szCs w:val="14"/>
                <w:color w:val="auto"/>
              </w:rPr>
              <w:t xml:space="preserve">Americas </w:t>
            </w:r>
            <w:r>
              <w:rPr>
                <w:rFonts w:ascii="Arial" w:cs="Arial" w:eastAsia="Arial" w:hAnsi="Arial"/>
                <w:sz w:val="20"/>
                <w:szCs w:val="2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1,627,251</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1,160,973</w:t>
            </w:r>
          </w:p>
        </w:tc>
        <w:tc>
          <w:tcPr>
            <w:tcW w:w="100" w:type="dxa"/>
            <w:vAlign w:val="bottom"/>
          </w:tcPr>
          <w:p>
            <w:pPr>
              <w:spacing w:after="0"/>
              <w:rPr>
                <w:sz w:val="15"/>
                <w:szCs w:val="15"/>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4,277,630</w:t>
            </w:r>
          </w:p>
        </w:tc>
        <w:tc>
          <w:tcPr>
            <w:tcW w:w="18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3,468,118</w:t>
            </w:r>
          </w:p>
        </w:tc>
        <w:tc>
          <w:tcPr>
            <w:tcW w:w="20" w:type="dxa"/>
            <w:vAlign w:val="bottom"/>
          </w:tcPr>
          <w:p>
            <w:pPr>
              <w:spacing w:after="0"/>
              <w:rPr>
                <w:sz w:val="15"/>
                <w:szCs w:val="15"/>
                <w:color w:val="auto"/>
              </w:rPr>
            </w:pPr>
          </w:p>
        </w:tc>
      </w:tr>
      <w:tr>
        <w:trPr>
          <w:trHeight w:val="180"/>
        </w:trPr>
        <w:tc>
          <w:tcPr>
            <w:tcW w:w="4500" w:type="dxa"/>
            <w:vAlign w:val="bottom"/>
            <w:shd w:val="clear" w:color="auto" w:fill="CCEEFF"/>
          </w:tcPr>
          <w:p>
            <w:pPr>
              <w:ind w:left="80"/>
              <w:spacing w:after="0" w:line="180"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2,185,728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1,585,631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5,774,095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4,412,652</w:t>
            </w:r>
          </w:p>
        </w:tc>
        <w:tc>
          <w:tcPr>
            <w:tcW w:w="20" w:type="dxa"/>
            <w:vAlign w:val="bottom"/>
          </w:tcPr>
          <w:p>
            <w:pPr>
              <w:spacing w:after="0"/>
              <w:rPr>
                <w:sz w:val="15"/>
                <w:szCs w:val="15"/>
                <w:color w:val="auto"/>
              </w:rPr>
            </w:pPr>
          </w:p>
        </w:tc>
      </w:tr>
      <w:tr>
        <w:trPr>
          <w:trHeight w:val="182"/>
        </w:trPr>
        <w:tc>
          <w:tcPr>
            <w:tcW w:w="4500" w:type="dxa"/>
            <w:vAlign w:val="bottom"/>
            <w:tcBorders>
              <w:bottom w:val="single" w:sz="8" w:color="CCEEFF"/>
            </w:tcBorders>
          </w:tcPr>
          <w:p>
            <w:pPr>
              <w:ind w:left="80"/>
              <w:spacing w:after="0" w:line="180" w:lineRule="exact"/>
              <w:rPr>
                <w:sz w:val="20"/>
                <w:szCs w:val="20"/>
                <w:color w:val="auto"/>
              </w:rPr>
            </w:pPr>
            <w:r>
              <w:rPr>
                <w:rFonts w:ascii="Arial" w:cs="Arial" w:eastAsia="Arial" w:hAnsi="Arial"/>
                <w:sz w:val="14"/>
                <w:szCs w:val="14"/>
                <w:color w:val="auto"/>
              </w:rPr>
              <w:t xml:space="preserve">Asia/Pacific </w:t>
            </w:r>
            <w:r>
              <w:rPr>
                <w:rFonts w:ascii="Arial" w:cs="Arial" w:eastAsia="Arial" w:hAnsi="Arial"/>
                <w:sz w:val="20"/>
                <w:szCs w:val="20"/>
                <w:color w:val="auto"/>
                <w:vertAlign w:val="superscript"/>
              </w:rPr>
              <w:t>(3)</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2,675,164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2,170,110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7,886,330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6,427,175</w:t>
            </w:r>
          </w:p>
        </w:tc>
        <w:tc>
          <w:tcPr>
            <w:tcW w:w="20" w:type="dxa"/>
            <w:vAlign w:val="bottom"/>
          </w:tcPr>
          <w:p>
            <w:pPr>
              <w:spacing w:after="0"/>
              <w:rPr>
                <w:sz w:val="15"/>
                <w:szCs w:val="15"/>
                <w:color w:val="auto"/>
              </w:rPr>
            </w:pPr>
          </w:p>
        </w:tc>
      </w:tr>
      <w:tr>
        <w:trPr>
          <w:trHeight w:val="180"/>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6,488,143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4,916,714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17,938,055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14,307,945</w:t>
            </w:r>
          </w:p>
        </w:tc>
        <w:tc>
          <w:tcPr>
            <w:tcW w:w="2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114300</wp:posOffset>
            </wp:positionV>
            <wp:extent cx="141414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13970"/>
                    </a:xfrm>
                    <a:prstGeom prst="rect">
                      <a:avLst/>
                    </a:prstGeom>
                    <a:noFill/>
                  </pic:spPr>
                </pic:pic>
              </a:graphicData>
            </a:graphic>
          </wp:anchor>
        </w:drawing>
      </w:r>
    </w:p>
    <w:p>
      <w:pPr>
        <w:spacing w:after="0" w:line="262" w:lineRule="exact"/>
        <w:rPr>
          <w:sz w:val="20"/>
          <w:szCs w:val="20"/>
          <w:color w:val="auto"/>
        </w:rPr>
      </w:pPr>
    </w:p>
    <w:p>
      <w:pPr>
        <w:ind w:left="300" w:right="699" w:hanging="264"/>
        <w:spacing w:after="0" w:line="220"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Includes sales from the United States of $1.52 billion and $1.08 billion for the third quarters ended April 2, 2022, and April 3, 2021, respectively. Includes sales from the United States of $3.97 billion and $3.24 billion for the first nine months of fiscal 2022 and 2021, respectively.</w:t>
      </w:r>
    </w:p>
    <w:p>
      <w:pPr>
        <w:spacing w:after="0" w:line="171" w:lineRule="exact"/>
        <w:rPr>
          <w:rFonts w:ascii="Arial" w:cs="Arial" w:eastAsia="Arial" w:hAnsi="Arial"/>
          <w:sz w:val="22"/>
          <w:szCs w:val="22"/>
          <w:color w:val="auto"/>
          <w:vertAlign w:val="superscript"/>
        </w:rPr>
      </w:pPr>
    </w:p>
    <w:p>
      <w:pPr>
        <w:ind w:left="300" w:right="299" w:hanging="264"/>
        <w:spacing w:after="0" w:line="227"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Includes sales from Germany and Belgium of $880.5 million and $369.1 million, respectively, for the third quarter ended April 2, 2022; and $2.32 billion and $1.01 billion, respectively, for the first nine months of fiscal 2022. Includes sales from Germany and Belgium of $619.4 million and $276.4 million, respectively, for the third quarter ended April 3, 2021; and $1.71 billion and $825.8 million, respectively, for the first nine months of fiscal 2021.</w:t>
      </w:r>
    </w:p>
    <w:p>
      <w:pPr>
        <w:spacing w:after="0" w:line="170" w:lineRule="exact"/>
        <w:rPr>
          <w:rFonts w:ascii="Arial" w:cs="Arial" w:eastAsia="Arial" w:hAnsi="Arial"/>
          <w:sz w:val="22"/>
          <w:szCs w:val="22"/>
          <w:color w:val="auto"/>
          <w:vertAlign w:val="superscript"/>
        </w:rPr>
      </w:pPr>
    </w:p>
    <w:p>
      <w:pPr>
        <w:ind w:left="300" w:right="159" w:hanging="264"/>
        <w:spacing w:after="0" w:line="231"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Includes sales from China (including Hong Kong), Taiwan and Singapore of $823.2 million, $1.17 billion and $354.7 million, respectively, for the third quarter ended April 2, 2022; and $2.51 billion, $3.50 billion and $942.2 million, respectively, for the first nine months of fiscal 2022. Includes sales from China (including Hong Kong), Taiwan and Singapore of $717.7 million, $956.8 million and $249.5 million, respectively, for the third quarter ended April 3, 2021; and $2.02 billion, $2.95 billion and $774.1 million, respectively, for the first nine months of fiscal 2021.</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7" w:name="page18"/>
    <w:bookmarkEnd w:id="17"/>
    <w:tbl>
      <w:tblPr>
        <w:tblLayout w:type="fixed"/>
        <w:tblInd w:w="100" w:type="dxa"/>
        <w:tblCellMar>
          <w:top w:w="0" w:type="dxa"/>
          <w:left w:w="0" w:type="dxa"/>
          <w:bottom w:w="0" w:type="dxa"/>
          <w:right w:w="0" w:type="dxa"/>
        </w:tblCellMar>
      </w:tblPr>
      <w:tr>
        <w:trPr>
          <w:trHeight w:val="172"/>
        </w:trPr>
        <w:tc>
          <w:tcPr>
            <w:tcW w:w="6100" w:type="dxa"/>
            <w:vAlign w:val="bottom"/>
            <w:gridSpan w:val="2"/>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76"/>
        </w:trPr>
        <w:tc>
          <w:tcPr>
            <w:tcW w:w="1060" w:type="dxa"/>
            <w:vAlign w:val="bottom"/>
            <w:tcBorders>
              <w:top w:val="single" w:sz="8" w:color="0000EE"/>
            </w:tcBorders>
          </w:tcPr>
          <w:p>
            <w:pPr>
              <w:spacing w:after="0"/>
              <w:rPr>
                <w:sz w:val="24"/>
                <w:szCs w:val="24"/>
                <w:color w:val="auto"/>
              </w:rPr>
            </w:pPr>
          </w:p>
        </w:tc>
        <w:tc>
          <w:tcPr>
            <w:tcW w:w="5040" w:type="dxa"/>
            <w:vAlign w:val="bottom"/>
          </w:tcPr>
          <w:p>
            <w:pPr>
              <w:ind w:left="2240"/>
              <w:spacing w:after="0"/>
              <w:rPr>
                <w:sz w:val="20"/>
                <w:szCs w:val="20"/>
                <w:color w:val="auto"/>
              </w:rPr>
            </w:pPr>
            <w:r>
              <w:rPr>
                <w:rFonts w:ascii="Arial" w:cs="Arial" w:eastAsia="Arial" w:hAnsi="Arial"/>
                <w:sz w:val="15"/>
                <w:szCs w:val="15"/>
                <w:b w:val="1"/>
                <w:bCs w:val="1"/>
                <w:color w:val="auto"/>
              </w:rPr>
              <w:t>AVNET, INC. AND SUBSIDIARIES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6600" w:type="dxa"/>
            <w:vAlign w:val="bottom"/>
            <w:gridSpan w:val="4"/>
          </w:tcPr>
          <w:p>
            <w:pPr>
              <w:jc w:val="right"/>
              <w:ind w:right="705"/>
              <w:spacing w:after="0"/>
              <w:rPr>
                <w:sz w:val="20"/>
                <w:szCs w:val="20"/>
                <w:color w:val="auto"/>
              </w:rPr>
            </w:pPr>
            <w:r>
              <w:rPr>
                <w:rFonts w:ascii="Arial" w:cs="Arial" w:eastAsia="Arial" w:hAnsi="Arial"/>
                <w:sz w:val="15"/>
                <w:szCs w:val="15"/>
                <w:b w:val="1"/>
                <w:bCs w:val="1"/>
                <w:color w:val="auto"/>
              </w:rPr>
              <w:t>NOTES TO CONSOLIDATED FINANCIAL STATEMENTS - (Continued)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69"/>
        </w:trPr>
        <w:tc>
          <w:tcPr>
            <w:tcW w:w="10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25"/>
              <w:spacing w:after="0"/>
              <w:rPr>
                <w:sz w:val="20"/>
                <w:szCs w:val="20"/>
                <w:color w:val="auto"/>
              </w:rPr>
            </w:pPr>
            <w:r>
              <w:rPr>
                <w:rFonts w:ascii="Arial" w:cs="Arial" w:eastAsia="Arial" w:hAnsi="Arial"/>
                <w:sz w:val="15"/>
                <w:szCs w:val="15"/>
                <w:b w:val="1"/>
                <w:bCs w:val="1"/>
                <w:color w:val="auto"/>
              </w:rPr>
              <w:t>April 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5"/>
                <w:szCs w:val="15"/>
                <w:b w:val="1"/>
                <w:bCs w:val="1"/>
                <w:color w:val="auto"/>
              </w:rPr>
              <w:t>July 3,</w:t>
            </w:r>
          </w:p>
        </w:tc>
      </w:tr>
      <w:tr>
        <w:trPr>
          <w:trHeight w:val="197"/>
        </w:trPr>
        <w:tc>
          <w:tcPr>
            <w:tcW w:w="10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r>
      <w:tr>
        <w:trPr>
          <w:trHeight w:val="169"/>
        </w:trPr>
        <w:tc>
          <w:tcPr>
            <w:tcW w:w="10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520"/>
              <w:spacing w:after="0" w:line="169" w:lineRule="exact"/>
              <w:rPr>
                <w:sz w:val="20"/>
                <w:szCs w:val="20"/>
                <w:color w:val="auto"/>
              </w:rPr>
            </w:pPr>
            <w:r>
              <w:rPr>
                <w:rFonts w:ascii="Arial" w:cs="Arial" w:eastAsia="Arial" w:hAnsi="Arial"/>
                <w:sz w:val="15"/>
                <w:szCs w:val="15"/>
                <w:b w:val="1"/>
                <w:bCs w:val="1"/>
                <w:color w:val="auto"/>
                <w:w w:val="71"/>
              </w:rPr>
              <w:t>(Thousands)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plant, and equipment, net, by geographic area:</w:t>
            </w: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6100" w:type="dxa"/>
            <w:vAlign w:val="bottom"/>
            <w:gridSpan w:val="2"/>
          </w:tcPr>
          <w:p>
            <w:pPr>
              <w:ind w:left="80"/>
              <w:spacing w:after="0" w:line="180" w:lineRule="exact"/>
              <w:rPr>
                <w:sz w:val="20"/>
                <w:szCs w:val="20"/>
                <w:color w:val="auto"/>
              </w:rPr>
            </w:pPr>
            <w:r>
              <w:rPr>
                <w:rFonts w:ascii="Arial" w:cs="Arial" w:eastAsia="Arial" w:hAnsi="Arial"/>
                <w:sz w:val="14"/>
                <w:szCs w:val="14"/>
                <w:color w:val="auto"/>
              </w:rPr>
              <w:t xml:space="preserve">Americas </w:t>
            </w:r>
            <w:r>
              <w:rPr>
                <w:rFonts w:ascii="Arial" w:cs="Arial" w:eastAsia="Arial" w:hAnsi="Arial"/>
                <w:sz w:val="20"/>
                <w:szCs w:val="20"/>
                <w:color w:val="auto"/>
                <w:vertAlign w:val="superscript"/>
              </w:rPr>
              <w:t>(1)</w:t>
            </w:r>
          </w:p>
        </w:tc>
        <w:tc>
          <w:tcPr>
            <w:tcW w:w="64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122,370</w:t>
            </w:r>
          </w:p>
        </w:tc>
        <w:tc>
          <w:tcPr>
            <w:tcW w:w="42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146,042</w:t>
            </w:r>
          </w:p>
        </w:tc>
        <w:tc>
          <w:tcPr>
            <w:tcW w:w="180" w:type="dxa"/>
            <w:vAlign w:val="bottom"/>
          </w:tcPr>
          <w:p>
            <w:pPr>
              <w:spacing w:after="0"/>
              <w:rPr>
                <w:sz w:val="15"/>
                <w:szCs w:val="15"/>
                <w:color w:val="auto"/>
              </w:rPr>
            </w:pPr>
          </w:p>
        </w:tc>
      </w:tr>
      <w:tr>
        <w:trPr>
          <w:trHeight w:val="180"/>
        </w:trPr>
        <w:tc>
          <w:tcPr>
            <w:tcW w:w="610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20"/>
                <w:szCs w:val="20"/>
                <w:color w:val="auto"/>
                <w:vertAlign w:val="superscript"/>
              </w:rPr>
              <w:t>(2)</w:t>
            </w: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170,046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185,753</w:t>
            </w:r>
          </w:p>
        </w:tc>
        <w:tc>
          <w:tcPr>
            <w:tcW w:w="180" w:type="dxa"/>
            <w:vAlign w:val="bottom"/>
            <w:shd w:val="clear" w:color="auto" w:fill="CCEEFF"/>
          </w:tcPr>
          <w:p>
            <w:pPr>
              <w:spacing w:after="0"/>
              <w:rPr>
                <w:sz w:val="15"/>
                <w:szCs w:val="15"/>
                <w:color w:val="auto"/>
              </w:rPr>
            </w:pPr>
          </w:p>
        </w:tc>
      </w:tr>
      <w:tr>
        <w:trPr>
          <w:trHeight w:val="182"/>
        </w:trPr>
        <w:tc>
          <w:tcPr>
            <w:tcW w:w="6100" w:type="dxa"/>
            <w:vAlign w:val="bottom"/>
            <w:tcBorders>
              <w:bottom w:val="single" w:sz="8" w:color="CCEEFF"/>
            </w:tcBorders>
            <w:gridSpan w:val="2"/>
          </w:tcPr>
          <w:p>
            <w:pPr>
              <w:ind w:left="80"/>
              <w:spacing w:after="0"/>
              <w:rPr>
                <w:sz w:val="20"/>
                <w:szCs w:val="20"/>
                <w:color w:val="auto"/>
              </w:rPr>
            </w:pPr>
            <w:r>
              <w:rPr>
                <w:rFonts w:ascii="Arial" w:cs="Arial" w:eastAsia="Arial" w:hAnsi="Arial"/>
                <w:sz w:val="15"/>
                <w:szCs w:val="15"/>
                <w:color w:val="auto"/>
              </w:rPr>
              <w:t>Asia/Pacific</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31,004</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36,657</w:t>
            </w:r>
          </w:p>
        </w:tc>
        <w:tc>
          <w:tcPr>
            <w:tcW w:w="180" w:type="dxa"/>
            <w:vAlign w:val="bottom"/>
            <w:tcBorders>
              <w:bottom w:val="single" w:sz="8" w:color="CCEEFF"/>
            </w:tcBorders>
          </w:tcPr>
          <w:p>
            <w:pPr>
              <w:spacing w:after="0"/>
              <w:rPr>
                <w:sz w:val="15"/>
                <w:szCs w:val="15"/>
                <w:color w:val="auto"/>
              </w:rPr>
            </w:pPr>
          </w:p>
        </w:tc>
      </w:tr>
      <w:tr>
        <w:trPr>
          <w:trHeight w:val="180"/>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4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323,420</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368,452</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114300</wp:posOffset>
            </wp:positionV>
            <wp:extent cx="141414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13970"/>
                    </a:xfrm>
                    <a:prstGeom prst="rect">
                      <a:avLst/>
                    </a:prstGeom>
                    <a:noFill/>
                  </pic:spPr>
                </pic:pic>
              </a:graphicData>
            </a:graphic>
          </wp:anchor>
        </w:drawing>
      </w:r>
    </w:p>
    <w:p>
      <w:pPr>
        <w:spacing w:after="0" w:line="262" w:lineRule="exact"/>
        <w:rPr>
          <w:sz w:val="20"/>
          <w:szCs w:val="20"/>
          <w:color w:val="auto"/>
        </w:rPr>
      </w:pPr>
    </w:p>
    <w:p>
      <w:pPr>
        <w:ind w:left="360" w:right="440" w:hanging="264"/>
        <w:spacing w:after="0" w:line="208" w:lineRule="auto"/>
        <w:tabs>
          <w:tab w:leader="none" w:pos="36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Includes property, plant and equipment, net, of $119.1 million and $142.7 million as of April 2, 2022, and July 3, 2021, respectively, in the United States.</w:t>
      </w:r>
    </w:p>
    <w:p>
      <w:pPr>
        <w:spacing w:after="0" w:line="171" w:lineRule="exact"/>
        <w:rPr>
          <w:rFonts w:ascii="Arial" w:cs="Arial" w:eastAsia="Arial" w:hAnsi="Arial"/>
          <w:sz w:val="22"/>
          <w:szCs w:val="22"/>
          <w:color w:val="auto"/>
          <w:vertAlign w:val="superscript"/>
        </w:rPr>
      </w:pPr>
    </w:p>
    <w:p>
      <w:pPr>
        <w:ind w:left="360" w:right="240" w:hanging="264"/>
        <w:spacing w:after="0" w:line="220" w:lineRule="auto"/>
        <w:tabs>
          <w:tab w:leader="none" w:pos="36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Includes property, plant and equipment, net, of $66.7 million, $80.6 million and $18.2 million in Germany, the United Kingdom and Belgium, respectively, as of April 2, 2022; and $77.9 million, $83.5 million and $20.9 million in Germany, the United Kingdom and Belgium, respectively, as of July 3, 2021.</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14. Restructuring expenses</w:t>
      </w:r>
    </w:p>
    <w:p>
      <w:pPr>
        <w:spacing w:after="0" w:line="191" w:lineRule="exact"/>
        <w:rPr>
          <w:sz w:val="20"/>
          <w:szCs w:val="20"/>
          <w:color w:val="auto"/>
        </w:rPr>
      </w:pPr>
    </w:p>
    <w:p>
      <w:pPr>
        <w:jc w:val="both"/>
        <w:ind w:left="100" w:right="100" w:firstLine="360"/>
        <w:spacing w:after="0" w:line="289" w:lineRule="auto"/>
        <w:rPr>
          <w:sz w:val="20"/>
          <w:szCs w:val="20"/>
          <w:color w:val="auto"/>
        </w:rPr>
      </w:pPr>
      <w:r>
        <w:rPr>
          <w:rFonts w:ascii="Arial" w:cs="Arial" w:eastAsia="Arial" w:hAnsi="Arial"/>
          <w:sz w:val="14"/>
          <w:szCs w:val="14"/>
          <w:color w:val="auto"/>
        </w:rPr>
        <w:t>During fiscal 2021 and prior, the Company incurred restructuring expenses related to various restructuring actions intended to achieve planned synergies from acquired businesses and to reduce future operating expenses. The following table presents the activity during the first nine months of fiscal 2022 related to the remaining restructuring liabilities established during fiscal 2021 and prior: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2"/>
              </w:rPr>
              <w:t>Facility</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and Contract</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7"/>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Severance</w:t>
            </w:r>
          </w:p>
        </w:tc>
        <w:tc>
          <w:tcPr>
            <w:tcW w:w="180" w:type="dxa"/>
            <w:vAlign w:val="bottom"/>
          </w:tcPr>
          <w:p>
            <w:pPr>
              <w:spacing w:after="0"/>
              <w:rPr>
                <w:sz w:val="17"/>
                <w:szCs w:val="17"/>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9"/>
              </w:rPr>
              <w:t>Exit Costs</w:t>
            </w:r>
          </w:p>
        </w:tc>
        <w:tc>
          <w:tcPr>
            <w:tcW w:w="300" w:type="dxa"/>
            <w:vAlign w:val="bottom"/>
          </w:tcPr>
          <w:p>
            <w:pPr>
              <w:spacing w:after="0"/>
              <w:rPr>
                <w:sz w:val="17"/>
                <w:szCs w:val="17"/>
                <w:color w:val="auto"/>
              </w:rPr>
            </w:pPr>
          </w:p>
        </w:tc>
        <w:tc>
          <w:tcPr>
            <w:tcW w:w="1100" w:type="dxa"/>
            <w:vAlign w:val="bottom"/>
          </w:tcPr>
          <w:p>
            <w:pPr>
              <w:jc w:val="right"/>
              <w:ind w:right="465"/>
              <w:spacing w:after="0"/>
              <w:rPr>
                <w:sz w:val="20"/>
                <w:szCs w:val="20"/>
                <w:color w:val="auto"/>
              </w:rPr>
            </w:pPr>
            <w:r>
              <w:rPr>
                <w:rFonts w:ascii="Arial" w:cs="Arial" w:eastAsia="Arial" w:hAnsi="Arial"/>
                <w:sz w:val="15"/>
                <w:szCs w:val="15"/>
                <w:b w:val="1"/>
                <w:bCs w:val="1"/>
                <w:color w:val="auto"/>
              </w:rPr>
              <w:t>Total</w:t>
            </w:r>
          </w:p>
        </w:tc>
      </w:tr>
      <w:tr>
        <w:trPr>
          <w:trHeight w:val="169"/>
        </w:trPr>
        <w:tc>
          <w:tcPr>
            <w:tcW w:w="4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65"/>
              <w:spacing w:after="0" w:line="169" w:lineRule="exact"/>
              <w:rPr>
                <w:sz w:val="20"/>
                <w:szCs w:val="20"/>
                <w:color w:val="auto"/>
              </w:rPr>
            </w:pPr>
            <w:r>
              <w:rPr>
                <w:rFonts w:ascii="Arial" w:cs="Arial" w:eastAsia="Arial" w:hAnsi="Arial"/>
                <w:sz w:val="15"/>
                <w:szCs w:val="15"/>
                <w:b w:val="1"/>
                <w:bCs w:val="1"/>
                <w:color w:val="auto"/>
                <w:w w:val="88"/>
              </w:rPr>
              <w:t>(Thousands)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80"/>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Balance at July 3, 2021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35,099</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39,962</w:t>
            </w:r>
          </w:p>
        </w:tc>
      </w:tr>
      <w:tr>
        <w:trPr>
          <w:trHeight w:val="180"/>
        </w:trPr>
        <w:tc>
          <w:tcPr>
            <w:tcW w:w="4380" w:type="dxa"/>
            <w:vAlign w:val="bottom"/>
          </w:tcPr>
          <w:p>
            <w:pPr>
              <w:ind w:left="100"/>
              <w:spacing w:after="0"/>
              <w:rPr>
                <w:sz w:val="20"/>
                <w:szCs w:val="20"/>
                <w:color w:val="auto"/>
              </w:rPr>
            </w:pPr>
            <w:r>
              <w:rPr>
                <w:rFonts w:ascii="Arial" w:cs="Arial" w:eastAsia="Arial" w:hAnsi="Arial"/>
                <w:sz w:val="15"/>
                <w:szCs w:val="15"/>
                <w:color w:val="auto"/>
              </w:rPr>
              <w:t>Cash payments</w:t>
            </w:r>
          </w:p>
        </w:tc>
        <w:tc>
          <w:tcPr>
            <w:tcW w:w="2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5"/>
                <w:szCs w:val="15"/>
                <w:color w:val="auto"/>
              </w:rPr>
              <w:t>(20,031)</w:t>
            </w:r>
          </w:p>
        </w:tc>
        <w:tc>
          <w:tcPr>
            <w:tcW w:w="18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5"/>
                <w:szCs w:val="15"/>
                <w:color w:val="auto"/>
              </w:rPr>
              <w:t>(2,465)</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(22,496)</w:t>
            </w:r>
          </w:p>
        </w:tc>
      </w:tr>
      <w:tr>
        <w:trPr>
          <w:trHeight w:val="180"/>
        </w:trPr>
        <w:tc>
          <w:tcPr>
            <w:tcW w:w="4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estimates, net</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(4,201)</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w:t>
            </w:r>
          </w:p>
        </w:tc>
      </w:tr>
      <w:tr>
        <w:trPr>
          <w:trHeight w:val="182"/>
        </w:trPr>
        <w:tc>
          <w:tcPr>
            <w:tcW w:w="4380" w:type="dxa"/>
            <w:vAlign w:val="bottom"/>
          </w:tcPr>
          <w:p>
            <w:pPr>
              <w:ind w:left="100"/>
              <w:spacing w:after="0"/>
              <w:rPr>
                <w:sz w:val="20"/>
                <w:szCs w:val="20"/>
                <w:color w:val="auto"/>
              </w:rPr>
            </w:pPr>
            <w:r>
              <w:rPr>
                <w:rFonts w:ascii="Arial" w:cs="Arial" w:eastAsia="Arial" w:hAnsi="Arial"/>
                <w:sz w:val="15"/>
                <w:szCs w:val="15"/>
                <w:color w:val="auto"/>
              </w:rPr>
              <w:t>Other, principally foreign currency translation</w:t>
            </w:r>
          </w:p>
        </w:tc>
        <w:tc>
          <w:tcPr>
            <w:tcW w:w="2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5"/>
                <w:szCs w:val="15"/>
                <w:color w:val="auto"/>
              </w:rPr>
              <w:t>(784)</w:t>
            </w:r>
          </w:p>
        </w:tc>
        <w:tc>
          <w:tcPr>
            <w:tcW w:w="18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5"/>
                <w:szCs w:val="15"/>
                <w:color w:val="auto"/>
              </w:rPr>
              <w:t>(94)</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(878)</w:t>
            </w:r>
          </w:p>
        </w:tc>
      </w:tr>
      <w:tr>
        <w:trPr>
          <w:trHeight w:val="180"/>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April 2, 2022</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10,083</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3,179</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13,262</w:t>
            </w: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expects the majority of the remaining amounts to be paid by the first half of fiscal 2023.</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297180</wp:posOffset>
            </wp:positionV>
            <wp:extent cx="566991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120"/>
          </w:cols>
          <w:pgMar w:left="1380" w:top="462" w:right="1399" w:bottom="1440" w:gutter="0" w:footer="0" w:header="0"/>
        </w:sectPr>
      </w:pPr>
    </w:p>
    <w:bookmarkStart w:id="18" w:name="page19"/>
    <w:bookmarkEnd w:id="1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right="79" w:firstLine="337"/>
        <w:spacing w:after="0" w:line="270" w:lineRule="auto"/>
        <w:rPr>
          <w:sz w:val="20"/>
          <w:szCs w:val="20"/>
          <w:color w:val="auto"/>
        </w:rPr>
      </w:pPr>
      <w:r>
        <w:rPr>
          <w:rFonts w:ascii="Arial" w:cs="Arial" w:eastAsia="Arial" w:hAnsi="Arial"/>
          <w:sz w:val="14"/>
          <w:szCs w:val="14"/>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3, 2021, could affect the Company’s future results of operations, and could cause those results or other outcomes to differ materially from those expressed or implied in the forward-looking statements: geopolitical events and military conflicts; risks relating to pandemics or other health-related crisis, including COVID-19;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natural and weather-related disasters, pandemics and health related crisis, or warehouse modernization and relocation efforts; risks related to cyber-attacks, other privacy and security incidents, and information systems failures, including related to current or future implementations, integrations or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 affecting the Company’s businesses.</w:t>
      </w:r>
    </w:p>
    <w:p>
      <w:pPr>
        <w:spacing w:after="0" w:line="159" w:lineRule="exact"/>
        <w:rPr>
          <w:sz w:val="20"/>
          <w:szCs w:val="20"/>
          <w:color w:val="auto"/>
        </w:rPr>
      </w:pPr>
    </w:p>
    <w:p>
      <w:pPr>
        <w:ind w:left="40" w:right="179" w:firstLine="337"/>
        <w:spacing w:after="0" w:line="353" w:lineRule="auto"/>
        <w:rPr>
          <w:sz w:val="20"/>
          <w:szCs w:val="20"/>
          <w:color w:val="auto"/>
        </w:rPr>
      </w:pPr>
      <w:r>
        <w:rPr>
          <w:rFonts w:ascii="Arial" w:cs="Arial" w:eastAsia="Arial" w:hAnsi="Arial"/>
          <w:sz w:val="13"/>
          <w:szCs w:val="13"/>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9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i w:val="1"/>
          <w:iCs w:val="1"/>
          <w:color w:val="auto"/>
        </w:rPr>
        <w:t>Management’s Discussion and Analysis of Financial Condition and Results of Operations</w:t>
      </w:r>
    </w:p>
    <w:p>
      <w:pPr>
        <w:spacing w:after="0" w:line="191" w:lineRule="exact"/>
        <w:rPr>
          <w:sz w:val="20"/>
          <w:szCs w:val="20"/>
          <w:color w:val="auto"/>
        </w:rPr>
      </w:pPr>
    </w:p>
    <w:p>
      <w:pPr>
        <w:ind w:left="40" w:right="139" w:firstLine="360"/>
        <w:spacing w:after="0" w:line="275" w:lineRule="auto"/>
        <w:rPr>
          <w:sz w:val="20"/>
          <w:szCs w:val="20"/>
          <w:color w:val="auto"/>
        </w:rPr>
      </w:pPr>
      <w:r>
        <w:rPr>
          <w:rFonts w:ascii="Arial" w:cs="Arial" w:eastAsia="Arial" w:hAnsi="Arial"/>
          <w:sz w:val="14"/>
          <w:szCs w:val="14"/>
          <w:color w:val="auto"/>
        </w:rPr>
        <w:t xml:space="preserve">For a description of the Company’s critical accounting policies and an understanding of Avnet and the significant factors that influenced the Company’s performance during the quarter ended April 2, 2022, this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Operations </w:t>
      </w:r>
      <w:r>
        <w:rPr>
          <w:rFonts w:ascii="Arial" w:cs="Arial" w:eastAsia="Arial" w:hAnsi="Arial"/>
          <w:sz w:val="14"/>
          <w:szCs w:val="14"/>
          <w:color w:val="auto"/>
        </w:rPr>
        <w:t>(“MD&amp;A”) should be read in conjunction with the consolidated financial statements, including the related notes, appearing in Item 1 of</w:t>
      </w:r>
      <w:r>
        <w:rPr>
          <w:rFonts w:ascii="Arial" w:cs="Arial" w:eastAsia="Arial" w:hAnsi="Arial"/>
          <w:sz w:val="14"/>
          <w:szCs w:val="14"/>
          <w:i w:val="1"/>
          <w:iCs w:val="1"/>
          <w:color w:val="auto"/>
        </w:rPr>
        <w:t xml:space="preserve"> </w:t>
      </w:r>
      <w:r>
        <w:rPr>
          <w:rFonts w:ascii="Arial" w:cs="Arial" w:eastAsia="Arial" w:hAnsi="Arial"/>
          <w:sz w:val="14"/>
          <w:szCs w:val="14"/>
          <w:color w:val="auto"/>
        </w:rPr>
        <w:t>this Quarterly Report on Form 10-Q, as well as the Company’s Annual Report on Form 10-K for the fiscal year ended July 3, 2021. The Company operates on a “52/53 week” fiscal year and fiscal 2022 contains 52 weeks compared to 53 weeks in fiscal 2021. As a result, the first nine months of fiscal 2022 contained 39 weeks and the first nine months of fiscal 2021 contained 40 weeks. This extra week in the first nine months of fiscal 2021, which occurred in the first quarter of fiscal 2021, impacts the year-over-year analysis in this MD&amp;A.</w:t>
      </w:r>
    </w:p>
    <w:p>
      <w:pPr>
        <w:spacing w:after="0" w:line="148" w:lineRule="exact"/>
        <w:rPr>
          <w:sz w:val="20"/>
          <w:szCs w:val="20"/>
          <w:color w:val="auto"/>
        </w:rPr>
      </w:pPr>
    </w:p>
    <w:p>
      <w:pPr>
        <w:ind w:left="40" w:right="59" w:firstLine="360"/>
        <w:spacing w:after="0" w:line="256" w:lineRule="auto"/>
        <w:rPr>
          <w:sz w:val="20"/>
          <w:szCs w:val="20"/>
          <w:color w:val="auto"/>
        </w:rPr>
      </w:pPr>
      <w:r>
        <w:rPr>
          <w:rFonts w:ascii="Arial" w:cs="Arial" w:eastAsia="Arial" w:hAnsi="Arial"/>
          <w:sz w:val="15"/>
          <w:szCs w:val="15"/>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9" w:name="page20"/>
    <w:bookmarkEnd w:id="1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 addition to disclosing financial results that are determined in accordance with generally accepted accounting principles in the U.S.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(“GAAP”), the Company also discloses certain non-GAAP financial information, including:</w:t>
      </w:r>
    </w:p>
    <w:p>
      <w:pPr>
        <w:spacing w:after="0" w:line="178" w:lineRule="exact"/>
        <w:rPr>
          <w:sz w:val="20"/>
          <w:szCs w:val="20"/>
          <w:color w:val="auto"/>
        </w:rPr>
      </w:pPr>
    </w:p>
    <w:p>
      <w:pPr>
        <w:ind w:left="600" w:right="59" w:hanging="271"/>
        <w:spacing w:after="0" w:line="255"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Additionally, the Company has adjusted sales for the impact of the termination of the Texas Instruments (“TI”) distribution agreement between fiscal years. Sales taking into account these adjustments are referred to as “organic sales.”</w:t>
      </w:r>
    </w:p>
    <w:p>
      <w:pPr>
        <w:spacing w:after="0" w:line="159" w:lineRule="exact"/>
        <w:rPr>
          <w:rFonts w:ascii="Arial" w:cs="Arial" w:eastAsia="Arial" w:hAnsi="Arial"/>
          <w:sz w:val="15"/>
          <w:szCs w:val="15"/>
          <w:color w:val="auto"/>
        </w:rPr>
      </w:pPr>
    </w:p>
    <w:p>
      <w:pPr>
        <w:ind w:left="600" w:right="259" w:hanging="271"/>
        <w:spacing w:after="0" w:line="262"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Operating income excluding (i) restructuring, integration and other expenses, (see </w:t>
      </w:r>
      <w:r>
        <w:rPr>
          <w:rFonts w:ascii="Arial" w:cs="Arial" w:eastAsia="Arial" w:hAnsi="Arial"/>
          <w:sz w:val="15"/>
          <w:szCs w:val="15"/>
          <w:i w:val="1"/>
          <w:iCs w:val="1"/>
          <w:color w:val="auto"/>
        </w:rPr>
        <w:t>Restructuring, Integration and Other Expenses</w:t>
      </w:r>
      <w:r>
        <w:rPr>
          <w:rFonts w:ascii="Arial" w:cs="Arial" w:eastAsia="Arial" w:hAnsi="Arial"/>
          <w:sz w:val="15"/>
          <w:szCs w:val="15"/>
          <w:color w:val="auto"/>
        </w:rPr>
        <w:t xml:space="preserve"> in this MD&amp;A), (ii) Russian-Ukraine conflict related expenses (see </w:t>
      </w:r>
      <w:r>
        <w:rPr>
          <w:rFonts w:ascii="Arial" w:cs="Arial" w:eastAsia="Arial" w:hAnsi="Arial"/>
          <w:sz w:val="15"/>
          <w:szCs w:val="15"/>
          <w:i w:val="1"/>
          <w:iCs w:val="1"/>
          <w:color w:val="auto"/>
        </w:rPr>
        <w:t>Russian-Ukraine conflict related expenses</w:t>
      </w:r>
      <w:r>
        <w:rPr>
          <w:rFonts w:ascii="Arial" w:cs="Arial" w:eastAsia="Arial" w:hAnsi="Arial"/>
          <w:sz w:val="15"/>
          <w:szCs w:val="15"/>
          <w:color w:val="auto"/>
        </w:rPr>
        <w:t xml:space="preserve"> in this MD&amp;A) and (iii) amortization of acquired intangible assets is referred to as “adjusted operating income.”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reconciliation of operating income to adjusted operating income is presented in the following table: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5"/>
                <w:szCs w:val="15"/>
                <w:b w:val="1"/>
                <w:bCs w:val="1"/>
                <w:color w:val="auto"/>
              </w:rPr>
              <w:t>Third Quarters Ended</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5"/>
                <w:szCs w:val="15"/>
                <w:b w:val="1"/>
                <w:bCs w:val="1"/>
                <w:color w:val="auto"/>
              </w:rPr>
              <w:t>Nine Months Ended</w:t>
            </w:r>
          </w:p>
        </w:tc>
      </w:tr>
      <w:tr>
        <w:trPr>
          <w:trHeight w:val="165"/>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25"/>
              <w:spacing w:after="0" w:line="166" w:lineRule="exact"/>
              <w:rPr>
                <w:sz w:val="20"/>
                <w:szCs w:val="20"/>
                <w:color w:val="auto"/>
              </w:rPr>
            </w:pPr>
            <w:r>
              <w:rPr>
                <w:rFonts w:ascii="Arial" w:cs="Arial" w:eastAsia="Arial" w:hAnsi="Arial"/>
                <w:sz w:val="15"/>
                <w:szCs w:val="15"/>
                <w:b w:val="1"/>
                <w:bCs w:val="1"/>
                <w:color w:val="auto"/>
              </w:rPr>
              <w:t>April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5"/>
              <w:spacing w:after="0" w:line="166" w:lineRule="exact"/>
              <w:rPr>
                <w:sz w:val="20"/>
                <w:szCs w:val="20"/>
                <w:color w:val="auto"/>
              </w:rPr>
            </w:pPr>
            <w:r>
              <w:rPr>
                <w:rFonts w:ascii="Arial" w:cs="Arial" w:eastAsia="Arial" w:hAnsi="Arial"/>
                <w:sz w:val="15"/>
                <w:szCs w:val="15"/>
                <w:b w:val="1"/>
                <w:bCs w:val="1"/>
                <w:color w:val="auto"/>
              </w:rPr>
              <w:t>April 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5"/>
              <w:spacing w:after="0" w:line="166" w:lineRule="exact"/>
              <w:rPr>
                <w:sz w:val="20"/>
                <w:szCs w:val="20"/>
                <w:color w:val="auto"/>
              </w:rPr>
            </w:pPr>
            <w:r>
              <w:rPr>
                <w:rFonts w:ascii="Arial" w:cs="Arial" w:eastAsia="Arial" w:hAnsi="Arial"/>
                <w:sz w:val="15"/>
                <w:szCs w:val="15"/>
                <w:b w:val="1"/>
                <w:bCs w:val="1"/>
                <w:color w:val="auto"/>
              </w:rPr>
              <w:t>April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45"/>
              <w:spacing w:after="0" w:line="166" w:lineRule="exact"/>
              <w:rPr>
                <w:sz w:val="20"/>
                <w:szCs w:val="20"/>
                <w:color w:val="auto"/>
              </w:rPr>
            </w:pPr>
            <w:r>
              <w:rPr>
                <w:rFonts w:ascii="Arial" w:cs="Arial" w:eastAsia="Arial" w:hAnsi="Arial"/>
                <w:sz w:val="15"/>
                <w:szCs w:val="15"/>
                <w:b w:val="1"/>
                <w:bCs w:val="1"/>
                <w:color w:val="auto"/>
              </w:rPr>
              <w:t>April 3,</w:t>
            </w:r>
          </w:p>
        </w:tc>
      </w:tr>
      <w:tr>
        <w:trPr>
          <w:trHeight w:val="197"/>
        </w:trPr>
        <w:tc>
          <w:tcPr>
            <w:tcW w:w="4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2021</w:t>
            </w:r>
          </w:p>
        </w:tc>
      </w:tr>
      <w:tr>
        <w:trPr>
          <w:trHeight w:val="169"/>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85"/>
              <w:spacing w:after="0" w:line="169" w:lineRule="exact"/>
              <w:rPr>
                <w:sz w:val="20"/>
                <w:szCs w:val="20"/>
                <w:color w:val="auto"/>
              </w:rPr>
            </w:pPr>
            <w:r>
              <w:rPr>
                <w:rFonts w:ascii="Arial" w:cs="Arial" w:eastAsia="Arial" w:hAnsi="Arial"/>
                <w:sz w:val="15"/>
                <w:szCs w:val="15"/>
                <w:b w:val="1"/>
                <w:bCs w:val="1"/>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274,408</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654,323</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163,407</w:t>
            </w:r>
          </w:p>
        </w:tc>
      </w:tr>
      <w:tr>
        <w:trPr>
          <w:trHeight w:val="180"/>
        </w:trPr>
        <w:tc>
          <w:tcPr>
            <w:tcW w:w="4000" w:type="dxa"/>
            <w:vAlign w:val="bottom"/>
          </w:tcPr>
          <w:p>
            <w:pPr>
              <w:ind w:left="80"/>
              <w:spacing w:after="0"/>
              <w:rPr>
                <w:sz w:val="20"/>
                <w:szCs w:val="20"/>
                <w:color w:val="auto"/>
              </w:rPr>
            </w:pPr>
            <w:r>
              <w:rPr>
                <w:rFonts w:ascii="Arial" w:cs="Arial" w:eastAsia="Arial" w:hAnsi="Arial"/>
                <w:sz w:val="15"/>
                <w:szCs w:val="15"/>
                <w:color w:val="auto"/>
              </w:rPr>
              <w:t>Restructuring, integration and other expenses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17,574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5,272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55,943</w:t>
            </w:r>
          </w:p>
        </w:tc>
      </w:tr>
      <w:tr>
        <w:trPr>
          <w:trHeight w:val="180"/>
        </w:trPr>
        <w:tc>
          <w:tcPr>
            <w:tcW w:w="4000" w:type="dxa"/>
            <w:vAlign w:val="bottom"/>
            <w:shd w:val="clear" w:color="auto" w:fill="CCEEFF"/>
          </w:tcPr>
          <w:p>
            <w:pPr>
              <w:ind w:left="80"/>
              <w:spacing w:after="0"/>
              <w:rPr>
                <w:sz w:val="20"/>
                <w:szCs w:val="20"/>
                <w:color w:val="auto"/>
              </w:rPr>
            </w:pPr>
            <w:r>
              <w:rPr>
                <w:rFonts w:ascii="Arial" w:cs="Arial" w:eastAsia="Arial" w:hAnsi="Arial"/>
                <w:sz w:val="15"/>
                <w:szCs w:val="15"/>
                <w:color w:val="auto"/>
              </w:rPr>
              <w:t>Russian-Ukraine conflict related expenses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400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Amortization of acquired intangible assets and other</w:t>
            </w: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35,875</w:t>
            </w:r>
          </w:p>
        </w:tc>
      </w:tr>
      <w:tr>
        <w:trPr>
          <w:trHeight w:val="18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Adjusted operating income</w:t>
            </w: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303,743</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110,541</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697,965</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255,225</w:t>
            </w:r>
          </w:p>
        </w:tc>
      </w:tr>
      <w:tr>
        <w:trPr>
          <w:trHeight w:val="20"/>
        </w:trPr>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0" w:right="239" w:firstLine="360"/>
        <w:spacing w:after="0" w:line="304" w:lineRule="auto"/>
        <w:rPr>
          <w:sz w:val="20"/>
          <w:szCs w:val="20"/>
          <w:color w:val="auto"/>
        </w:rPr>
      </w:pPr>
      <w:r>
        <w:rPr>
          <w:rFonts w:ascii="Arial" w:cs="Arial" w:eastAsia="Arial" w:hAnsi="Arial"/>
          <w:sz w:val="13"/>
          <w:szCs w:val="13"/>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0" w:name="page21"/>
    <w:bookmarkEnd w:id="2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Organization</w:t>
      </w:r>
    </w:p>
    <w:p>
      <w:pPr>
        <w:spacing w:after="0" w:line="187" w:lineRule="exact"/>
        <w:rPr>
          <w:sz w:val="20"/>
          <w:szCs w:val="20"/>
          <w:color w:val="auto"/>
        </w:rPr>
      </w:pPr>
    </w:p>
    <w:p>
      <w:pPr>
        <w:ind w:left="40" w:right="99" w:firstLine="360"/>
        <w:spacing w:after="0" w:line="255" w:lineRule="auto"/>
        <w:rPr>
          <w:sz w:val="20"/>
          <w:szCs w:val="20"/>
          <w:color w:val="auto"/>
        </w:rPr>
      </w:pPr>
      <w:r>
        <w:rPr>
          <w:rFonts w:ascii="Arial" w:cs="Arial" w:eastAsia="Arial" w:hAnsi="Arial"/>
          <w:sz w:val="15"/>
          <w:szCs w:val="15"/>
          <w:color w:val="auto"/>
        </w:rPr>
        <w:t>Avnet, Inc. and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60" w:lineRule="exact"/>
        <w:rPr>
          <w:sz w:val="20"/>
          <w:szCs w:val="20"/>
          <w:color w:val="auto"/>
        </w:rPr>
      </w:pPr>
    </w:p>
    <w:p>
      <w:pPr>
        <w:jc w:val="both"/>
        <w:ind w:left="40" w:right="139" w:firstLine="360"/>
        <w:spacing w:after="0" w:line="321" w:lineRule="auto"/>
        <w:rPr>
          <w:sz w:val="20"/>
          <w:szCs w:val="20"/>
          <w:color w:val="auto"/>
        </w:rPr>
      </w:pPr>
      <w:r>
        <w:rPr>
          <w:rFonts w:ascii="Arial" w:cs="Arial" w:eastAsia="Arial" w:hAnsi="Arial"/>
          <w:sz w:val="13"/>
          <w:szCs w:val="13"/>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Results of Operations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Recent Global Events and Uncertainties</w:t>
      </w:r>
    </w:p>
    <w:p>
      <w:pPr>
        <w:spacing w:after="0" w:line="187" w:lineRule="exact"/>
        <w:rPr>
          <w:sz w:val="20"/>
          <w:szCs w:val="20"/>
          <w:color w:val="auto"/>
        </w:rPr>
      </w:pPr>
    </w:p>
    <w:p>
      <w:pPr>
        <w:ind w:left="40" w:right="99" w:firstLine="360"/>
        <w:spacing w:after="0" w:line="254" w:lineRule="auto"/>
        <w:rPr>
          <w:sz w:val="20"/>
          <w:szCs w:val="20"/>
          <w:color w:val="auto"/>
        </w:rPr>
      </w:pPr>
      <w:r>
        <w:rPr>
          <w:rFonts w:ascii="Arial" w:cs="Arial" w:eastAsia="Arial" w:hAnsi="Arial"/>
          <w:sz w:val="15"/>
          <w:szCs w:val="15"/>
          <w:color w:val="auto"/>
        </w:rPr>
        <w:t>In February 2022, Russian forces invaded Ukraine (the “Russian-Ukraine conflict”), and in response, the member countries of NATO initiated a variety of sanctions and export controls targeting Russia and associated entities. The sanctions currently in place limit the Company’s ability to provide goods to Russian customers and banking sanctions effectively negate our ability to collect outstanding receivables; as such, the Company has recorded a full allowance for credit losses against those receivables that are not covered by customer credit insurance as of April 2, 2022. Historically, the Company’s sales and gross profit generated from sales to Russian customers is less than 1% of consolidated sales and consolidated gross profit. See further discussion of the impacts of the Russian-Ukraine conflict on the Company’s results of operations in the third quarter of fiscal 2022 below.</w:t>
      </w:r>
    </w:p>
    <w:p>
      <w:pPr>
        <w:spacing w:after="0" w:line="162" w:lineRule="exact"/>
        <w:rPr>
          <w:sz w:val="20"/>
          <w:szCs w:val="20"/>
          <w:color w:val="auto"/>
        </w:rPr>
      </w:pPr>
    </w:p>
    <w:p>
      <w:pPr>
        <w:ind w:left="40" w:right="159" w:firstLine="360"/>
        <w:spacing w:after="0" w:line="258" w:lineRule="auto"/>
        <w:rPr>
          <w:sz w:val="20"/>
          <w:szCs w:val="20"/>
          <w:color w:val="auto"/>
        </w:rPr>
      </w:pPr>
      <w:r>
        <w:rPr>
          <w:rFonts w:ascii="Arial" w:cs="Arial" w:eastAsia="Arial" w:hAnsi="Arial"/>
          <w:sz w:val="15"/>
          <w:szCs w:val="15"/>
          <w:color w:val="auto"/>
        </w:rPr>
        <w:t>The Company will continue to monitor the situation with the Russian-Ukraine conflict, but does not believe the Company will be able to resume business with Russian customers into the foreseeable future. The Company will continue to monitor and manage the ancillary impact of the Russian-Ukraine conflict on its business, which is primarily related to increased fuel and freight related costs and other potential associated supply chain and inflationary considerations.</w:t>
      </w:r>
    </w:p>
    <w:p>
      <w:pPr>
        <w:spacing w:after="0" w:line="158" w:lineRule="exact"/>
        <w:rPr>
          <w:sz w:val="20"/>
          <w:szCs w:val="20"/>
          <w:color w:val="auto"/>
        </w:rPr>
      </w:pPr>
    </w:p>
    <w:p>
      <w:pPr>
        <w:ind w:left="40" w:right="119" w:firstLine="360"/>
        <w:spacing w:after="0" w:line="276" w:lineRule="auto"/>
        <w:rPr>
          <w:sz w:val="20"/>
          <w:szCs w:val="20"/>
          <w:color w:val="auto"/>
        </w:rPr>
      </w:pPr>
      <w:r>
        <w:rPr>
          <w:rFonts w:ascii="Arial" w:cs="Arial" w:eastAsia="Arial" w:hAnsi="Arial"/>
          <w:sz w:val="14"/>
          <w:szCs w:val="14"/>
          <w:color w:val="auto"/>
        </w:rPr>
        <w:t>Because the situation is rapidly evolving, other impacts are currently unknown and could potentially subject the Company’s business to materially adverse consequences, particularly if the conflict expands to other parts of Europe where the Company operates. Such other impacts could include global economic disruptions, shortages of materials or electronic components, increased shipping costs, increased trade barriers, increased cyberattacks, credit market disruptions, and adverse effects on the Company’s third-party service providers, customers, and suppliers. For a more complete discussion of the risks and uncertainties to which the Company is or may become subject, please refer to Item 1A Risk Factors in the Company’s Annual Report on Form 10-K for the fiscal year ended July 3, 2021.</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Executive Summary</w:t>
      </w:r>
    </w:p>
    <w:p>
      <w:pPr>
        <w:spacing w:after="0" w:line="187" w:lineRule="exact"/>
        <w:rPr>
          <w:sz w:val="20"/>
          <w:szCs w:val="20"/>
          <w:color w:val="auto"/>
        </w:rPr>
      </w:pPr>
    </w:p>
    <w:p>
      <w:pPr>
        <w:ind w:left="40" w:right="239" w:firstLine="360"/>
        <w:spacing w:after="0" w:line="310" w:lineRule="auto"/>
        <w:rPr>
          <w:sz w:val="20"/>
          <w:szCs w:val="20"/>
          <w:color w:val="auto"/>
        </w:rPr>
      </w:pPr>
      <w:r>
        <w:rPr>
          <w:rFonts w:ascii="Arial" w:cs="Arial" w:eastAsia="Arial" w:hAnsi="Arial"/>
          <w:sz w:val="14"/>
          <w:szCs w:val="14"/>
          <w:color w:val="auto"/>
        </w:rPr>
        <w:t>Sales of $6.49 billion in the third quarter of fiscal 2022 were 32.0% higher than the prior year third quarter sales of $4.92 billion. Excluding the impact of changes in foreign currency, sales increased 35.7% as compared to sales in the prior year third quarter.</w:t>
      </w:r>
    </w:p>
    <w:p>
      <w:pPr>
        <w:spacing w:after="0" w:line="124" w:lineRule="exact"/>
        <w:rPr>
          <w:sz w:val="20"/>
          <w:szCs w:val="20"/>
          <w:color w:val="auto"/>
        </w:rPr>
      </w:pPr>
    </w:p>
    <w:p>
      <w:pPr>
        <w:ind w:left="40" w:right="99" w:firstLine="360"/>
        <w:spacing w:after="0" w:line="310" w:lineRule="auto"/>
        <w:rPr>
          <w:sz w:val="20"/>
          <w:szCs w:val="20"/>
          <w:color w:val="auto"/>
        </w:rPr>
      </w:pPr>
      <w:r>
        <w:rPr>
          <w:rFonts w:ascii="Arial" w:cs="Arial" w:eastAsia="Arial" w:hAnsi="Arial"/>
          <w:sz w:val="14"/>
          <w:szCs w:val="14"/>
          <w:color w:val="auto"/>
        </w:rPr>
        <w:t>Gross profit margin of 12.5% increased 97 basis points compared to 11.6% in the third quarter of fiscal 2021. This increase is primarily due to strong overall demand for electronic components and improvements in pricing, product and customer mix, and geographic sales mix.</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1" w:name="page22"/>
    <w:bookmarkEnd w:id="2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80" w:firstLine="360"/>
        <w:spacing w:after="0" w:line="255" w:lineRule="auto"/>
        <w:rPr>
          <w:sz w:val="20"/>
          <w:szCs w:val="20"/>
          <w:color w:val="auto"/>
        </w:rPr>
      </w:pPr>
      <w:r>
        <w:rPr>
          <w:rFonts w:ascii="Arial" w:cs="Arial" w:eastAsia="Arial" w:hAnsi="Arial"/>
          <w:sz w:val="15"/>
          <w:szCs w:val="15"/>
          <w:color w:val="auto"/>
        </w:rPr>
        <w:t>Operating income of $274.4 million was $186.7 million higher than the third quarter of fiscal 2021. Operating income margin was 4.2% in the third quarter of fiscal 2022, as compared to 1.8% in the prior year third quarter. The increase in operating income margin is the result of increases in sales and in gross profit margin, partially offset by an increase in selling, general and administrative expenses. Adjusted operating income margin was 4.7% in the third quarter of fiscal 2022 as compared to 2.3% in the third quarter of fiscal 2021, an increase of 243 basis points. This increase in adjusted operating income margin is primarily due to the increases in sales and gross profit margin, partially offset by increases in selling, general and administrative expenses.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Sales</w:t>
      </w:r>
    </w:p>
    <w:p>
      <w:pPr>
        <w:spacing w:after="0" w:line="180" w:lineRule="exact"/>
        <w:rPr>
          <w:sz w:val="20"/>
          <w:szCs w:val="20"/>
          <w:color w:val="auto"/>
        </w:rPr>
      </w:pPr>
    </w:p>
    <w:p>
      <w:pPr>
        <w:ind w:left="40" w:right="420" w:firstLine="356"/>
        <w:spacing w:after="0" w:line="233" w:lineRule="auto"/>
        <w:rPr>
          <w:sz w:val="20"/>
          <w:szCs w:val="20"/>
          <w:color w:val="auto"/>
        </w:rPr>
      </w:pPr>
      <w:r>
        <w:rPr>
          <w:rFonts w:ascii="Arial" w:cs="Arial" w:eastAsia="Arial" w:hAnsi="Arial"/>
          <w:sz w:val="15"/>
          <w:szCs w:val="15"/>
          <w:color w:val="auto"/>
        </w:rPr>
        <w:t>Reported sales were the same as organic sales in the third quarter and first nine months of fiscal 2022. The following table presents the reconciliation of reported sales to organic sales for the third quarter and first nine months of fiscal 2021 by geographic region and by operating group.</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9"/>
              </w:rPr>
              <w:t>Quarter Ended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3"/>
              </w:rPr>
              <w:t>Nine Months Ended</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8"/>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88"/>
              </w:rPr>
              <w:t>Sales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As Reported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Organic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Estimated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Organic</w:t>
            </w: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4"/>
              </w:rPr>
              <w:t>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88"/>
              </w:rPr>
              <w:t>Sales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88"/>
              </w:rPr>
              <w:t>Sales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3"/>
                <w:szCs w:val="13"/>
                <w:b w:val="1"/>
                <w:bCs w:val="1"/>
                <w:color w:val="auto"/>
                <w:w w:val="98"/>
              </w:rPr>
              <w:t>Extra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Organic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b w:val="1"/>
                <w:bCs w:val="1"/>
                <w:color w:val="auto"/>
                <w:w w:val="82"/>
              </w:rPr>
              <w:t>Sales</w:t>
            </w: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Organic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TI Sales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rPr>
              <w:t>Adj for TI</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As Reported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Week 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Sales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TI Sales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b w:val="1"/>
                <w:bCs w:val="1"/>
                <w:color w:val="auto"/>
              </w:rPr>
              <w:t>Adj for TI</w:t>
            </w:r>
          </w:p>
        </w:tc>
      </w:tr>
      <w:tr>
        <w:trPr>
          <w:trHeight w:val="158"/>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Q3-Fiscal</w:t>
            </w:r>
          </w:p>
        </w:tc>
        <w:tc>
          <w:tcPr>
            <w:tcW w:w="16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Q3-Fiscal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Q3-Fiscal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33"/>
              <w:spacing w:after="0"/>
              <w:rPr>
                <w:sz w:val="20"/>
                <w:szCs w:val="20"/>
                <w:color w:val="auto"/>
              </w:rPr>
            </w:pPr>
            <w:r>
              <w:rPr>
                <w:rFonts w:ascii="Arial" w:cs="Arial" w:eastAsia="Arial" w:hAnsi="Arial"/>
                <w:sz w:val="13"/>
                <w:szCs w:val="13"/>
                <w:b w:val="1"/>
                <w:bCs w:val="1"/>
                <w:color w:val="auto"/>
                <w:w w:val="95"/>
              </w:rPr>
              <w:t>Q3-Fiscal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Fiscal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Q3-Fiscal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Q3-Fiscal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Fiscal</w:t>
            </w:r>
          </w:p>
        </w:tc>
      </w:tr>
      <w:tr>
        <w:trPr>
          <w:trHeight w:val="193"/>
        </w:trPr>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13"/>
              <w:spacing w:after="0" w:line="190" w:lineRule="exact"/>
              <w:rPr>
                <w:sz w:val="20"/>
                <w:szCs w:val="20"/>
                <w:color w:val="auto"/>
              </w:rPr>
            </w:pPr>
            <w:r>
              <w:rPr>
                <w:rFonts w:ascii="Arial" w:cs="Arial" w:eastAsia="Arial" w:hAnsi="Arial"/>
                <w:sz w:val="13"/>
                <w:szCs w:val="13"/>
                <w:b w:val="1"/>
                <w:bCs w:val="1"/>
                <w:color w:val="auto"/>
                <w:w w:val="83"/>
              </w:rPr>
              <w:t>2021</w:t>
            </w:r>
            <w:r>
              <w:rPr>
                <w:rFonts w:ascii="Arial" w:cs="Arial" w:eastAsia="Arial" w:hAnsi="Arial"/>
                <w:sz w:val="20"/>
                <w:szCs w:val="20"/>
                <w:b w:val="1"/>
                <w:bCs w:val="1"/>
                <w:color w:val="auto"/>
                <w:w w:val="83"/>
                <w:vertAlign w:val="superscript"/>
              </w:rPr>
              <w:t>(1)</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line="190" w:lineRule="exact"/>
              <w:rPr>
                <w:sz w:val="20"/>
                <w:szCs w:val="20"/>
                <w:color w:val="auto"/>
              </w:rPr>
            </w:pPr>
            <w:r>
              <w:rPr>
                <w:rFonts w:ascii="Arial" w:cs="Arial" w:eastAsia="Arial" w:hAnsi="Arial"/>
                <w:sz w:val="13"/>
                <w:szCs w:val="13"/>
                <w:b w:val="1"/>
                <w:bCs w:val="1"/>
                <w:color w:val="auto"/>
                <w:w w:val="83"/>
              </w:rPr>
              <w:t>2021</w:t>
            </w:r>
            <w:r>
              <w:rPr>
                <w:rFonts w:ascii="Arial" w:cs="Arial" w:eastAsia="Arial" w:hAnsi="Arial"/>
                <w:sz w:val="20"/>
                <w:szCs w:val="20"/>
                <w:b w:val="1"/>
                <w:bCs w:val="1"/>
                <w:color w:val="auto"/>
                <w:w w:val="83"/>
                <w:vertAlign w:val="superscript"/>
              </w:rPr>
              <w:t>(1)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3"/>
                <w:szCs w:val="13"/>
                <w:b w:val="1"/>
                <w:bCs w:val="1"/>
                <w:color w:val="auto"/>
                <w:w w:val="83"/>
              </w:rPr>
              <w:t>2021</w:t>
            </w:r>
            <w:r>
              <w:rPr>
                <w:rFonts w:ascii="Arial" w:cs="Arial" w:eastAsia="Arial" w:hAnsi="Arial"/>
                <w:sz w:val="20"/>
                <w:szCs w:val="20"/>
                <w:b w:val="1"/>
                <w:bCs w:val="1"/>
                <w:color w:val="auto"/>
                <w:w w:val="83"/>
                <w:vertAlign w:val="superscript"/>
              </w:rPr>
              <w:t>(2)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3"/>
              <w:spacing w:after="0" w:line="190" w:lineRule="exact"/>
              <w:rPr>
                <w:sz w:val="20"/>
                <w:szCs w:val="20"/>
                <w:color w:val="auto"/>
              </w:rPr>
            </w:pPr>
            <w:r>
              <w:rPr>
                <w:rFonts w:ascii="Arial" w:cs="Arial" w:eastAsia="Arial" w:hAnsi="Arial"/>
                <w:sz w:val="13"/>
                <w:szCs w:val="13"/>
                <w:b w:val="1"/>
                <w:bCs w:val="1"/>
                <w:color w:val="auto"/>
                <w:w w:val="88"/>
              </w:rPr>
              <w:t>2021</w:t>
            </w:r>
            <w:r>
              <w:rPr>
                <w:rFonts w:ascii="Arial" w:cs="Arial" w:eastAsia="Arial" w:hAnsi="Arial"/>
                <w:sz w:val="20"/>
                <w:szCs w:val="20"/>
                <w:b w:val="1"/>
                <w:bCs w:val="1"/>
                <w:color w:val="auto"/>
                <w:w w:val="88"/>
                <w:vertAlign w:val="superscript"/>
              </w:rPr>
              <w:t>(1)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3"/>
              <w:spacing w:after="0" w:line="190" w:lineRule="exact"/>
              <w:rPr>
                <w:sz w:val="20"/>
                <w:szCs w:val="20"/>
                <w:color w:val="auto"/>
              </w:rPr>
            </w:pPr>
            <w:r>
              <w:rPr>
                <w:rFonts w:ascii="Arial" w:cs="Arial" w:eastAsia="Arial" w:hAnsi="Arial"/>
                <w:sz w:val="13"/>
                <w:szCs w:val="13"/>
                <w:b w:val="1"/>
                <w:bCs w:val="1"/>
                <w:color w:val="auto"/>
                <w:w w:val="88"/>
              </w:rPr>
              <w:t>2021</w:t>
            </w:r>
            <w:r>
              <w:rPr>
                <w:rFonts w:ascii="Arial" w:cs="Arial" w:eastAsia="Arial" w:hAnsi="Arial"/>
                <w:sz w:val="20"/>
                <w:szCs w:val="20"/>
                <w:b w:val="1"/>
                <w:bCs w:val="1"/>
                <w:color w:val="auto"/>
                <w:w w:val="88"/>
                <w:vertAlign w:val="superscript"/>
              </w:rPr>
              <w:t>(1)</w:t>
            </w:r>
          </w:p>
        </w:tc>
      </w:tr>
      <w:tr>
        <w:trPr>
          <w:trHeight w:val="157"/>
        </w:trPr>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gridSpan w:val="4"/>
            <w:shd w:val="clear" w:color="auto" w:fill="CCEEFF"/>
          </w:tcPr>
          <w:p>
            <w:pPr>
              <w:jc w:val="right"/>
              <w:ind w:right="353"/>
              <w:spacing w:after="0"/>
              <w:rPr>
                <w:sz w:val="20"/>
                <w:szCs w:val="20"/>
                <w:color w:val="auto"/>
              </w:rPr>
            </w:pPr>
            <w:r>
              <w:rPr>
                <w:rFonts w:ascii="Arial" w:cs="Arial" w:eastAsia="Arial" w:hAnsi="Arial"/>
                <w:sz w:val="13"/>
                <w:szCs w:val="13"/>
                <w:b w:val="1"/>
                <w:bCs w:val="1"/>
                <w:color w:val="auto"/>
              </w:rPr>
              <w:t>(Thousands)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9"/>
        </w:trPr>
        <w:tc>
          <w:tcPr>
            <w:tcW w:w="1020" w:type="dxa"/>
            <w:vAlign w:val="bottom"/>
          </w:tcPr>
          <w:p>
            <w:pPr>
              <w:ind w:left="80"/>
              <w:spacing w:after="0"/>
              <w:rPr>
                <w:sz w:val="20"/>
                <w:szCs w:val="20"/>
                <w:color w:val="auto"/>
              </w:rPr>
            </w:pPr>
            <w:r>
              <w:rPr>
                <w:rFonts w:ascii="Arial" w:cs="Arial" w:eastAsia="Arial" w:hAnsi="Arial"/>
                <w:sz w:val="13"/>
                <w:szCs w:val="13"/>
                <w:color w:val="auto"/>
              </w:rPr>
              <w:t>Avnet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4,916,714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1,659</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4,915,055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14,307,945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306,000</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14,001,945</w:t>
            </w:r>
          </w:p>
        </w:tc>
        <w:tc>
          <w:tcPr>
            <w:tcW w:w="14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292,212</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13,709,733</w:t>
            </w:r>
          </w:p>
        </w:tc>
      </w:tr>
      <w:tr>
        <w:trPr>
          <w:trHeight w:val="169"/>
        </w:trPr>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Avnet by region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1020" w:type="dxa"/>
            <w:vAlign w:val="bottom"/>
          </w:tcPr>
          <w:p>
            <w:pPr>
              <w:ind w:left="80"/>
              <w:spacing w:after="0"/>
              <w:rPr>
                <w:sz w:val="20"/>
                <w:szCs w:val="20"/>
                <w:color w:val="auto"/>
              </w:rPr>
            </w:pPr>
            <w:r>
              <w:rPr>
                <w:rFonts w:ascii="Arial" w:cs="Arial" w:eastAsia="Arial" w:hAnsi="Arial"/>
                <w:sz w:val="13"/>
                <w:szCs w:val="13"/>
                <w:color w:val="auto"/>
              </w:rPr>
              <w:t>Americas</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1,160,973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416</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1,160,557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3,468,118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77,000</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3,391,118</w:t>
            </w:r>
          </w:p>
        </w:tc>
        <w:tc>
          <w:tcPr>
            <w:tcW w:w="14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82,885</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3,308,233</w:t>
            </w:r>
          </w:p>
        </w:tc>
      </w:tr>
      <w:tr>
        <w:trPr>
          <w:trHeight w:val="169"/>
        </w:trPr>
        <w:tc>
          <w:tcPr>
            <w:tcW w:w="1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EMEA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1,585,631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1,585,148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4,412,652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4,315,652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124,232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4,191,420</w:t>
            </w:r>
          </w:p>
        </w:tc>
      </w:tr>
      <w:tr>
        <w:trPr>
          <w:trHeight w:val="169"/>
        </w:trPr>
        <w:tc>
          <w:tcPr>
            <w:tcW w:w="1020" w:type="dxa"/>
            <w:vAlign w:val="bottom"/>
          </w:tcPr>
          <w:p>
            <w:pPr>
              <w:ind w:left="80"/>
              <w:spacing w:after="0"/>
              <w:rPr>
                <w:sz w:val="20"/>
                <w:szCs w:val="20"/>
                <w:color w:val="auto"/>
              </w:rPr>
            </w:pPr>
            <w:r>
              <w:rPr>
                <w:rFonts w:ascii="Arial" w:cs="Arial" w:eastAsia="Arial" w:hAnsi="Arial"/>
                <w:sz w:val="13"/>
                <w:szCs w:val="13"/>
                <w:color w:val="auto"/>
              </w:rPr>
              <w:t>Asia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2,170,110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2,169,350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6,427,175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132,000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6,295,175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85,095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6,210,080</w:t>
            </w:r>
          </w:p>
        </w:tc>
      </w:tr>
      <w:tr>
        <w:trPr>
          <w:trHeight w:val="169"/>
        </w:trPr>
        <w:tc>
          <w:tcPr>
            <w:tcW w:w="20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Avnet by operating group</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1020" w:type="dxa"/>
            <w:vAlign w:val="bottom"/>
          </w:tcPr>
          <w:p>
            <w:pPr>
              <w:ind w:left="80"/>
              <w:spacing w:after="0"/>
              <w:rPr>
                <w:sz w:val="20"/>
                <w:szCs w:val="20"/>
                <w:color w:val="auto"/>
              </w:rPr>
            </w:pPr>
            <w:r>
              <w:rPr>
                <w:rFonts w:ascii="Arial" w:cs="Arial" w:eastAsia="Arial" w:hAnsi="Arial"/>
                <w:sz w:val="13"/>
                <w:szCs w:val="13"/>
                <w:color w:val="auto"/>
              </w:rPr>
              <w:t>EC</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4,520,608</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1,659</w:t>
            </w:r>
          </w:p>
        </w:tc>
        <w:tc>
          <w:tcPr>
            <w:tcW w:w="12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4,518,949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13,245,143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284,000</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12,961,143</w:t>
            </w:r>
          </w:p>
        </w:tc>
        <w:tc>
          <w:tcPr>
            <w:tcW w:w="14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292,212</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12,668,931</w:t>
            </w:r>
          </w:p>
        </w:tc>
      </w:tr>
      <w:tr>
        <w:trPr>
          <w:trHeight w:val="169"/>
        </w:trPr>
        <w:tc>
          <w:tcPr>
            <w:tcW w:w="1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Farnell</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396,106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1,062,802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1,040,802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1,040,802</w:t>
            </w:r>
          </w:p>
        </w:tc>
      </w:tr>
      <w:tr>
        <w:trPr>
          <w:trHeight w:val="183"/>
        </w:trPr>
        <w:tc>
          <w:tcPr>
            <w:tcW w:w="1020" w:type="dxa"/>
            <w:vAlign w:val="bottom"/>
          </w:tcPr>
          <w:p>
            <w:pPr>
              <w:spacing w:after="0"/>
              <w:rPr>
                <w:sz w:val="20"/>
                <w:szCs w:val="20"/>
                <w:color w:val="auto"/>
              </w:rPr>
            </w:pPr>
            <w:r>
              <w:rPr>
                <w:rFonts w:ascii="Arial" w:cs="Arial" w:eastAsia="Arial" w:hAnsi="Arial"/>
                <w:sz w:val="15"/>
                <w:szCs w:val="15"/>
                <w:color w:val="auto"/>
              </w:rPr>
              <w:t>___________</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3" w:lineRule="exact"/>
        <w:rPr>
          <w:sz w:val="20"/>
          <w:szCs w:val="20"/>
          <w:color w:val="auto"/>
        </w:rPr>
      </w:pPr>
    </w:p>
    <w:p>
      <w:pPr>
        <w:ind w:left="340" w:hanging="270"/>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2"/>
          <w:szCs w:val="12"/>
          <w:color w:val="auto"/>
        </w:rPr>
        <w:t>Sales adjusted for the impact of the termination of the Texas Instruments (“TI”) distribution agreement.</w:t>
      </w:r>
    </w:p>
    <w:p>
      <w:pPr>
        <w:spacing w:after="0" w:line="19" w:lineRule="exact"/>
        <w:rPr>
          <w:rFonts w:ascii="Arial" w:cs="Arial" w:eastAsia="Arial" w:hAnsi="Arial"/>
          <w:sz w:val="13"/>
          <w:szCs w:val="13"/>
          <w:color w:val="auto"/>
        </w:rPr>
      </w:pPr>
    </w:p>
    <w:p>
      <w:pPr>
        <w:ind w:left="340" w:hanging="270"/>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2"/>
          <w:szCs w:val="12"/>
          <w:color w:val="auto"/>
        </w:rPr>
        <w:t>The impact of the additional week of sales in the first quarter of fiscal 2021 is estimated.</w:t>
      </w:r>
    </w:p>
    <w:p>
      <w:pPr>
        <w:spacing w:after="0" w:line="182" w:lineRule="exact"/>
        <w:rPr>
          <w:sz w:val="20"/>
          <w:szCs w:val="20"/>
          <w:color w:val="auto"/>
        </w:rPr>
      </w:pPr>
    </w:p>
    <w:p>
      <w:pPr>
        <w:ind w:left="40" w:right="200" w:firstLine="356"/>
        <w:spacing w:after="0" w:line="274" w:lineRule="auto"/>
        <w:rPr>
          <w:sz w:val="20"/>
          <w:szCs w:val="20"/>
          <w:color w:val="auto"/>
        </w:rPr>
      </w:pPr>
      <w:r>
        <w:rPr>
          <w:rFonts w:ascii="Arial" w:cs="Arial" w:eastAsia="Arial" w:hAnsi="Arial"/>
          <w:sz w:val="15"/>
          <w:szCs w:val="15"/>
          <w:color w:val="auto"/>
        </w:rPr>
        <w:t>The following table presents reported and organic sales growth rates for the third quarter and first nine months of fiscal 2022 as compared to fiscal 2021 by geographic region and by operating group.</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Quarter Ended</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tcBorders>
              <w:bottom w:val="single" w:sz="8" w:color="auto"/>
            </w:tcBorders>
          </w:tcPr>
          <w:p>
            <w:pPr>
              <w:spacing w:after="0"/>
              <w:rPr>
                <w:sz w:val="15"/>
                <w:szCs w:val="15"/>
                <w:color w:val="auto"/>
              </w:rPr>
            </w:pPr>
          </w:p>
        </w:tc>
      </w:tr>
      <w:tr>
        <w:trPr>
          <w:trHeight w:val="158"/>
        </w:trPr>
        <w:tc>
          <w:tcPr>
            <w:tcW w:w="1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Sales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Organic</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Organic</w:t>
            </w:r>
          </w:p>
        </w:tc>
      </w:tr>
      <w:tr>
        <w:trPr>
          <w:trHeight w:val="169"/>
        </w:trPr>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As Reported</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Sales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Sales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Organic</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8"/>
              </w:rPr>
              <w:t>Sales</w:t>
            </w:r>
          </w:p>
        </w:tc>
      </w:tr>
      <w:tr>
        <w:trPr>
          <w:trHeight w:val="169"/>
        </w:trPr>
        <w:tc>
          <w:tcPr>
            <w:tcW w:w="13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Sales</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and Organic</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Adj for TI</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As Reported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Sales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Adj for TI</w:t>
            </w:r>
          </w:p>
        </w:tc>
      </w:tr>
      <w:tr>
        <w:trPr>
          <w:trHeight w:val="169"/>
        </w:trPr>
        <w:tc>
          <w:tcPr>
            <w:tcW w:w="13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as Reported</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Year-Year %</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Year-Year %</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Sales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Year-Year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Organic</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Year-Year %</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Year-Year %</w:t>
            </w:r>
          </w:p>
        </w:tc>
      </w:tr>
      <w:tr>
        <w:trPr>
          <w:trHeight w:val="169"/>
        </w:trPr>
        <w:tc>
          <w:tcPr>
            <w:tcW w:w="13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and Organic</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Change in</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Change in</w:t>
            </w: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As Reported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Sales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Change in</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r>
      <w:tr>
        <w:trPr>
          <w:trHeight w:val="158"/>
        </w:trPr>
        <w:tc>
          <w:tcPr>
            <w:tcW w:w="134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Year-Year</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Constant</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Constant</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Year-Year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Constant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Year-Year</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Constant</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Constant</w:t>
            </w:r>
          </w:p>
        </w:tc>
      </w:tr>
      <w:tr>
        <w:trPr>
          <w:trHeight w:val="193"/>
        </w:trPr>
        <w:tc>
          <w:tcPr>
            <w:tcW w:w="1340" w:type="dxa"/>
            <w:vAlign w:val="bottom"/>
          </w:tcPr>
          <w:p>
            <w:pPr>
              <w:spacing w:after="0"/>
              <w:rPr>
                <w:sz w:val="16"/>
                <w:szCs w:val="16"/>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 Change</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Currency</w:t>
            </w:r>
          </w:p>
        </w:tc>
        <w:tc>
          <w:tcPr>
            <w:tcW w:w="1000" w:type="dxa"/>
            <w:vAlign w:val="bottom"/>
            <w:gridSpan w:val="2"/>
          </w:tcPr>
          <w:p>
            <w:pPr>
              <w:jc w:val="center"/>
              <w:ind w:right="80"/>
              <w:spacing w:after="0" w:line="190" w:lineRule="exact"/>
              <w:rPr>
                <w:sz w:val="20"/>
                <w:szCs w:val="20"/>
                <w:color w:val="auto"/>
              </w:rPr>
            </w:pPr>
            <w:r>
              <w:rPr>
                <w:rFonts w:ascii="Arial" w:cs="Arial" w:eastAsia="Arial" w:hAnsi="Arial"/>
                <w:sz w:val="13"/>
                <w:szCs w:val="13"/>
                <w:b w:val="1"/>
                <w:bCs w:val="1"/>
                <w:color w:val="auto"/>
                <w:w w:val="92"/>
              </w:rPr>
              <w:t>Currency</w:t>
            </w:r>
            <w:r>
              <w:rPr>
                <w:rFonts w:ascii="Arial" w:cs="Arial" w:eastAsia="Arial" w:hAnsi="Arial"/>
                <w:sz w:val="20"/>
                <w:szCs w:val="20"/>
                <w:b w:val="1"/>
                <w:bCs w:val="1"/>
                <w:color w:val="auto"/>
                <w:w w:val="92"/>
                <w:vertAlign w:val="superscript"/>
              </w:rPr>
              <w:t>(1)</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 Change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 Change</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Currency</w:t>
            </w:r>
          </w:p>
        </w:tc>
        <w:tc>
          <w:tcPr>
            <w:tcW w:w="960" w:type="dxa"/>
            <w:vAlign w:val="bottom"/>
          </w:tcPr>
          <w:p>
            <w:pPr>
              <w:jc w:val="center"/>
              <w:spacing w:after="0" w:line="190" w:lineRule="exact"/>
              <w:rPr>
                <w:sz w:val="20"/>
                <w:szCs w:val="20"/>
                <w:color w:val="auto"/>
              </w:rPr>
            </w:pPr>
            <w:r>
              <w:rPr>
                <w:rFonts w:ascii="Arial" w:cs="Arial" w:eastAsia="Arial" w:hAnsi="Arial"/>
                <w:sz w:val="13"/>
                <w:szCs w:val="13"/>
                <w:b w:val="1"/>
                <w:bCs w:val="1"/>
                <w:color w:val="auto"/>
                <w:w w:val="89"/>
              </w:rPr>
              <w:t>Currency</w:t>
            </w:r>
            <w:r>
              <w:rPr>
                <w:rFonts w:ascii="Arial" w:cs="Arial" w:eastAsia="Arial" w:hAnsi="Arial"/>
                <w:sz w:val="20"/>
                <w:szCs w:val="20"/>
                <w:b w:val="1"/>
                <w:bCs w:val="1"/>
                <w:color w:val="auto"/>
                <w:w w:val="89"/>
                <w:vertAlign w:val="superscript"/>
              </w:rPr>
              <w:t>(1)</w:t>
            </w:r>
          </w:p>
        </w:tc>
      </w:tr>
      <w:tr>
        <w:trPr>
          <w:trHeight w:val="169"/>
        </w:trPr>
        <w:tc>
          <w:tcPr>
            <w:tcW w:w="13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Avnet</w:t>
            </w: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32.0 %</w:t>
            </w:r>
          </w:p>
        </w:tc>
        <w:tc>
          <w:tcPr>
            <w:tcW w:w="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35.7 %</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35.7 %</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25.4 %</w:t>
            </w: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w w:val="93"/>
              </w:rPr>
              <w:t>26.9 %</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28.1 %</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29.6 %</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32.4 %</w:t>
            </w:r>
          </w:p>
        </w:tc>
      </w:tr>
      <w:tr>
        <w:trPr>
          <w:trHeight w:val="169"/>
        </w:trPr>
        <w:tc>
          <w:tcPr>
            <w:tcW w:w="1340" w:type="dxa"/>
            <w:vAlign w:val="bottom"/>
          </w:tcPr>
          <w:p>
            <w:pPr>
              <w:spacing w:after="0"/>
              <w:rPr>
                <w:sz w:val="20"/>
                <w:szCs w:val="20"/>
                <w:color w:val="auto"/>
              </w:rPr>
            </w:pPr>
            <w:r>
              <w:rPr>
                <w:rFonts w:ascii="Arial" w:cs="Arial" w:eastAsia="Arial" w:hAnsi="Arial"/>
                <w:sz w:val="13"/>
                <w:szCs w:val="13"/>
                <w:color w:val="auto"/>
              </w:rPr>
              <w:t>Avnet by region</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1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Americas</w:t>
            </w: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40.2 %</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40.2 %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40.2 %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23.3 %</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3"/>
              </w:rPr>
              <w:t>23.3 %</w:t>
            </w:r>
          </w:p>
        </w:tc>
        <w:tc>
          <w:tcPr>
            <w:tcW w:w="9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26.1 %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26.1 %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29.3 %</w:t>
            </w:r>
          </w:p>
        </w:tc>
      </w:tr>
      <w:tr>
        <w:trPr>
          <w:trHeight w:val="169"/>
        </w:trPr>
        <w:tc>
          <w:tcPr>
            <w:tcW w:w="1340" w:type="dxa"/>
            <w:vAlign w:val="bottom"/>
          </w:tcPr>
          <w:p>
            <w:pPr>
              <w:ind w:left="80"/>
              <w:spacing w:after="0"/>
              <w:rPr>
                <w:sz w:val="20"/>
                <w:szCs w:val="20"/>
                <w:color w:val="auto"/>
              </w:rPr>
            </w:pPr>
            <w:r>
              <w:rPr>
                <w:rFonts w:ascii="Arial" w:cs="Arial" w:eastAsia="Arial" w:hAnsi="Arial"/>
                <w:sz w:val="13"/>
                <w:szCs w:val="13"/>
                <w:color w:val="auto"/>
              </w:rPr>
              <w:t>EMEA</w:t>
            </w:r>
          </w:p>
        </w:tc>
        <w:tc>
          <w:tcPr>
            <w:tcW w:w="900" w:type="dxa"/>
            <w:vAlign w:val="bottom"/>
          </w:tcPr>
          <w:p>
            <w:pPr>
              <w:ind w:left="420"/>
              <w:spacing w:after="0"/>
              <w:rPr>
                <w:sz w:val="20"/>
                <w:szCs w:val="20"/>
                <w:color w:val="auto"/>
              </w:rPr>
            </w:pPr>
            <w:r>
              <w:rPr>
                <w:rFonts w:ascii="Arial" w:cs="Arial" w:eastAsia="Arial" w:hAnsi="Arial"/>
                <w:sz w:val="13"/>
                <w:szCs w:val="13"/>
                <w:color w:val="auto"/>
              </w:rPr>
              <w:t>37.9</w:t>
            </w:r>
          </w:p>
        </w:tc>
        <w:tc>
          <w:tcPr>
            <w:tcW w:w="60" w:type="dxa"/>
            <w:vAlign w:val="bottom"/>
          </w:tcPr>
          <w:p>
            <w:pPr>
              <w:spacing w:after="0"/>
              <w:rPr>
                <w:sz w:val="14"/>
                <w:szCs w:val="14"/>
                <w:color w:val="auto"/>
              </w:rPr>
            </w:pPr>
          </w:p>
        </w:tc>
        <w:tc>
          <w:tcPr>
            <w:tcW w:w="900" w:type="dxa"/>
            <w:vAlign w:val="bottom"/>
          </w:tcPr>
          <w:p>
            <w:pPr>
              <w:ind w:left="420"/>
              <w:spacing w:after="0"/>
              <w:rPr>
                <w:sz w:val="20"/>
                <w:szCs w:val="20"/>
                <w:color w:val="auto"/>
              </w:rPr>
            </w:pPr>
            <w:r>
              <w:rPr>
                <w:rFonts w:ascii="Arial" w:cs="Arial" w:eastAsia="Arial" w:hAnsi="Arial"/>
                <w:sz w:val="13"/>
                <w:szCs w:val="13"/>
                <w:color w:val="auto"/>
              </w:rPr>
              <w:t>47.6</w:t>
            </w:r>
          </w:p>
        </w:tc>
        <w:tc>
          <w:tcPr>
            <w:tcW w:w="8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Arial" w:cs="Arial" w:eastAsia="Arial" w:hAnsi="Arial"/>
                <w:sz w:val="13"/>
                <w:szCs w:val="13"/>
                <w:color w:val="auto"/>
              </w:rPr>
              <w:t>47.7</w:t>
            </w:r>
          </w:p>
        </w:tc>
        <w:tc>
          <w:tcPr>
            <w:tcW w:w="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auto"/>
              </w:rPr>
              <w:t>30.9</w:t>
            </w:r>
          </w:p>
        </w:tc>
        <w:tc>
          <w:tcPr>
            <w:tcW w:w="4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35.0</w:t>
            </w:r>
          </w:p>
        </w:tc>
        <w:tc>
          <w:tcPr>
            <w:tcW w:w="900" w:type="dxa"/>
            <w:vAlign w:val="bottom"/>
            <w:gridSpan w:val="3"/>
          </w:tcPr>
          <w:p>
            <w:pPr>
              <w:ind w:left="460"/>
              <w:spacing w:after="0"/>
              <w:rPr>
                <w:sz w:val="20"/>
                <w:szCs w:val="20"/>
                <w:color w:val="auto"/>
              </w:rPr>
            </w:pPr>
            <w:r>
              <w:rPr>
                <w:rFonts w:ascii="Arial" w:cs="Arial" w:eastAsia="Arial" w:hAnsi="Arial"/>
                <w:sz w:val="13"/>
                <w:szCs w:val="13"/>
                <w:color w:val="auto"/>
              </w:rPr>
              <w:t>33.8</w:t>
            </w:r>
          </w:p>
        </w:tc>
        <w:tc>
          <w:tcPr>
            <w:tcW w:w="8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4"/>
                <w:szCs w:val="14"/>
                <w:color w:val="auto"/>
              </w:rPr>
            </w:pPr>
          </w:p>
        </w:tc>
        <w:tc>
          <w:tcPr>
            <w:tcW w:w="960" w:type="dxa"/>
            <w:vAlign w:val="bottom"/>
          </w:tcPr>
          <w:p>
            <w:pPr>
              <w:ind w:left="460"/>
              <w:spacing w:after="0"/>
              <w:rPr>
                <w:sz w:val="20"/>
                <w:szCs w:val="20"/>
                <w:color w:val="auto"/>
              </w:rPr>
            </w:pPr>
            <w:r>
              <w:rPr>
                <w:rFonts w:ascii="Arial" w:cs="Arial" w:eastAsia="Arial" w:hAnsi="Arial"/>
                <w:sz w:val="13"/>
                <w:szCs w:val="13"/>
                <w:color w:val="auto"/>
              </w:rPr>
              <w:t>42.1</w:t>
            </w:r>
          </w:p>
        </w:tc>
      </w:tr>
      <w:tr>
        <w:trPr>
          <w:trHeight w:val="169"/>
        </w:trPr>
        <w:tc>
          <w:tcPr>
            <w:tcW w:w="1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Asia</w:t>
            </w: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23.3</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22.7</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23.3</w:t>
            </w:r>
          </w:p>
        </w:tc>
        <w:tc>
          <w:tcPr>
            <w:tcW w:w="9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27.6</w:t>
            </w:r>
          </w:p>
        </w:tc>
      </w:tr>
      <w:tr>
        <w:trPr>
          <w:trHeight w:val="160"/>
        </w:trPr>
        <w:tc>
          <w:tcPr>
            <w:tcW w:w="1340" w:type="dxa"/>
            <w:vAlign w:val="bottom"/>
          </w:tcPr>
          <w:p>
            <w:pPr>
              <w:spacing w:after="0"/>
              <w:rPr>
                <w:sz w:val="20"/>
                <w:szCs w:val="20"/>
                <w:color w:val="auto"/>
              </w:rPr>
            </w:pPr>
            <w:r>
              <w:rPr>
                <w:rFonts w:ascii="Arial" w:cs="Arial" w:eastAsia="Arial" w:hAnsi="Arial"/>
                <w:sz w:val="13"/>
                <w:szCs w:val="13"/>
                <w:color w:val="auto"/>
              </w:rPr>
              <w:t>Avnet by operating</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5"/>
        </w:trPr>
        <w:tc>
          <w:tcPr>
            <w:tcW w:w="1340" w:type="dxa"/>
            <w:vAlign w:val="bottom"/>
          </w:tcPr>
          <w:p>
            <w:pPr>
              <w:spacing w:after="0"/>
              <w:rPr>
                <w:sz w:val="20"/>
                <w:szCs w:val="20"/>
                <w:color w:val="auto"/>
              </w:rPr>
            </w:pPr>
            <w:r>
              <w:rPr>
                <w:rFonts w:ascii="Arial" w:cs="Arial" w:eastAsia="Arial" w:hAnsi="Arial"/>
                <w:sz w:val="13"/>
                <w:szCs w:val="13"/>
                <w:color w:val="auto"/>
              </w:rPr>
              <w:t>group</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1"/>
        </w:trPr>
        <w:tc>
          <w:tcPr>
            <w:tcW w:w="1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EC</w:t>
            </w: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33.2 %</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36.9 %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36.9 %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25.1 %</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3"/>
              </w:rPr>
              <w:t>26.7 %</w:t>
            </w:r>
          </w:p>
        </w:tc>
        <w:tc>
          <w:tcPr>
            <w:tcW w:w="9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27.9 %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29.5 %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32.5 %</w:t>
            </w:r>
          </w:p>
        </w:tc>
      </w:tr>
      <w:tr>
        <w:trPr>
          <w:trHeight w:val="158"/>
        </w:trPr>
        <w:tc>
          <w:tcPr>
            <w:tcW w:w="1340" w:type="dxa"/>
            <w:vAlign w:val="bottom"/>
          </w:tcPr>
          <w:p>
            <w:pPr>
              <w:ind w:left="80"/>
              <w:spacing w:after="0"/>
              <w:rPr>
                <w:sz w:val="20"/>
                <w:szCs w:val="20"/>
                <w:color w:val="auto"/>
              </w:rPr>
            </w:pPr>
            <w:r>
              <w:rPr>
                <w:rFonts w:ascii="Arial" w:cs="Arial" w:eastAsia="Arial" w:hAnsi="Arial"/>
                <w:sz w:val="13"/>
                <w:szCs w:val="13"/>
                <w:color w:val="auto"/>
              </w:rPr>
              <w:t>Farnell</w:t>
            </w:r>
          </w:p>
        </w:tc>
        <w:tc>
          <w:tcPr>
            <w:tcW w:w="900" w:type="dxa"/>
            <w:vAlign w:val="bottom"/>
          </w:tcPr>
          <w:p>
            <w:pPr>
              <w:ind w:left="420"/>
              <w:spacing w:after="0"/>
              <w:rPr>
                <w:sz w:val="20"/>
                <w:szCs w:val="20"/>
                <w:color w:val="auto"/>
              </w:rPr>
            </w:pPr>
            <w:r>
              <w:rPr>
                <w:rFonts w:ascii="Arial" w:cs="Arial" w:eastAsia="Arial" w:hAnsi="Arial"/>
                <w:sz w:val="13"/>
                <w:szCs w:val="13"/>
                <w:color w:val="auto"/>
              </w:rPr>
              <w:t>18.4</w:t>
            </w:r>
          </w:p>
        </w:tc>
        <w:tc>
          <w:tcPr>
            <w:tcW w:w="60" w:type="dxa"/>
            <w:vAlign w:val="bottom"/>
          </w:tcPr>
          <w:p>
            <w:pPr>
              <w:spacing w:after="0"/>
              <w:rPr>
                <w:sz w:val="13"/>
                <w:szCs w:val="13"/>
                <w:color w:val="auto"/>
              </w:rPr>
            </w:pPr>
          </w:p>
        </w:tc>
        <w:tc>
          <w:tcPr>
            <w:tcW w:w="900" w:type="dxa"/>
            <w:vAlign w:val="bottom"/>
          </w:tcPr>
          <w:p>
            <w:pPr>
              <w:ind w:left="420"/>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3"/>
                <w:szCs w:val="13"/>
                <w:color w:val="auto"/>
              </w:rPr>
            </w:pPr>
          </w:p>
        </w:tc>
        <w:tc>
          <w:tcPr>
            <w:tcW w:w="920" w:type="dxa"/>
            <w:vAlign w:val="bottom"/>
          </w:tcPr>
          <w:p>
            <w:pPr>
              <w:ind w:left="440"/>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3"/>
                <w:szCs w:val="13"/>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auto"/>
              </w:rPr>
              <w:t>28.4</w:t>
            </w:r>
          </w:p>
        </w:tc>
        <w:tc>
          <w:tcPr>
            <w:tcW w:w="40" w:type="dxa"/>
            <w:vAlign w:val="bottom"/>
          </w:tcPr>
          <w:p>
            <w:pPr>
              <w:spacing w:after="0"/>
              <w:rPr>
                <w:sz w:val="13"/>
                <w:szCs w:val="13"/>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28.6</w:t>
            </w:r>
          </w:p>
        </w:tc>
        <w:tc>
          <w:tcPr>
            <w:tcW w:w="900" w:type="dxa"/>
            <w:vAlign w:val="bottom"/>
            <w:gridSpan w:val="3"/>
          </w:tcPr>
          <w:p>
            <w:pPr>
              <w:ind w:left="46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920" w:type="dxa"/>
            <w:vAlign w:val="bottom"/>
          </w:tcPr>
          <w:p>
            <w:pPr>
              <w:ind w:left="440"/>
              <w:spacing w:after="0"/>
              <w:rPr>
                <w:sz w:val="20"/>
                <w:szCs w:val="20"/>
                <w:color w:val="auto"/>
              </w:rPr>
            </w:pPr>
            <w:r>
              <w:rPr>
                <w:rFonts w:ascii="Arial" w:cs="Arial" w:eastAsia="Arial" w:hAnsi="Arial"/>
                <w:sz w:val="13"/>
                <w:szCs w:val="13"/>
                <w:color w:val="auto"/>
              </w:rPr>
              <w:t>31.3</w:t>
            </w:r>
          </w:p>
        </w:tc>
        <w:tc>
          <w:tcPr>
            <w:tcW w:w="80" w:type="dxa"/>
            <w:vAlign w:val="bottom"/>
          </w:tcPr>
          <w:p>
            <w:pPr>
              <w:spacing w:after="0"/>
              <w:rPr>
                <w:sz w:val="13"/>
                <w:szCs w:val="13"/>
                <w:color w:val="auto"/>
              </w:rPr>
            </w:pPr>
          </w:p>
        </w:tc>
        <w:tc>
          <w:tcPr>
            <w:tcW w:w="960" w:type="dxa"/>
            <w:vAlign w:val="bottom"/>
          </w:tcPr>
          <w:p>
            <w:pPr>
              <w:ind w:left="460"/>
              <w:spacing w:after="0"/>
              <w:rPr>
                <w:sz w:val="20"/>
                <w:szCs w:val="20"/>
                <w:color w:val="auto"/>
              </w:rPr>
            </w:pPr>
            <w:r>
              <w:rPr>
                <w:rFonts w:ascii="Arial" w:cs="Arial" w:eastAsia="Arial" w:hAnsi="Arial"/>
                <w:sz w:val="13"/>
                <w:szCs w:val="13"/>
                <w:color w:val="auto"/>
              </w:rPr>
              <w:t>31.3</w:t>
            </w:r>
          </w:p>
        </w:tc>
      </w:tr>
      <w:tr>
        <w:trPr>
          <w:trHeight w:val="185"/>
        </w:trPr>
        <w:tc>
          <w:tcPr>
            <w:tcW w:w="1340" w:type="dxa"/>
            <w:vAlign w:val="bottom"/>
          </w:tcPr>
          <w:p>
            <w:pPr>
              <w:spacing w:after="0"/>
              <w:rPr>
                <w:sz w:val="20"/>
                <w:szCs w:val="20"/>
                <w:color w:val="auto"/>
              </w:rPr>
            </w:pPr>
            <w:r>
              <w:rPr>
                <w:rFonts w:ascii="Arial" w:cs="Arial" w:eastAsia="Arial" w:hAnsi="Arial"/>
                <w:sz w:val="15"/>
                <w:szCs w:val="15"/>
                <w:color w:val="auto"/>
              </w:rPr>
              <w:t>___________</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40" w:hanging="270"/>
        <w:spacing w:after="0" w:line="191"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0"/>
          <w:szCs w:val="10"/>
          <w:color w:val="auto"/>
        </w:rPr>
        <w:t>Sales growth rates excluding the impact of the termination of the TI distribution agreement.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20"/>
          </w:cols>
          <w:pgMar w:left="1440" w:top="477" w:right="1439" w:bottom="1440" w:gutter="0" w:footer="0" w:header="0"/>
        </w:sectPr>
      </w:pPr>
    </w:p>
    <w:bookmarkStart w:id="22" w:name="page23"/>
    <w:bookmarkEnd w:id="2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319" w:firstLine="356"/>
        <w:spacing w:after="0" w:line="262" w:lineRule="auto"/>
        <w:rPr>
          <w:sz w:val="20"/>
          <w:szCs w:val="20"/>
          <w:color w:val="auto"/>
        </w:rPr>
      </w:pPr>
      <w:r>
        <w:rPr>
          <w:rFonts w:ascii="Arial" w:cs="Arial" w:eastAsia="Arial" w:hAnsi="Arial"/>
          <w:sz w:val="15"/>
          <w:szCs w:val="15"/>
          <w:color w:val="auto"/>
        </w:rPr>
        <w:t>Sales of $6.49 billion for the third quarter of fiscal 2022 were up $1.57 billion, or 32.0%, from the prior year third quarter sales of $4.92 billion. Sales in constant currency in the third quarter of fiscal 2022 increased by 35.7% year over year, reflecting sales growth in both operating groups across all regions driven by strong demand globally for electronic components.</w:t>
      </w:r>
    </w:p>
    <w:p>
      <w:pPr>
        <w:spacing w:after="0" w:line="155" w:lineRule="exact"/>
        <w:rPr>
          <w:sz w:val="20"/>
          <w:szCs w:val="20"/>
          <w:color w:val="auto"/>
        </w:rPr>
      </w:pPr>
    </w:p>
    <w:p>
      <w:pPr>
        <w:ind w:left="40" w:right="139" w:firstLine="356"/>
        <w:spacing w:after="0" w:line="258" w:lineRule="auto"/>
        <w:rPr>
          <w:sz w:val="20"/>
          <w:szCs w:val="20"/>
          <w:color w:val="auto"/>
        </w:rPr>
      </w:pPr>
      <w:r>
        <w:rPr>
          <w:rFonts w:ascii="Arial" w:cs="Arial" w:eastAsia="Arial" w:hAnsi="Arial"/>
          <w:sz w:val="15"/>
          <w:szCs w:val="15"/>
          <w:color w:val="auto"/>
        </w:rPr>
        <w:t>EC sales of $6.02 billion in the third quarter of fiscal 2022 increased $1.50 billion or 33.2% from the prior year third quarter sales of $4.52 billion. On an organic basis, EC sales increased 36.9% year over year in constant currency, reflecting sales growth in all three regions. The increase in sales in the Company’s EC operating group is primarily due to improvements in overall stronger market demand, especially in the transportation and industrial sectors.</w:t>
      </w:r>
    </w:p>
    <w:p>
      <w:pPr>
        <w:spacing w:after="0" w:line="158" w:lineRule="exact"/>
        <w:rPr>
          <w:sz w:val="20"/>
          <w:szCs w:val="20"/>
          <w:color w:val="auto"/>
        </w:rPr>
      </w:pPr>
    </w:p>
    <w:p>
      <w:pPr>
        <w:ind w:left="40" w:right="259" w:firstLine="356"/>
        <w:spacing w:after="0" w:line="262" w:lineRule="auto"/>
        <w:rPr>
          <w:sz w:val="20"/>
          <w:szCs w:val="20"/>
          <w:color w:val="auto"/>
        </w:rPr>
      </w:pPr>
      <w:r>
        <w:rPr>
          <w:rFonts w:ascii="Arial" w:cs="Arial" w:eastAsia="Arial" w:hAnsi="Arial"/>
          <w:sz w:val="15"/>
          <w:szCs w:val="15"/>
          <w:color w:val="auto"/>
        </w:rPr>
        <w:t>Farnell sales for the third quarter of fiscal 2022 were $469.0 million, an increase of $72.9 million or 18.4% from the prior year third quarter sales of $396.1 million. Sales in constant currency increased 21.8% year over year. These increases were primarily a result of increased market demand in all three regions.</w:t>
      </w:r>
    </w:p>
    <w:p>
      <w:pPr>
        <w:spacing w:after="0" w:line="155" w:lineRule="exact"/>
        <w:rPr>
          <w:sz w:val="20"/>
          <w:szCs w:val="20"/>
          <w:color w:val="auto"/>
        </w:rPr>
      </w:pPr>
    </w:p>
    <w:p>
      <w:pPr>
        <w:ind w:left="40" w:right="179" w:firstLine="356"/>
        <w:spacing w:after="0" w:line="262" w:lineRule="auto"/>
        <w:rPr>
          <w:sz w:val="20"/>
          <w:szCs w:val="20"/>
          <w:color w:val="auto"/>
        </w:rPr>
      </w:pPr>
      <w:r>
        <w:rPr>
          <w:rFonts w:ascii="Arial" w:cs="Arial" w:eastAsia="Arial" w:hAnsi="Arial"/>
          <w:sz w:val="15"/>
          <w:szCs w:val="15"/>
          <w:color w:val="auto"/>
        </w:rPr>
        <w:t>Sales for the first nine months of fiscal 2022 were $17.94 billion, an increase of $3.63 billion as compared to sales of $14.31 billion for the first nine months of fiscal 2021. The increase in sales is primarily the result of increased sales in both operating groups across all regions driven by strong demand globally for electronic components.</w:t>
      </w:r>
    </w:p>
    <w:p>
      <w:pPr>
        <w:spacing w:after="0" w:line="155" w:lineRule="exact"/>
        <w:rPr>
          <w:sz w:val="20"/>
          <w:szCs w:val="20"/>
          <w:color w:val="auto"/>
        </w:rPr>
      </w:pPr>
    </w:p>
    <w:p>
      <w:pPr>
        <w:jc w:val="both"/>
        <w:ind w:left="40" w:right="219" w:firstLine="356"/>
        <w:spacing w:after="0" w:line="258" w:lineRule="auto"/>
        <w:rPr>
          <w:sz w:val="20"/>
          <w:szCs w:val="20"/>
          <w:color w:val="auto"/>
        </w:rPr>
      </w:pPr>
      <w:r>
        <w:rPr>
          <w:rFonts w:ascii="Arial" w:cs="Arial" w:eastAsia="Arial" w:hAnsi="Arial"/>
          <w:sz w:val="15"/>
          <w:szCs w:val="15"/>
          <w:color w:val="auto"/>
        </w:rPr>
        <w:t>As a result of the recent termination of the Company’s distribution agreement between Maxim Integrated Products, Inc. (“Maxim”) and the Electronic Components operating group, the Company may experience lower sales and gross profit in the future if the impact of the termination is not offset by sales growth, gross margin improvements or operating cost reductions. Sales from Maxim products represented approximately 3% of total sales in fiscal 2021.</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Gross Profit</w:t>
      </w:r>
    </w:p>
    <w:p>
      <w:pPr>
        <w:spacing w:after="0" w:line="191" w:lineRule="exact"/>
        <w:rPr>
          <w:sz w:val="20"/>
          <w:szCs w:val="20"/>
          <w:color w:val="auto"/>
        </w:rPr>
      </w:pPr>
    </w:p>
    <w:p>
      <w:pPr>
        <w:ind w:left="40" w:right="299" w:firstLine="360"/>
        <w:spacing w:after="0" w:line="310" w:lineRule="auto"/>
        <w:rPr>
          <w:sz w:val="20"/>
          <w:szCs w:val="20"/>
          <w:color w:val="auto"/>
        </w:rPr>
      </w:pPr>
      <w:r>
        <w:rPr>
          <w:rFonts w:ascii="Arial" w:cs="Arial" w:eastAsia="Arial" w:hAnsi="Arial"/>
          <w:sz w:val="13"/>
          <w:szCs w:val="13"/>
          <w:color w:val="auto"/>
        </w:rPr>
        <w:t>Gross profit for the third quarter of fiscal 2022 was $813.0 million, an increase of $244.7 million, or 43.1%, from the third quarter of fiscal 2021 gross profit of $568.4 million. Gross profit margin increased to 12.5% or 97 basis points from the third quarter of fiscal 2021 gross profit margin of 11.6%, driven by increases in gross profit margin in both operating groups. Sales in the higher gross profit margin western regions represented approximately 59% of sales in the third quarter of fiscal 2022, as compared to 56% during the third quarter of fiscal 2021.</w:t>
      </w:r>
    </w:p>
    <w:p>
      <w:pPr>
        <w:spacing w:after="0" w:line="127" w:lineRule="exact"/>
        <w:rPr>
          <w:sz w:val="20"/>
          <w:szCs w:val="20"/>
          <w:color w:val="auto"/>
        </w:rPr>
      </w:pPr>
    </w:p>
    <w:p>
      <w:pPr>
        <w:ind w:left="40" w:right="59" w:firstLine="360"/>
        <w:spacing w:after="0" w:line="274" w:lineRule="auto"/>
        <w:rPr>
          <w:sz w:val="20"/>
          <w:szCs w:val="20"/>
          <w:color w:val="auto"/>
        </w:rPr>
      </w:pPr>
      <w:r>
        <w:rPr>
          <w:rFonts w:ascii="Arial" w:cs="Arial" w:eastAsia="Arial" w:hAnsi="Arial"/>
          <w:sz w:val="15"/>
          <w:szCs w:val="15"/>
          <w:color w:val="auto"/>
        </w:rPr>
        <w:t>Gross profit and gross profit margin was $2.19 billion and 12.2%, respectively, for the first nine months of fiscal 2022 as compared with $1.60 billion and 11.2%, respectively, for the first nine months of fiscal 2021.</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Selling, General and Administrative Expenses</w:t>
      </w:r>
    </w:p>
    <w:p>
      <w:pPr>
        <w:spacing w:after="0" w:line="191" w:lineRule="exact"/>
        <w:rPr>
          <w:sz w:val="20"/>
          <w:szCs w:val="20"/>
          <w:color w:val="auto"/>
        </w:rPr>
      </w:pPr>
    </w:p>
    <w:p>
      <w:pPr>
        <w:ind w:left="40" w:right="139" w:firstLine="360"/>
        <w:spacing w:after="0" w:line="262" w:lineRule="auto"/>
        <w:rPr>
          <w:sz w:val="20"/>
          <w:szCs w:val="20"/>
          <w:color w:val="auto"/>
        </w:rPr>
      </w:pPr>
      <w:r>
        <w:rPr>
          <w:rFonts w:ascii="Arial" w:cs="Arial" w:eastAsia="Arial" w:hAnsi="Arial"/>
          <w:sz w:val="15"/>
          <w:szCs w:val="15"/>
          <w:color w:val="auto"/>
        </w:rPr>
        <w:t>Selling, general and administrative expenses (“SG&amp;A expenses”) were $512.4 million in the third quarter of fiscal 2022, an increase of $49.3 million, or 10.6%, from the third quarter of fiscal 2021. The year-over-year increase in SG&amp;A expenses was primarily due to increases in costs to support sales growth and to a lesser extent increased costs related to inflation.</w:t>
      </w:r>
    </w:p>
    <w:p>
      <w:pPr>
        <w:spacing w:after="0" w:line="155" w:lineRule="exact"/>
        <w:rPr>
          <w:sz w:val="20"/>
          <w:szCs w:val="20"/>
          <w:color w:val="auto"/>
        </w:rPr>
      </w:pPr>
    </w:p>
    <w:p>
      <w:pPr>
        <w:ind w:left="40" w:right="179" w:firstLine="356"/>
        <w:spacing w:after="0" w:line="256" w:lineRule="auto"/>
        <w:rPr>
          <w:sz w:val="20"/>
          <w:szCs w:val="20"/>
          <w:color w:val="auto"/>
        </w:rPr>
      </w:pPr>
      <w:r>
        <w:rPr>
          <w:rFonts w:ascii="Arial" w:cs="Arial" w:eastAsia="Arial" w:hAnsi="Arial"/>
          <w:sz w:val="15"/>
          <w:szCs w:val="15"/>
          <w:color w:val="auto"/>
        </w:rPr>
        <w:t>Metrics that management monitors with respect to its operating expenses are SG&amp;A expenses as a percentage of sales and as a percentage of gross profit. In the third quarter of fiscal 2022, SG&amp;A expenses were 7.9% of sales and 63.0% of gross profit, as compared with 9.4% and 81.5%, respectively, in the third quarter of fiscal 2021. The decrease in SG&amp;A expenses as a percentage of sales and gross profit primarily results from operating leverage created from higher sales, increases in gross profit margin, and lower amortization expense, partially offset by increases in SG&amp;A expenses primarily to support sales volumes.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3" w:name="page24"/>
    <w:bookmarkEnd w:id="2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99" w:firstLine="356"/>
        <w:spacing w:after="0" w:line="256" w:lineRule="auto"/>
        <w:rPr>
          <w:sz w:val="20"/>
          <w:szCs w:val="20"/>
          <w:color w:val="auto"/>
        </w:rPr>
      </w:pPr>
      <w:r>
        <w:rPr>
          <w:rFonts w:ascii="Arial" w:cs="Arial" w:eastAsia="Arial" w:hAnsi="Arial"/>
          <w:sz w:val="15"/>
          <w:szCs w:val="15"/>
          <w:color w:val="auto"/>
        </w:rPr>
        <w:t>SG&amp;A expenses for the first nine months of fiscal 2022 were $1.50 billion, or 8.4% of sales, as compared with $1.38 billion, or 9.6% of sales, in the first nine months of fiscal 2021. SG&amp;A expenses as a percentage of gross profit for the first nine months of fiscal 2022 were 68.6% as compared with 86.3% in the first nine months of fiscal 2021. The decrease in SG&amp;A expenses as a percentage of sales and gross profit primarily results from operating leverage created from higher sales, increase in gross profit margin, and lower amortization expense, partially offset by increases in SG&amp;A expenses primarily to support sales volumes.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Russian-Ukraine Conflict Related Expenses</w:t>
      </w:r>
    </w:p>
    <w:p>
      <w:pPr>
        <w:spacing w:after="0" w:line="191" w:lineRule="exact"/>
        <w:rPr>
          <w:sz w:val="20"/>
          <w:szCs w:val="20"/>
          <w:color w:val="auto"/>
        </w:rPr>
      </w:pPr>
    </w:p>
    <w:p>
      <w:pPr>
        <w:ind w:left="40" w:right="259" w:firstLine="356"/>
        <w:spacing w:after="0" w:line="258" w:lineRule="auto"/>
        <w:rPr>
          <w:sz w:val="20"/>
          <w:szCs w:val="20"/>
          <w:color w:val="auto"/>
        </w:rPr>
      </w:pPr>
      <w:r>
        <w:rPr>
          <w:rFonts w:ascii="Arial" w:cs="Arial" w:eastAsia="Arial" w:hAnsi="Arial"/>
          <w:sz w:val="15"/>
          <w:szCs w:val="15"/>
          <w:color w:val="auto"/>
        </w:rPr>
        <w:t>The Company incurred $26.3 million of costs associated with the Russian-Ukraine conflict in the third quarter of fiscal 2022, primarily comprised of $17.2 million of expense for credit loss reserves for trade accounts receivable from Russian customers that are no longer considered collectible. The remaining expense is primarily related to product write-downs for Russia based customers and other Russian business operation wind-down costs.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Restructuring, Integration, and Other Expenses</w:t>
      </w:r>
    </w:p>
    <w:p>
      <w:pPr>
        <w:spacing w:after="0" w:line="191" w:lineRule="exact"/>
        <w:rPr>
          <w:sz w:val="20"/>
          <w:szCs w:val="20"/>
          <w:color w:val="auto"/>
        </w:rPr>
      </w:pPr>
    </w:p>
    <w:p>
      <w:pPr>
        <w:ind w:left="40" w:right="139" w:firstLine="356"/>
        <w:spacing w:after="0" w:line="262" w:lineRule="auto"/>
        <w:rPr>
          <w:sz w:val="20"/>
          <w:szCs w:val="20"/>
          <w:color w:val="auto"/>
        </w:rPr>
      </w:pPr>
      <w:r>
        <w:rPr>
          <w:rFonts w:ascii="Arial" w:cs="Arial" w:eastAsia="Arial" w:hAnsi="Arial"/>
          <w:sz w:val="15"/>
          <w:szCs w:val="15"/>
          <w:color w:val="auto"/>
        </w:rPr>
        <w:t>The Company did not incur any restructuring, integration and other expenses during the third quarter of fiscal 2022. During the first nine months of fiscal 2022, the Company recorded restructuring, integration and other expenses of $5.3 million, substantially all of which was related to integration costs.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Operating Income</w:t>
      </w:r>
    </w:p>
    <w:p>
      <w:pPr>
        <w:spacing w:after="0" w:line="191" w:lineRule="exact"/>
        <w:rPr>
          <w:sz w:val="20"/>
          <w:szCs w:val="20"/>
          <w:color w:val="auto"/>
        </w:rPr>
      </w:pPr>
    </w:p>
    <w:p>
      <w:pPr>
        <w:ind w:left="40" w:right="99" w:firstLine="356"/>
        <w:spacing w:after="0" w:line="258" w:lineRule="auto"/>
        <w:rPr>
          <w:sz w:val="20"/>
          <w:szCs w:val="20"/>
          <w:color w:val="auto"/>
        </w:rPr>
      </w:pPr>
      <w:r>
        <w:rPr>
          <w:rFonts w:ascii="Arial" w:cs="Arial" w:eastAsia="Arial" w:hAnsi="Arial"/>
          <w:sz w:val="15"/>
          <w:szCs w:val="15"/>
          <w:color w:val="auto"/>
        </w:rPr>
        <w:t>Operating income for the third quarter of fiscal 2022 was $274.4 million, an increase of $186.7 million, from the third quarter of fiscal 2021 operating income of $87.7 million. Adjusted operating income for the third quarter of fiscal 2022 was $303.7 million, an increase of $193.2 million, or 174.8%, from the third quarter of fiscal 2021. The year-over-year increase in adjusted operating income was primarily driven by the increase in sales and in gross profit margin, partially offset by an increase in SG&amp;A expenses.</w:t>
      </w:r>
    </w:p>
    <w:p>
      <w:pPr>
        <w:spacing w:after="0" w:line="158" w:lineRule="exact"/>
        <w:rPr>
          <w:sz w:val="20"/>
          <w:szCs w:val="20"/>
          <w:color w:val="auto"/>
        </w:rPr>
      </w:pPr>
    </w:p>
    <w:p>
      <w:pPr>
        <w:ind w:left="40" w:right="419" w:firstLine="356"/>
        <w:spacing w:after="0" w:line="274" w:lineRule="auto"/>
        <w:rPr>
          <w:sz w:val="20"/>
          <w:szCs w:val="20"/>
          <w:color w:val="auto"/>
        </w:rPr>
      </w:pPr>
      <w:r>
        <w:rPr>
          <w:rFonts w:ascii="Arial" w:cs="Arial" w:eastAsia="Arial" w:hAnsi="Arial"/>
          <w:sz w:val="15"/>
          <w:szCs w:val="15"/>
          <w:color w:val="auto"/>
        </w:rPr>
        <w:t>EC operating income margin increased 178 basis points year over year to 4.4% and Farnell operating income margin increased 886 basis points year over year to 14.9%.</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income for the first nine months of fiscal 2022 was $654.3 million, an increase of $490.9 million, from the operating income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$163.4 million during the first nine months of fiscal 2021. Adjusted operating income for the first nine months of fiscal 2022 was $698.0 million, an</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of $442.7 million, or 173.5%, from the first nine months of fiscal 2021. The year-over-year increase in adjusted operating income was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primarily driven by the increase in sales and in gross profit margin.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Interest and Other Financing Expenses, Net and Other (Expense) Income, Net</w:t>
      </w:r>
    </w:p>
    <w:p>
      <w:pPr>
        <w:spacing w:after="0" w:line="191" w:lineRule="exact"/>
        <w:rPr>
          <w:sz w:val="20"/>
          <w:szCs w:val="20"/>
          <w:color w:val="auto"/>
        </w:rPr>
      </w:pPr>
    </w:p>
    <w:p>
      <w:pPr>
        <w:ind w:left="40" w:right="119" w:firstLine="360"/>
        <w:spacing w:after="0" w:line="255" w:lineRule="auto"/>
        <w:rPr>
          <w:sz w:val="20"/>
          <w:szCs w:val="20"/>
          <w:color w:val="auto"/>
        </w:rPr>
      </w:pPr>
      <w:r>
        <w:rPr>
          <w:rFonts w:ascii="Arial" w:cs="Arial" w:eastAsia="Arial" w:hAnsi="Arial"/>
          <w:sz w:val="15"/>
          <w:szCs w:val="15"/>
          <w:color w:val="auto"/>
        </w:rPr>
        <w:t xml:space="preserve">Interest and other financing expenses in the third quarter of fiscal 2022 was $25.9 million, an increase of $3.6 million, or 16.0%, as compared with interest and other financing expenses of $22.3 million in the third quarter of fiscal 2021. Interest and other financing expenses in the first nine months of fiscal 2022 was $70.4 million, an increase of $4.3 million, or 6.4%, as compared with interest and other financing expenses of $66.1 million in the first nine months of fiscal 2021. </w:t>
      </w:r>
      <w:r>
        <w:rPr>
          <w:rFonts w:ascii="Arial" w:cs="Arial" w:eastAsia="Arial" w:hAnsi="Arial"/>
          <w:sz w:val="15"/>
          <w:szCs w:val="15"/>
          <w:color w:val="252525"/>
        </w:rPr>
        <w:t>The increases in interest and other financing expenses in the third quarter and first nine months of</w:t>
      </w:r>
      <w:r>
        <w:rPr>
          <w:rFonts w:ascii="Arial" w:cs="Arial" w:eastAsia="Arial" w:hAnsi="Arial"/>
          <w:sz w:val="15"/>
          <w:szCs w:val="15"/>
          <w:color w:val="auto"/>
        </w:rPr>
        <w:t xml:space="preserve"> </w:t>
      </w:r>
      <w:r>
        <w:rPr>
          <w:rFonts w:ascii="Arial" w:cs="Arial" w:eastAsia="Arial" w:hAnsi="Arial"/>
          <w:sz w:val="15"/>
          <w:szCs w:val="15"/>
          <w:color w:val="252525"/>
        </w:rPr>
        <w:t>fiscal 2022 compared to the third quarter and first nine months of fiscal 2021 is primarily a result of higher outstanding borrowings during fiscal 2022 as compared to fiscal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4" w:name="page25"/>
    <w:bookmarkEnd w:id="2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179" w:firstLine="356"/>
        <w:spacing w:after="0" w:line="278" w:lineRule="auto"/>
        <w:rPr>
          <w:sz w:val="20"/>
          <w:szCs w:val="20"/>
          <w:color w:val="auto"/>
        </w:rPr>
      </w:pPr>
      <w:r>
        <w:rPr>
          <w:rFonts w:ascii="Arial" w:cs="Arial" w:eastAsia="Arial" w:hAnsi="Arial"/>
          <w:sz w:val="14"/>
          <w:szCs w:val="14"/>
          <w:color w:val="auto"/>
        </w:rPr>
        <w:t>During the third quarter of fiscal 2022, the Company had $0.5 million of other expense as compared with $4.8 million of other income in the third quarter of fiscal 2021. During the first nine months of fiscal 2022, the Company had $0.9 million of other income as compared with $16.1 million of other expense in the first nine months of fiscal 2021. The year-over-year differences in other expense was primarily due to the equity investment impairment expense included in the other expense in the first nine months of fiscal 2021, and differences in foreign currency exchange rates between the third quarters and first nine months of fiscal 2022 and fiscal 2021.</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Income Tax</w:t>
      </w:r>
    </w:p>
    <w:p>
      <w:pPr>
        <w:spacing w:after="0" w:line="191" w:lineRule="exact"/>
        <w:rPr>
          <w:sz w:val="20"/>
          <w:szCs w:val="20"/>
          <w:color w:val="auto"/>
        </w:rPr>
      </w:pPr>
    </w:p>
    <w:p>
      <w:pPr>
        <w:ind w:left="40" w:right="279" w:firstLine="356"/>
        <w:spacing w:after="0" w:line="310" w:lineRule="auto"/>
        <w:rPr>
          <w:sz w:val="20"/>
          <w:szCs w:val="20"/>
          <w:color w:val="auto"/>
        </w:rPr>
      </w:pPr>
      <w:r>
        <w:rPr>
          <w:rFonts w:ascii="Arial" w:cs="Arial" w:eastAsia="Arial" w:hAnsi="Arial"/>
          <w:sz w:val="14"/>
          <w:szCs w:val="14"/>
          <w:color w:val="auto"/>
        </w:rPr>
        <w:t>The Company’s effective tax rate on its income before taxes was 26.0% in the third quarter of fiscal 2022. During the third quarter of fiscal 2022, the Company’s effective tax rate was unfavorably impacted primarily by the mix of income in higher tax jurisdictions.</w:t>
      </w:r>
    </w:p>
    <w:p>
      <w:pPr>
        <w:spacing w:after="0" w:line="124" w:lineRule="exact"/>
        <w:rPr>
          <w:sz w:val="20"/>
          <w:szCs w:val="20"/>
          <w:color w:val="auto"/>
        </w:rPr>
      </w:pPr>
    </w:p>
    <w:p>
      <w:pPr>
        <w:ind w:left="40" w:right="259" w:firstLine="356"/>
        <w:spacing w:after="0" w:line="289" w:lineRule="auto"/>
        <w:rPr>
          <w:sz w:val="20"/>
          <w:szCs w:val="20"/>
          <w:color w:val="auto"/>
        </w:rPr>
      </w:pPr>
      <w:r>
        <w:rPr>
          <w:rFonts w:ascii="Arial" w:cs="Arial" w:eastAsia="Arial" w:hAnsi="Arial"/>
          <w:sz w:val="14"/>
          <w:szCs w:val="14"/>
          <w:color w:val="auto"/>
        </w:rPr>
        <w:t>During the third quarter of fiscal 2021, the Company’s effective tax rate on its income before taxes was a benefit of 53.3%. The Company’s effective tax rate was favorably impacted primarily by (i) the tax benefit arising from the reduction in value of certain businesses for income tax purposes and (ii) decreases to valuation allowances, partially offset by (iii) increases to unrecognized tax benefit reserves.</w:t>
      </w:r>
    </w:p>
    <w:p>
      <w:pPr>
        <w:spacing w:after="0" w:line="138" w:lineRule="exact"/>
        <w:rPr>
          <w:sz w:val="20"/>
          <w:szCs w:val="20"/>
          <w:color w:val="auto"/>
        </w:rPr>
      </w:pPr>
    </w:p>
    <w:p>
      <w:pPr>
        <w:ind w:left="40" w:right="179" w:firstLine="356"/>
        <w:spacing w:after="0" w:line="262" w:lineRule="auto"/>
        <w:rPr>
          <w:sz w:val="20"/>
          <w:szCs w:val="20"/>
          <w:color w:val="auto"/>
        </w:rPr>
      </w:pPr>
      <w:r>
        <w:rPr>
          <w:rFonts w:ascii="Arial" w:cs="Arial" w:eastAsia="Arial" w:hAnsi="Arial"/>
          <w:sz w:val="15"/>
          <w:szCs w:val="15"/>
          <w:color w:val="auto"/>
        </w:rPr>
        <w:t>For the first nine months of fiscal 2022, the Company’s effective tax rate on its income before taxes was 23.8%. The effective tax rate for the first nine months of fiscal 2022 was unfavorably impacted primarily by (i) the mix of income in higher tax jurisdictions and (ii) increases to valuation allowances.</w:t>
      </w:r>
    </w:p>
    <w:p>
      <w:pPr>
        <w:spacing w:after="0" w:line="155" w:lineRule="exact"/>
        <w:rPr>
          <w:sz w:val="20"/>
          <w:szCs w:val="20"/>
          <w:color w:val="auto"/>
        </w:rPr>
      </w:pPr>
    </w:p>
    <w:p>
      <w:pPr>
        <w:jc w:val="both"/>
        <w:ind w:left="40" w:right="139" w:firstLine="356"/>
        <w:spacing w:after="0" w:line="258" w:lineRule="auto"/>
        <w:rPr>
          <w:sz w:val="20"/>
          <w:szCs w:val="20"/>
          <w:color w:val="auto"/>
        </w:rPr>
      </w:pPr>
      <w:r>
        <w:rPr>
          <w:rFonts w:ascii="Arial" w:cs="Arial" w:eastAsia="Arial" w:hAnsi="Arial"/>
          <w:sz w:val="15"/>
          <w:szCs w:val="15"/>
          <w:color w:val="auto"/>
        </w:rPr>
        <w:t>During the first nine months of fiscal 2021, the Company’s effective tax rate on its income before taxes was a benefit of 32.7%. The effective tax rate for the first nine months of fiscal 2021 was favorably impacted primarily by (i) the tax benefit arising from the reduction in value of certain businesses for income tax purposes, (ii) decreases to valuation allowances, and (iii) the mix of income in lower tax jurisdictions, partially offset by (iv) increases to unrecognized tax benefit reserves.</w:t>
      </w:r>
    </w:p>
    <w:p>
      <w:pPr>
        <w:spacing w:after="0" w:line="158" w:lineRule="exact"/>
        <w:rPr>
          <w:sz w:val="20"/>
          <w:szCs w:val="20"/>
          <w:color w:val="auto"/>
        </w:rPr>
      </w:pPr>
    </w:p>
    <w:p>
      <w:pPr>
        <w:ind w:left="40" w:right="59" w:firstLine="337"/>
        <w:spacing w:after="0" w:line="274" w:lineRule="auto"/>
        <w:rPr>
          <w:sz w:val="20"/>
          <w:szCs w:val="20"/>
          <w:color w:val="auto"/>
        </w:rPr>
      </w:pPr>
      <w:r>
        <w:rPr>
          <w:rFonts w:ascii="Arial" w:cs="Arial" w:eastAsia="Arial" w:hAnsi="Arial"/>
          <w:sz w:val="15"/>
          <w:szCs w:val="15"/>
          <w:color w:val="auto"/>
        </w:rPr>
        <w:t>In January 2022, the U.S. Treasury published new regulations impacting foreign tax credit utilization. The Company has determined there is no material impact of the regulations to the Company’s financial position.</w:t>
      </w:r>
    </w:p>
    <w:p>
      <w:pPr>
        <w:spacing w:after="0" w:line="146" w:lineRule="exact"/>
        <w:rPr>
          <w:sz w:val="20"/>
          <w:szCs w:val="20"/>
          <w:color w:val="auto"/>
        </w:rPr>
      </w:pPr>
    </w:p>
    <w:p>
      <w:pPr>
        <w:ind w:left="40" w:right="219" w:firstLine="337"/>
        <w:spacing w:after="0" w:line="258" w:lineRule="auto"/>
        <w:rPr>
          <w:sz w:val="20"/>
          <w:szCs w:val="20"/>
          <w:color w:val="auto"/>
        </w:rPr>
      </w:pPr>
      <w:r>
        <w:rPr>
          <w:rFonts w:ascii="Arial" w:cs="Arial" w:eastAsia="Arial" w:hAnsi="Arial"/>
          <w:sz w:val="15"/>
          <w:szCs w:val="15"/>
          <w:color w:val="auto"/>
        </w:rPr>
        <w:t>The Company has established a full valuation allowance against its deferred tax assets in the United States. As a result of improved profitability in the United States, primarily due to the performance of the Company’s Americas business, the Company expects to release the valuation allowance established in the United States in the fourth quarter of fiscal 2022. As a result, the discrete tax benefit from the release of the valuation allowance will reduce the effective tax rate for fiscal 2022.</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Income</w:t>
      </w:r>
    </w:p>
    <w:p>
      <w:pPr>
        <w:spacing w:after="0" w:line="191" w:lineRule="exact"/>
        <w:rPr>
          <w:sz w:val="20"/>
          <w:szCs w:val="20"/>
          <w:color w:val="auto"/>
        </w:rPr>
      </w:pPr>
    </w:p>
    <w:p>
      <w:pPr>
        <w:ind w:left="40" w:right="79" w:firstLine="356"/>
        <w:spacing w:after="0" w:line="262" w:lineRule="auto"/>
        <w:rPr>
          <w:sz w:val="20"/>
          <w:szCs w:val="20"/>
          <w:color w:val="auto"/>
        </w:rPr>
      </w:pPr>
      <w:r>
        <w:rPr>
          <w:rFonts w:ascii="Arial" w:cs="Arial" w:eastAsia="Arial" w:hAnsi="Arial"/>
          <w:sz w:val="15"/>
          <w:szCs w:val="15"/>
          <w:color w:val="auto"/>
        </w:rPr>
        <w:t>As a result of the factors described in the preceding sections of this MD&amp;A, the Company’s net income for the third quarter of fiscal 2022 was $183.4 million, or $1.84 per share on a diluted basis, as compared with $107.5 million, or $1.07 per share on a diluted basis, in the third quarter of fiscal 2021.</w:t>
      </w:r>
    </w:p>
    <w:p>
      <w:pPr>
        <w:spacing w:after="0" w:line="155" w:lineRule="exact"/>
        <w:rPr>
          <w:sz w:val="20"/>
          <w:szCs w:val="20"/>
          <w:color w:val="auto"/>
        </w:rPr>
      </w:pPr>
    </w:p>
    <w:p>
      <w:pPr>
        <w:ind w:left="40" w:right="79" w:firstLine="356"/>
        <w:spacing w:after="0" w:line="262" w:lineRule="auto"/>
        <w:rPr>
          <w:sz w:val="20"/>
          <w:szCs w:val="20"/>
          <w:color w:val="auto"/>
        </w:rPr>
      </w:pPr>
      <w:r>
        <w:rPr>
          <w:rFonts w:ascii="Arial" w:cs="Arial" w:eastAsia="Arial" w:hAnsi="Arial"/>
          <w:sz w:val="15"/>
          <w:szCs w:val="15"/>
          <w:color w:val="auto"/>
        </w:rPr>
        <w:t>As a result of the factors described in the preceding sections of this MD&amp;A, the Company’s net income for the first nine months of fiscal 2022 was $445.6 million, or $4.44 per share on a diluted basis, as compared with $107.8 million, or $1.08 per share on a diluted basis, in the first nine months of fiscal 2021.</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5" w:name="page26"/>
    <w:bookmarkEnd w:id="2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LIQUIDITY AND CAPITAL RESOURCES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Cash Flow</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Cash Flow from Operating Activities</w:t>
      </w:r>
    </w:p>
    <w:p>
      <w:pPr>
        <w:spacing w:after="0" w:line="187" w:lineRule="exact"/>
        <w:rPr>
          <w:sz w:val="20"/>
          <w:szCs w:val="20"/>
          <w:color w:val="auto"/>
        </w:rPr>
      </w:pPr>
    </w:p>
    <w:p>
      <w:pPr>
        <w:ind w:left="40" w:right="119" w:firstLine="360"/>
        <w:spacing w:after="0" w:line="272" w:lineRule="auto"/>
        <w:rPr>
          <w:sz w:val="20"/>
          <w:szCs w:val="20"/>
          <w:color w:val="auto"/>
        </w:rPr>
      </w:pPr>
      <w:r>
        <w:rPr>
          <w:rFonts w:ascii="Arial" w:cs="Arial" w:eastAsia="Arial" w:hAnsi="Arial"/>
          <w:sz w:val="14"/>
          <w:szCs w:val="14"/>
          <w:color w:val="auto"/>
        </w:rPr>
        <w:t>During the first nine months of fiscal 2022, the Company used $19.4 million of cash flow for operations compared to $197.5 million of cash generated from operations in the first nine months of fiscal 2021.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used for working capital and other was $660.8 million during the first nine months of fiscal 2022, including increases in accounts receivable of $881.0 million, and in inventories of $550.0 million both to support sales growth in the first nine months of fiscal 2022, partially offset by increases in accounts payable of $628.8 million, and in accrued expenses and other of $141.4 million. Comparatively, cash used for working capital and other was $112.0 million during the first nine months of fiscal 2021, including an increase in accounts receivable of $405.7 million, offset by a decrease in inventories of $63.0 million, increases in accounts payable of $224.2 million, and accrued expenses and other of $6.5 million.</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Cash Flow from Financing Activities</w:t>
      </w:r>
    </w:p>
    <w:p>
      <w:pPr>
        <w:spacing w:after="0" w:line="187" w:lineRule="exact"/>
        <w:rPr>
          <w:sz w:val="20"/>
          <w:szCs w:val="20"/>
          <w:color w:val="auto"/>
        </w:rPr>
      </w:pPr>
    </w:p>
    <w:p>
      <w:pPr>
        <w:jc w:val="both"/>
        <w:ind w:left="40" w:right="79" w:firstLine="360"/>
        <w:spacing w:after="0" w:line="262" w:lineRule="auto"/>
        <w:rPr>
          <w:sz w:val="20"/>
          <w:szCs w:val="20"/>
          <w:color w:val="auto"/>
        </w:rPr>
      </w:pPr>
      <w:r>
        <w:rPr>
          <w:rFonts w:ascii="Arial" w:cs="Arial" w:eastAsia="Arial" w:hAnsi="Arial"/>
          <w:sz w:val="15"/>
          <w:szCs w:val="15"/>
          <w:color w:val="auto"/>
        </w:rPr>
        <w:t>During the first nine months of fiscal 2022, the Company received net proceeds of $57.4 million under the Securitization Program, and $118.0 million under the other short-term debt. During the first nine months of fiscal 2022, the Company paid dividends on common stock of $73.3 million and repurchased $89.0 million of common stock.</w:t>
      </w:r>
    </w:p>
    <w:p>
      <w:pPr>
        <w:spacing w:after="0" w:line="155" w:lineRule="exact"/>
        <w:rPr>
          <w:sz w:val="20"/>
          <w:szCs w:val="20"/>
          <w:color w:val="auto"/>
        </w:rPr>
      </w:pPr>
    </w:p>
    <w:p>
      <w:pPr>
        <w:jc w:val="both"/>
        <w:ind w:left="40" w:right="59" w:firstLine="360"/>
        <w:spacing w:after="0" w:line="274" w:lineRule="auto"/>
        <w:rPr>
          <w:sz w:val="20"/>
          <w:szCs w:val="20"/>
          <w:color w:val="auto"/>
        </w:rPr>
      </w:pPr>
      <w:r>
        <w:rPr>
          <w:rFonts w:ascii="Arial" w:cs="Arial" w:eastAsia="Arial" w:hAnsi="Arial"/>
          <w:sz w:val="15"/>
          <w:szCs w:val="15"/>
          <w:color w:val="auto"/>
        </w:rPr>
        <w:t>During the first nine months of fiscal 2021, the Company made a net repayment of $232.3 million under the Credit Facility and paid dividends on common stock of $62.4 million.</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Cash Flow from Investing Activities</w:t>
      </w:r>
    </w:p>
    <w:p>
      <w:pPr>
        <w:spacing w:after="0" w:line="187" w:lineRule="exact"/>
        <w:rPr>
          <w:sz w:val="20"/>
          <w:szCs w:val="20"/>
          <w:color w:val="auto"/>
        </w:rPr>
      </w:pPr>
    </w:p>
    <w:p>
      <w:pPr>
        <w:ind w:left="40" w:right="99" w:firstLine="360"/>
        <w:spacing w:after="0" w:line="258" w:lineRule="auto"/>
        <w:rPr>
          <w:sz w:val="20"/>
          <w:szCs w:val="20"/>
          <w:color w:val="auto"/>
        </w:rPr>
      </w:pPr>
      <w:r>
        <w:rPr>
          <w:rFonts w:ascii="Arial" w:cs="Arial" w:eastAsia="Arial" w:hAnsi="Arial"/>
          <w:sz w:val="15"/>
          <w:szCs w:val="15"/>
          <w:color w:val="auto"/>
        </w:rPr>
        <w:t>During the first nine months of fiscal 2022, the Company used $33.7 million for capital expenditures compared to $39.0 million for capital expenditures in the first nine months of fiscal 2021. During the first nine months of fiscal 2022, the Company received $84.3 million from investing activities related to the liquidation of Company owned life insurance policies. During the first nine months of fiscal 2021, the Company paid $18.4 million for an asset acquisition.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Contractual Obligations</w:t>
      </w:r>
    </w:p>
    <w:p>
      <w:pPr>
        <w:spacing w:after="0" w:line="191" w:lineRule="exact"/>
        <w:rPr>
          <w:sz w:val="20"/>
          <w:szCs w:val="20"/>
          <w:color w:val="auto"/>
        </w:rPr>
      </w:pPr>
    </w:p>
    <w:p>
      <w:pPr>
        <w:ind w:left="40" w:right="199" w:firstLine="360"/>
        <w:spacing w:after="0" w:line="256" w:lineRule="auto"/>
        <w:rPr>
          <w:sz w:val="20"/>
          <w:szCs w:val="20"/>
          <w:color w:val="auto"/>
        </w:rPr>
      </w:pPr>
      <w:r>
        <w:rPr>
          <w:rFonts w:ascii="Arial" w:cs="Arial" w:eastAsia="Arial" w:hAnsi="Arial"/>
          <w:sz w:val="15"/>
          <w:szCs w:val="15"/>
          <w:color w:val="auto"/>
        </w:rPr>
        <w:t xml:space="preserve">For a detailed description of the Company’s long-term debt and lease commitments for the next five years and thereafter, see </w:t>
      </w:r>
      <w:r>
        <w:rPr>
          <w:rFonts w:ascii="Arial" w:cs="Arial" w:eastAsia="Arial" w:hAnsi="Arial"/>
          <w:sz w:val="15"/>
          <w:szCs w:val="15"/>
          <w:i w:val="1"/>
          <w:iCs w:val="1"/>
          <w:color w:val="auto"/>
        </w:rPr>
        <w:t>Long-Term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Contractual Obligations </w:t>
      </w:r>
      <w:r>
        <w:rPr>
          <w:rFonts w:ascii="Arial" w:cs="Arial" w:eastAsia="Arial" w:hAnsi="Arial"/>
          <w:sz w:val="15"/>
          <w:szCs w:val="15"/>
          <w:color w:val="auto"/>
        </w:rPr>
        <w:t>appearing in Item 7 of the Company’s Annual Report on Form 10-K for the fiscal year ended July 3, 2021. There are no</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Financing Transactions</w:t>
      </w:r>
    </w:p>
    <w:p>
      <w:pPr>
        <w:spacing w:after="0" w:line="191" w:lineRule="exact"/>
        <w:rPr>
          <w:sz w:val="20"/>
          <w:szCs w:val="20"/>
          <w:color w:val="auto"/>
        </w:rPr>
      </w:pPr>
    </w:p>
    <w:p>
      <w:pPr>
        <w:ind w:left="40" w:right="179" w:firstLine="360"/>
        <w:spacing w:after="0" w:line="321" w:lineRule="auto"/>
        <w:rPr>
          <w:sz w:val="20"/>
          <w:szCs w:val="20"/>
          <w:color w:val="auto"/>
        </w:rPr>
      </w:pPr>
      <w:r>
        <w:rPr>
          <w:rFonts w:ascii="Arial" w:cs="Arial" w:eastAsia="Arial" w:hAnsi="Arial"/>
          <w:sz w:val="13"/>
          <w:szCs w:val="13"/>
          <w:color w:val="auto"/>
        </w:rPr>
        <w:t>See Note 4, “Debt” to the Company’s consolidated financial statements included in this Quarterly Report on Form 10-Q for additional information on financing transactions including the Credit Facility, the Securitization Program, and other outstanding debt as of April 2, 2022. The Company was in compliance with all covenants under the Credit Facility and the Securitization Program as of April 2, 2022, and July 3, 2021.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6" w:name="page27"/>
    <w:bookmarkEnd w:id="2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firstLine="356"/>
        <w:spacing w:after="0" w:line="262" w:lineRule="auto"/>
        <w:rPr>
          <w:sz w:val="20"/>
          <w:szCs w:val="20"/>
          <w:color w:val="auto"/>
        </w:rPr>
      </w:pPr>
      <w:r>
        <w:rPr>
          <w:rFonts w:ascii="Arial" w:cs="Arial" w:eastAsia="Arial" w:hAnsi="Arial"/>
          <w:sz w:val="15"/>
          <w:szCs w:val="15"/>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third quarter of fiscal 2022 was $74.3 million.</w:t>
      </w:r>
    </w:p>
    <w:p>
      <w:pPr>
        <w:spacing w:after="0" w:line="155" w:lineRule="exact"/>
        <w:rPr>
          <w:sz w:val="20"/>
          <w:szCs w:val="20"/>
          <w:color w:val="auto"/>
        </w:rPr>
      </w:pPr>
    </w:p>
    <w:p>
      <w:pPr>
        <w:ind w:left="40" w:right="199" w:firstLine="356"/>
        <w:spacing w:after="0" w:line="282" w:lineRule="auto"/>
        <w:rPr>
          <w:sz w:val="20"/>
          <w:szCs w:val="20"/>
          <w:color w:val="auto"/>
        </w:rPr>
      </w:pPr>
      <w:r>
        <w:rPr>
          <w:rFonts w:ascii="Arial" w:cs="Arial" w:eastAsia="Arial" w:hAnsi="Arial"/>
          <w:sz w:val="14"/>
          <w:szCs w:val="14"/>
          <w:color w:val="auto"/>
        </w:rPr>
        <w:t>As an alternative form of financing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Liquidity</w:t>
      </w:r>
    </w:p>
    <w:p>
      <w:pPr>
        <w:spacing w:after="0" w:line="191" w:lineRule="exact"/>
        <w:rPr>
          <w:sz w:val="20"/>
          <w:szCs w:val="20"/>
          <w:color w:val="auto"/>
        </w:rPr>
      </w:pPr>
    </w:p>
    <w:p>
      <w:pPr>
        <w:ind w:left="40" w:right="219" w:firstLine="360"/>
        <w:spacing w:after="0" w:line="262" w:lineRule="auto"/>
        <w:rPr>
          <w:sz w:val="20"/>
          <w:szCs w:val="20"/>
          <w:color w:val="auto"/>
        </w:rPr>
      </w:pPr>
      <w:r>
        <w:rPr>
          <w:rFonts w:ascii="Arial" w:cs="Arial" w:eastAsia="Arial" w:hAnsi="Arial"/>
          <w:sz w:val="15"/>
          <w:szCs w:val="15"/>
          <w:color w:val="auto"/>
        </w:rPr>
        <w:t>The Company held cash and cash equivalents of $199.5 million as of April 2, 2022, of which $114.1 million was held outside the United States. As of July 3, 2021, the Company held cash and cash equivalents of $199.7 million, of which $150.5 million was held outside of the United States.</w:t>
      </w:r>
    </w:p>
    <w:p>
      <w:pPr>
        <w:spacing w:after="0" w:line="155" w:lineRule="exact"/>
        <w:rPr>
          <w:sz w:val="20"/>
          <w:szCs w:val="20"/>
          <w:color w:val="auto"/>
        </w:rPr>
      </w:pPr>
    </w:p>
    <w:p>
      <w:pPr>
        <w:ind w:left="40" w:right="159" w:firstLine="356"/>
        <w:spacing w:after="0" w:line="256" w:lineRule="auto"/>
        <w:rPr>
          <w:sz w:val="20"/>
          <w:szCs w:val="20"/>
          <w:color w:val="auto"/>
        </w:rPr>
      </w:pPr>
      <w:r>
        <w:rPr>
          <w:rFonts w:ascii="Arial" w:cs="Arial" w:eastAsia="Arial" w:hAnsi="Arial"/>
          <w:sz w:val="15"/>
          <w:szCs w:val="15"/>
          <w:color w:val="auto"/>
        </w:rPr>
        <w:t>As of the end of the third quarter of fiscal 2022, the Company had a combined total borrowing capacity of $1.70 billion under the Credit Facility and the Securitization Program. There were no borrowings outstanding and $1.2 million in letters of credit issued under the Credit Facility, and $80.3 million outstanding under the Securitization Program, resulting in approximately $1.62 billion of total availability as of April 2, 2022. Availability under the Securitization Program is subject to the Company having sufficient eligible trade accounts receivable in the United States to support desired borrowings.</w:t>
      </w:r>
    </w:p>
    <w:p>
      <w:pPr>
        <w:spacing w:after="0" w:line="160" w:lineRule="exact"/>
        <w:rPr>
          <w:sz w:val="20"/>
          <w:szCs w:val="20"/>
          <w:color w:val="auto"/>
        </w:rPr>
      </w:pPr>
    </w:p>
    <w:p>
      <w:pPr>
        <w:ind w:left="40" w:right="119" w:firstLine="360"/>
        <w:spacing w:after="0" w:line="262" w:lineRule="auto"/>
        <w:rPr>
          <w:sz w:val="20"/>
          <w:szCs w:val="20"/>
          <w:color w:val="auto"/>
        </w:rPr>
      </w:pPr>
      <w:r>
        <w:rPr>
          <w:rFonts w:ascii="Arial" w:cs="Arial" w:eastAsia="Arial" w:hAnsi="Arial"/>
          <w:sz w:val="15"/>
          <w:szCs w:val="15"/>
          <w:color w:val="auto"/>
        </w:rPr>
        <w:t>During the third quarter and first nine months of fiscal 2022, the Company had an average daily balance outstanding of approximately $694.6 million and $522.7 million, respectively, under the Credit Facility and approximately $266.9 million and $227.3 million, respectively, under the Securitization Program.</w:t>
      </w:r>
    </w:p>
    <w:p>
      <w:pPr>
        <w:spacing w:after="0" w:line="155" w:lineRule="exact"/>
        <w:rPr>
          <w:sz w:val="20"/>
          <w:szCs w:val="20"/>
          <w:color w:val="auto"/>
        </w:rPr>
      </w:pPr>
    </w:p>
    <w:p>
      <w:pPr>
        <w:ind w:left="40" w:right="179" w:firstLine="360"/>
        <w:spacing w:after="0" w:line="289" w:lineRule="auto"/>
        <w:rPr>
          <w:sz w:val="20"/>
          <w:szCs w:val="20"/>
          <w:color w:val="auto"/>
        </w:rPr>
      </w:pPr>
      <w:r>
        <w:rPr>
          <w:rFonts w:ascii="Arial" w:cs="Arial" w:eastAsia="Arial" w:hAnsi="Arial"/>
          <w:sz w:val="14"/>
          <w:szCs w:val="14"/>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$126.0 million in cash flows for operating activities over the trailing four fiscal quarters ended April 2, 2022.</w:t>
      </w:r>
    </w:p>
    <w:p>
      <w:pPr>
        <w:spacing w:after="0" w:line="138" w:lineRule="exact"/>
        <w:rPr>
          <w:sz w:val="20"/>
          <w:szCs w:val="20"/>
          <w:color w:val="auto"/>
        </w:rPr>
      </w:pPr>
    </w:p>
    <w:p>
      <w:pPr>
        <w:ind w:left="40" w:right="239" w:firstLine="356"/>
        <w:spacing w:after="0" w:line="304" w:lineRule="auto"/>
        <w:rPr>
          <w:sz w:val="20"/>
          <w:szCs w:val="20"/>
          <w:color w:val="auto"/>
        </w:rPr>
      </w:pPr>
      <w:r>
        <w:rPr>
          <w:rFonts w:ascii="Arial" w:cs="Arial" w:eastAsia="Arial" w:hAnsi="Arial"/>
          <w:sz w:val="13"/>
          <w:szCs w:val="13"/>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33" w:lineRule="exact"/>
        <w:rPr>
          <w:sz w:val="20"/>
          <w:szCs w:val="20"/>
          <w:color w:val="auto"/>
        </w:rPr>
      </w:pPr>
    </w:p>
    <w:p>
      <w:pPr>
        <w:ind w:left="40" w:right="179" w:firstLine="356"/>
        <w:spacing w:after="0" w:line="278" w:lineRule="auto"/>
        <w:rPr>
          <w:sz w:val="20"/>
          <w:szCs w:val="20"/>
          <w:color w:val="auto"/>
        </w:rPr>
      </w:pPr>
      <w:r>
        <w:rPr>
          <w:rFonts w:ascii="Arial" w:cs="Arial" w:eastAsia="Arial" w:hAnsi="Arial"/>
          <w:sz w:val="14"/>
          <w:szCs w:val="14"/>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including the $350 million of Notes due December 2022, in the future and management believes the Company will have adequate access to capital markets, if needed. The Company has historically generated operating cash flows and believes it will have the ability to do so in the future.</w:t>
      </w:r>
    </w:p>
    <w:p>
      <w:pPr>
        <w:spacing w:after="0" w:line="147" w:lineRule="exact"/>
        <w:rPr>
          <w:sz w:val="20"/>
          <w:szCs w:val="20"/>
          <w:color w:val="auto"/>
        </w:rPr>
      </w:pPr>
    </w:p>
    <w:p>
      <w:pPr>
        <w:jc w:val="both"/>
        <w:ind w:left="40" w:right="119" w:firstLine="356"/>
        <w:spacing w:after="0" w:line="310" w:lineRule="auto"/>
        <w:rPr>
          <w:sz w:val="20"/>
          <w:szCs w:val="20"/>
          <w:color w:val="auto"/>
        </w:rPr>
      </w:pPr>
      <w:r>
        <w:rPr>
          <w:rFonts w:ascii="Arial" w:cs="Arial" w:eastAsia="Arial" w:hAnsi="Arial"/>
          <w:sz w:val="13"/>
          <w:szCs w:val="13"/>
          <w:color w:val="auto"/>
        </w:rPr>
        <w:t>As of April 2, 2022, the Company may repurchase up to an aggregate of $378.0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third quarter of fiscal 2022, the Company repurchased $45.1 million of common stock.</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7" w:name="page28"/>
    <w:bookmarkEnd w:id="2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firstLine="356"/>
        <w:spacing w:after="0" w:line="262" w:lineRule="auto"/>
        <w:rPr>
          <w:sz w:val="20"/>
          <w:szCs w:val="20"/>
          <w:color w:val="auto"/>
        </w:rPr>
      </w:pPr>
      <w:r>
        <w:rPr>
          <w:rFonts w:ascii="Arial" w:cs="Arial" w:eastAsia="Arial" w:hAnsi="Arial"/>
          <w:sz w:val="15"/>
          <w:szCs w:val="15"/>
          <w:color w:val="auto"/>
        </w:rPr>
        <w:t>The Company has historically paid quarterly cash dividends on shares of its common stock, and future dividends are subject to approval by the Board of Directors. During the third quarter of fiscal 2022, the Board of Directors approved a dividend of $0.26 per share, which resulted in $25.6 million of dividend payments during the quarter.</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187" w:lineRule="exact"/>
        <w:rPr>
          <w:sz w:val="20"/>
          <w:szCs w:val="20"/>
          <w:color w:val="auto"/>
        </w:rPr>
      </w:pPr>
    </w:p>
    <w:p>
      <w:pPr>
        <w:ind w:left="40" w:right="159" w:firstLine="360"/>
        <w:spacing w:after="0" w:line="274" w:lineRule="auto"/>
        <w:rPr>
          <w:sz w:val="20"/>
          <w:szCs w:val="20"/>
          <w:color w:val="auto"/>
        </w:rPr>
      </w:pPr>
      <w:r>
        <w:rPr>
          <w:rFonts w:ascii="Arial" w:cs="Arial" w:eastAsia="Arial" w:hAnsi="Arial"/>
          <w:sz w:val="15"/>
          <w:szCs w:val="15"/>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4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i w:val="1"/>
          <w:iCs w:val="1"/>
          <w:color w:val="auto"/>
        </w:rPr>
        <w:t>Quantitative and Qualitative Disclosures About Market Risk</w:t>
      </w:r>
    </w:p>
    <w:p>
      <w:pPr>
        <w:spacing w:after="0" w:line="191" w:lineRule="exact"/>
        <w:rPr>
          <w:sz w:val="20"/>
          <w:szCs w:val="20"/>
          <w:color w:val="auto"/>
        </w:rPr>
      </w:pPr>
    </w:p>
    <w:p>
      <w:pPr>
        <w:ind w:left="40" w:right="239" w:firstLine="360"/>
        <w:spacing w:after="0" w:line="289" w:lineRule="auto"/>
        <w:rPr>
          <w:sz w:val="20"/>
          <w:szCs w:val="20"/>
          <w:color w:val="auto"/>
        </w:rPr>
      </w:pPr>
      <w:r>
        <w:rPr>
          <w:rFonts w:ascii="Arial" w:cs="Arial" w:eastAsia="Arial" w:hAnsi="Arial"/>
          <w:sz w:val="14"/>
          <w:szCs w:val="14"/>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38" w:lineRule="exact"/>
        <w:rPr>
          <w:sz w:val="20"/>
          <w:szCs w:val="20"/>
          <w:color w:val="auto"/>
        </w:rPr>
      </w:pPr>
    </w:p>
    <w:p>
      <w:pPr>
        <w:ind w:left="40" w:right="139" w:firstLine="356"/>
        <w:spacing w:after="0" w:line="276" w:lineRule="auto"/>
        <w:rPr>
          <w:sz w:val="20"/>
          <w:szCs w:val="20"/>
          <w:color w:val="auto"/>
        </w:rPr>
      </w:pPr>
      <w:r>
        <w:rPr>
          <w:rFonts w:ascii="Arial" w:cs="Arial" w:eastAsia="Arial" w:hAnsi="Arial"/>
          <w:sz w:val="14"/>
          <w:szCs w:val="14"/>
          <w:color w:val="auto"/>
        </w:rPr>
        <w:t xml:space="preserve">See Item 7A, </w:t>
      </w:r>
      <w:r>
        <w:rPr>
          <w:rFonts w:ascii="Arial" w:cs="Arial" w:eastAsia="Arial" w:hAnsi="Arial"/>
          <w:sz w:val="14"/>
          <w:szCs w:val="14"/>
          <w:i w:val="1"/>
          <w:iCs w:val="1"/>
          <w:color w:val="auto"/>
        </w:rPr>
        <w:t>Quantitative and Qualitative Disclosures About Market Risk</w:t>
      </w:r>
      <w:r>
        <w:rPr>
          <w:rFonts w:ascii="Arial" w:cs="Arial" w:eastAsia="Arial" w:hAnsi="Arial"/>
          <w:sz w:val="14"/>
          <w:szCs w:val="14"/>
          <w:color w:val="auto"/>
        </w:rPr>
        <w:t>, in the Company’s Annual Report on Form 10-K for the fiscal year ended July 3, 2021, for further discussion of market risks associated with foreign currency exchange rates and interest rates. Avnet’s exposure to such risks has not changed materially since July 3, 2021,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49" w:lineRule="exact"/>
        <w:rPr>
          <w:sz w:val="20"/>
          <w:szCs w:val="20"/>
          <w:color w:val="auto"/>
        </w:rPr>
      </w:pPr>
    </w:p>
    <w:p>
      <w:pPr>
        <w:ind w:left="40" w:right="179" w:firstLine="356"/>
        <w:spacing w:after="0" w:line="256" w:lineRule="auto"/>
        <w:rPr>
          <w:sz w:val="20"/>
          <w:szCs w:val="20"/>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Liquidity and Capital Resources — Financing Transactions</w:t>
      </w:r>
      <w:r>
        <w:rPr>
          <w:rFonts w:ascii="Arial" w:cs="Arial" w:eastAsia="Arial" w:hAnsi="Arial"/>
          <w:sz w:val="15"/>
          <w:szCs w:val="15"/>
          <w:color w:val="auto"/>
        </w:rPr>
        <w:t xml:space="preserve"> appearing in Item 2 of this Quarterly Report on Form 10-Q for further discussion of the Company’s financing transactions and capital structure. As of April 2, 2022, approximately 89% of the Company’s debt bears interest at a fixed rate and 11% of the Company’s debt bears interest at variable rates. Therefore, a hypothetical 1.0% (100 basis points) increase in interest rates would result in a $0.4 million decrease in income before income taxes in the Company’s consolidated statement of operations for the third quarter of fiscal 2022.</w:t>
      </w:r>
    </w:p>
    <w:p>
      <w:pPr>
        <w:spacing w:after="0" w:line="15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91" w:lineRule="exact"/>
        <w:rPr>
          <w:sz w:val="20"/>
          <w:szCs w:val="20"/>
          <w:color w:val="auto"/>
        </w:rPr>
      </w:pPr>
    </w:p>
    <w:p>
      <w:pPr>
        <w:ind w:left="40" w:right="79" w:firstLine="360"/>
        <w:spacing w:after="0" w:line="274" w:lineRule="auto"/>
        <w:rPr>
          <w:sz w:val="20"/>
          <w:szCs w:val="20"/>
          <w:color w:val="auto"/>
        </w:rPr>
      </w:pPr>
      <w:r>
        <w:rPr>
          <w:rFonts w:ascii="Arial" w:cs="Arial" w:eastAsia="Arial" w:hAnsi="Arial"/>
          <w:sz w:val="14"/>
          <w:szCs w:val="14"/>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9" w:lineRule="exact"/>
        <w:rPr>
          <w:sz w:val="20"/>
          <w:szCs w:val="20"/>
          <w:color w:val="auto"/>
        </w:rPr>
      </w:pPr>
    </w:p>
    <w:p>
      <w:pPr>
        <w:ind w:left="40" w:right="479" w:firstLine="360"/>
        <w:spacing w:after="0" w:line="262" w:lineRule="auto"/>
        <w:rPr>
          <w:sz w:val="20"/>
          <w:szCs w:val="20"/>
          <w:color w:val="auto"/>
        </w:rPr>
      </w:pPr>
      <w:r>
        <w:rPr>
          <w:rFonts w:ascii="Arial" w:cs="Arial" w:eastAsia="Arial" w:hAnsi="Arial"/>
          <w:sz w:val="15"/>
          <w:szCs w:val="15"/>
          <w:color w:val="auto"/>
        </w:rPr>
        <w:t>During the third quarter of fiscal 2022,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8" w:name="page29"/>
    <w:bookmarkEnd w:id="2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OTHER INFORMATION</w:t>
      </w:r>
    </w:p>
    <w:p>
      <w:pPr>
        <w:spacing w:after="0" w:line="18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i w:val="1"/>
          <w:iCs w:val="1"/>
          <w:color w:val="auto"/>
        </w:rPr>
        <w:t>Legal Proceedings</w:t>
      </w:r>
    </w:p>
    <w:p>
      <w:pPr>
        <w:spacing w:after="0" w:line="191" w:lineRule="exact"/>
        <w:rPr>
          <w:sz w:val="20"/>
          <w:szCs w:val="20"/>
          <w:color w:val="auto"/>
        </w:rPr>
      </w:pPr>
    </w:p>
    <w:p>
      <w:pPr>
        <w:ind w:left="40" w:right="79" w:firstLine="360"/>
        <w:spacing w:after="0" w:line="256" w:lineRule="auto"/>
        <w:rPr>
          <w:sz w:val="20"/>
          <w:szCs w:val="20"/>
          <w:color w:val="auto"/>
        </w:rPr>
      </w:pPr>
      <w:r>
        <w:rPr>
          <w:rFonts w:ascii="Arial" w:cs="Arial" w:eastAsia="Arial" w:hAnsi="Arial"/>
          <w:sz w:val="15"/>
          <w:szCs w:val="15"/>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60" w:lineRule="exact"/>
        <w:rPr>
          <w:sz w:val="20"/>
          <w:szCs w:val="20"/>
          <w:color w:val="auto"/>
        </w:rPr>
      </w:pPr>
    </w:p>
    <w:p>
      <w:pPr>
        <w:ind w:left="40" w:right="119" w:firstLine="360"/>
        <w:spacing w:after="0" w:line="258" w:lineRule="auto"/>
        <w:rPr>
          <w:sz w:val="20"/>
          <w:szCs w:val="20"/>
          <w:color w:val="auto"/>
        </w:rPr>
      </w:pPr>
      <w:r>
        <w:rPr>
          <w:rFonts w:ascii="Arial" w:cs="Arial" w:eastAsia="Arial" w:hAnsi="Arial"/>
          <w:sz w:val="15"/>
          <w:szCs w:val="15"/>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i w:val="1"/>
          <w:iCs w:val="1"/>
          <w:color w:val="auto"/>
        </w:rPr>
        <w:t>Risk Factors</w:t>
      </w:r>
    </w:p>
    <w:p>
      <w:pPr>
        <w:spacing w:after="0" w:line="191" w:lineRule="exact"/>
        <w:rPr>
          <w:sz w:val="20"/>
          <w:szCs w:val="20"/>
          <w:color w:val="auto"/>
        </w:rPr>
      </w:pPr>
    </w:p>
    <w:p>
      <w:pPr>
        <w:ind w:left="40" w:right="79" w:firstLine="360"/>
        <w:spacing w:after="0" w:line="278" w:lineRule="auto"/>
        <w:rPr>
          <w:sz w:val="20"/>
          <w:szCs w:val="20"/>
          <w:color w:val="auto"/>
        </w:rPr>
      </w:pPr>
      <w:r>
        <w:rPr>
          <w:rFonts w:ascii="Arial" w:cs="Arial" w:eastAsia="Arial" w:hAnsi="Arial"/>
          <w:sz w:val="14"/>
          <w:szCs w:val="14"/>
          <w:color w:val="auto"/>
        </w:rPr>
        <w:t>The discussion of the Company’s business and operations should be read together with the risk factors contained in Item 1A of its Annual Report on Form 10-K for the fiscal year ended July 3, 2021,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April 2, 2022, there have been no material changes to the risk factors set forth in the Company’s Annual Report on Form 10-K for the fiscal year ended July 3, 2021.</w:t>
      </w:r>
    </w:p>
    <w:p>
      <w:pPr>
        <w:spacing w:after="0" w:line="14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2"/>
          <w:szCs w:val="12"/>
          <w:b w:val="1"/>
          <w:bCs w:val="1"/>
          <w:i w:val="1"/>
          <w:iCs w:val="1"/>
          <w:color w:val="auto"/>
        </w:rPr>
        <w:t>Unregistered Sales of Equity Securities and Use of Proceeds</w:t>
      </w:r>
    </w:p>
    <w:p>
      <w:pPr>
        <w:spacing w:after="0" w:line="191" w:lineRule="exact"/>
        <w:rPr>
          <w:sz w:val="20"/>
          <w:szCs w:val="20"/>
          <w:color w:val="auto"/>
        </w:rPr>
      </w:pPr>
    </w:p>
    <w:p>
      <w:pPr>
        <w:ind w:left="40" w:right="219" w:firstLine="360"/>
        <w:spacing w:after="0" w:line="258" w:lineRule="auto"/>
        <w:rPr>
          <w:sz w:val="20"/>
          <w:szCs w:val="20"/>
          <w:color w:val="auto"/>
        </w:rPr>
      </w:pPr>
      <w:r>
        <w:rPr>
          <w:rFonts w:ascii="Arial" w:cs="Arial" w:eastAsia="Arial" w:hAnsi="Arial"/>
          <w:sz w:val="15"/>
          <w:szCs w:val="15"/>
          <w:color w:val="auto"/>
        </w:rPr>
        <w:t>In August 2019, the Company’s Board of Directors amended the Company’s existing share repurchase program, increasing the cumulative total of authorized share repurchases to $2.95 billion of the Company’s common stock. The following table includes the Company’s monthly purchases of the Company’s common stock during the third quarter of fiscal 2022, under the share repurchase program, which is part of a publicly announced plan.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Approximate Dollar</w:t>
            </w:r>
          </w:p>
        </w:tc>
      </w:tr>
      <w:tr>
        <w:trPr>
          <w:trHeight w:val="180"/>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9"/>
              </w:rPr>
              <w:t>Total</w:t>
            </w:r>
          </w:p>
        </w:tc>
        <w:tc>
          <w:tcPr>
            <w:tcW w:w="18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Average</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87"/>
              </w:rPr>
              <w:t>Shares Purchased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Value of Shares That</w:t>
            </w:r>
          </w:p>
        </w:tc>
      </w:tr>
      <w:tr>
        <w:trPr>
          <w:trHeight w:val="180"/>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5"/>
              </w:rPr>
              <w:t>Number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Price</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90"/>
              </w:rPr>
              <w:t>as Part of Publicly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May Yet Be</w:t>
            </w:r>
          </w:p>
        </w:tc>
      </w:tr>
      <w:tr>
        <w:trPr>
          <w:trHeight w:val="180"/>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7"/>
              </w:rPr>
              <w:t>of Shares</w:t>
            </w:r>
          </w:p>
        </w:tc>
        <w:tc>
          <w:tcPr>
            <w:tcW w:w="18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Paid per</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88"/>
              </w:rPr>
              <w:t>Announced Plans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5"/>
                <w:szCs w:val="15"/>
                <w:b w:val="1"/>
                <w:bCs w:val="1"/>
                <w:color w:val="auto"/>
              </w:rPr>
              <w:t>Purchased under the</w:t>
            </w:r>
          </w:p>
        </w:tc>
      </w:tr>
      <w:tr>
        <w:trPr>
          <w:trHeight w:val="197"/>
        </w:trPr>
        <w:tc>
          <w:tcPr>
            <w:tcW w:w="3580" w:type="dxa"/>
            <w:vAlign w:val="bottom"/>
            <w:gridSpan w:val="2"/>
          </w:tcPr>
          <w:p>
            <w:pPr>
              <w:spacing w:after="0"/>
              <w:rPr>
                <w:sz w:val="20"/>
                <w:szCs w:val="20"/>
                <w:color w:val="auto"/>
              </w:rPr>
            </w:pPr>
            <w:r>
              <w:rPr>
                <w:rFonts w:ascii="Arial" w:cs="Arial" w:eastAsia="Arial" w:hAnsi="Arial"/>
                <w:sz w:val="15"/>
                <w:szCs w:val="15"/>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85"/>
              </w:rPr>
              <w:t>Purchased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Share</w:t>
            </w: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91"/>
              </w:rPr>
              <w:t>or Programs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Plans or Programs</w:t>
            </w:r>
          </w:p>
        </w:tc>
      </w:tr>
      <w:tr>
        <w:trPr>
          <w:trHeight w:val="18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2 – January 29</w:t>
            </w: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233,762</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40.07</w:t>
            </w:r>
          </w:p>
        </w:tc>
        <w:tc>
          <w:tcPr>
            <w:tcW w:w="1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233,762</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413,781,000</w:t>
            </w:r>
          </w:p>
        </w:tc>
        <w:tc>
          <w:tcPr>
            <w:tcW w:w="40" w:type="dxa"/>
            <w:vAlign w:val="bottom"/>
            <w:tcBorders>
              <w:top w:val="single" w:sz="8" w:color="CCEEFF"/>
            </w:tcBorders>
            <w:shd w:val="clear" w:color="auto" w:fill="CCEEFF"/>
          </w:tcPr>
          <w:p>
            <w:pPr>
              <w:spacing w:after="0"/>
              <w:rPr>
                <w:sz w:val="15"/>
                <w:szCs w:val="15"/>
                <w:color w:val="auto"/>
              </w:rPr>
            </w:pPr>
          </w:p>
        </w:tc>
      </w:tr>
      <w:tr>
        <w:trPr>
          <w:trHeight w:val="180"/>
        </w:trPr>
        <w:tc>
          <w:tcPr>
            <w:tcW w:w="3580" w:type="dxa"/>
            <w:vAlign w:val="bottom"/>
            <w:gridSpan w:val="2"/>
          </w:tcPr>
          <w:p>
            <w:pPr>
              <w:spacing w:after="0"/>
              <w:rPr>
                <w:sz w:val="20"/>
                <w:szCs w:val="20"/>
                <w:color w:val="auto"/>
              </w:rPr>
            </w:pPr>
            <w:r>
              <w:rPr>
                <w:rFonts w:ascii="Arial" w:cs="Arial" w:eastAsia="Arial" w:hAnsi="Arial"/>
                <w:sz w:val="15"/>
                <w:szCs w:val="15"/>
                <w:color w:val="auto"/>
              </w:rPr>
              <w:t>January 30 – February 26</w:t>
            </w:r>
          </w:p>
        </w:tc>
        <w:tc>
          <w:tcPr>
            <w:tcW w:w="820" w:type="dxa"/>
            <w:vAlign w:val="bottom"/>
          </w:tcPr>
          <w:p>
            <w:pPr>
              <w:jc w:val="right"/>
              <w:spacing w:after="0"/>
              <w:rPr>
                <w:sz w:val="20"/>
                <w:szCs w:val="20"/>
                <w:color w:val="auto"/>
              </w:rPr>
            </w:pPr>
            <w:r>
              <w:rPr>
                <w:rFonts w:ascii="Arial" w:cs="Arial" w:eastAsia="Arial" w:hAnsi="Arial"/>
                <w:sz w:val="15"/>
                <w:szCs w:val="15"/>
                <w:color w:val="auto"/>
              </w:rPr>
              <w:t>315,842</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40.64</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315,842</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400,945,000</w:t>
            </w:r>
          </w:p>
        </w:tc>
        <w:tc>
          <w:tcPr>
            <w:tcW w:w="40" w:type="dxa"/>
            <w:vAlign w:val="bottom"/>
          </w:tcPr>
          <w:p>
            <w:pPr>
              <w:spacing w:after="0"/>
              <w:rPr>
                <w:sz w:val="15"/>
                <w:szCs w:val="15"/>
                <w:color w:val="auto"/>
              </w:rPr>
            </w:pPr>
          </w:p>
        </w:tc>
      </w:tr>
      <w:tr>
        <w:trPr>
          <w:trHeight w:val="180"/>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27 – April 2</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550,800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41.63</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378,015,000</w:t>
            </w:r>
          </w:p>
        </w:tc>
        <w:tc>
          <w:tcPr>
            <w:tcW w:w="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9" w:name="page30"/>
    <w:bookmarkEnd w:id="2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i w:val="1"/>
          <w:iCs w:val="1"/>
          <w:color w:val="auto"/>
        </w:rPr>
        <w:t>Exhibits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Exhibit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2"/>
        </w:trPr>
        <w:tc>
          <w:tcPr>
            <w:tcW w:w="13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Number</w:t>
            </w:r>
          </w:p>
        </w:tc>
        <w:tc>
          <w:tcPr>
            <w:tcW w:w="40" w:type="dxa"/>
            <w:vAlign w:val="bottom"/>
          </w:tcPr>
          <w:p>
            <w:pPr>
              <w:spacing w:after="0"/>
              <w:rPr>
                <w:sz w:val="17"/>
                <w:szCs w:val="17"/>
                <w:color w:val="auto"/>
              </w:rPr>
            </w:pPr>
          </w:p>
        </w:tc>
        <w:tc>
          <w:tcPr>
            <w:tcW w:w="7560" w:type="dxa"/>
            <w:vAlign w:val="bottom"/>
            <w:gridSpan w:val="11"/>
          </w:tcPr>
          <w:p>
            <w:pPr>
              <w:spacing w:after="0"/>
              <w:rPr>
                <w:sz w:val="20"/>
                <w:szCs w:val="20"/>
                <w:color w:val="auto"/>
              </w:rPr>
            </w:pPr>
            <w:r>
              <w:rPr>
                <w:rFonts w:ascii="Arial" w:cs="Arial" w:eastAsia="Arial" w:hAnsi="Arial"/>
                <w:sz w:val="15"/>
                <w:szCs w:val="15"/>
                <w:b w:val="1"/>
                <w:bCs w:val="1"/>
                <w:color w:val="auto"/>
              </w:rPr>
              <w:t>Exhibit</w:t>
            </w:r>
          </w:p>
        </w:tc>
      </w:tr>
      <w:tr>
        <w:trPr>
          <w:trHeight w:val="23"/>
        </w:trPr>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329"/>
        </w:trPr>
        <w:tc>
          <w:tcPr>
            <w:tcW w:w="1100" w:type="dxa"/>
            <w:vAlign w:val="bottom"/>
          </w:tcPr>
          <w:p>
            <w:pPr>
              <w:jc w:val="right"/>
              <w:spacing w:after="0"/>
              <w:rPr>
                <w:sz w:val="20"/>
                <w:szCs w:val="20"/>
                <w:color w:val="auto"/>
              </w:rPr>
            </w:pPr>
            <w:r>
              <w:rPr>
                <w:rFonts w:ascii="Arial" w:cs="Arial" w:eastAsia="Arial" w:hAnsi="Arial"/>
                <w:sz w:val="15"/>
                <w:szCs w:val="15"/>
                <w:color w:val="auto"/>
              </w:rPr>
              <w:t>10.1*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5"/>
                <w:szCs w:val="15"/>
                <w:color w:val="0000EE"/>
                <w:w w:val="91"/>
              </w:rPr>
            </w:pPr>
            <w:hyperlink w:anchor="page32">
              <w:r>
                <w:rPr>
                  <w:rFonts w:ascii="Arial" w:cs="Arial" w:eastAsia="Arial" w:hAnsi="Arial"/>
                  <w:sz w:val="15"/>
                  <w:szCs w:val="15"/>
                  <w:color w:val="0000EE"/>
                  <w:w w:val="91"/>
                </w:rPr>
                <w:t>Amendment No. 5 to the Fourth Amended and Restated Receivables Purchase Agreement, dated January 10, 2022, among</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0"/>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560" w:type="dxa"/>
            <w:vAlign w:val="bottom"/>
            <w:gridSpan w:val="11"/>
          </w:tcPr>
          <w:p>
            <w:pPr>
              <w:spacing w:after="0" w:line="160" w:lineRule="exact"/>
              <w:rPr>
                <w:rFonts w:ascii="Arial" w:cs="Arial" w:eastAsia="Arial" w:hAnsi="Arial"/>
                <w:sz w:val="15"/>
                <w:szCs w:val="15"/>
                <w:color w:val="0000EE"/>
                <w:w w:val="92"/>
              </w:rPr>
            </w:pPr>
            <w:hyperlink w:anchor="page32">
              <w:r>
                <w:rPr>
                  <w:rFonts w:ascii="Arial" w:cs="Arial" w:eastAsia="Arial" w:hAnsi="Arial"/>
                  <w:sz w:val="15"/>
                  <w:szCs w:val="15"/>
                  <w:color w:val="0000EE"/>
                  <w:w w:val="92"/>
                </w:rPr>
                <w:t>Avnet, Inc., Avnet Receivables Corporation, Wells Fargo Bank, N.A., as agent, and the companies and financial institutions</w:t>
              </w:r>
            </w:hyperlink>
          </w:p>
        </w:tc>
      </w:tr>
      <w:tr>
        <w:trPr>
          <w:trHeight w:val="160"/>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0000EE"/>
              <w:bottom w:val="single" w:sz="8" w:color="0000EE"/>
            </w:tcBorders>
          </w:tcPr>
          <w:p>
            <w:pPr>
              <w:spacing w:after="0" w:line="160" w:lineRule="exact"/>
              <w:rPr>
                <w:rFonts w:ascii="Arial" w:cs="Arial" w:eastAsia="Arial" w:hAnsi="Arial"/>
                <w:sz w:val="15"/>
                <w:szCs w:val="15"/>
                <w:color w:val="0000EE"/>
                <w:w w:val="88"/>
              </w:rPr>
            </w:pPr>
            <w:hyperlink w:anchor="page32">
              <w:r>
                <w:rPr>
                  <w:rFonts w:ascii="Arial" w:cs="Arial" w:eastAsia="Arial" w:hAnsi="Arial"/>
                  <w:sz w:val="15"/>
                  <w:szCs w:val="15"/>
                  <w:color w:val="0000EE"/>
                  <w:w w:val="88"/>
                </w:rPr>
                <w:t>party thereto.</w:t>
              </w:r>
            </w:hyperlink>
          </w:p>
        </w:tc>
        <w:tc>
          <w:tcPr>
            <w:tcW w:w="6600" w:type="dxa"/>
            <w:vAlign w:val="bottom"/>
            <w:tcBorders>
              <w:top w:val="single" w:sz="8" w:color="0000EE"/>
            </w:tcBorders>
            <w:gridSpan w:val="9"/>
          </w:tcPr>
          <w:p>
            <w:pPr>
              <w:spacing w:after="0"/>
              <w:rPr>
                <w:sz w:val="13"/>
                <w:szCs w:val="13"/>
                <w:color w:val="auto"/>
              </w:rPr>
            </w:pPr>
          </w:p>
        </w:tc>
        <w:tc>
          <w:tcPr>
            <w:tcW w:w="160" w:type="dxa"/>
            <w:vAlign w:val="bottom"/>
          </w:tcPr>
          <w:p>
            <w:pPr>
              <w:spacing w:after="0"/>
              <w:rPr>
                <w:sz w:val="13"/>
                <w:szCs w:val="13"/>
                <w:color w:val="auto"/>
              </w:rPr>
            </w:pPr>
          </w:p>
        </w:tc>
      </w:tr>
      <w:tr>
        <w:trPr>
          <w:trHeight w:val="362"/>
        </w:trPr>
        <w:tc>
          <w:tcPr>
            <w:tcW w:w="1100" w:type="dxa"/>
            <w:vAlign w:val="bottom"/>
          </w:tcPr>
          <w:p>
            <w:pPr>
              <w:jc w:val="right"/>
              <w:spacing w:after="0"/>
              <w:rPr>
                <w:sz w:val="20"/>
                <w:szCs w:val="20"/>
                <w:color w:val="auto"/>
              </w:rPr>
            </w:pPr>
            <w:r>
              <w:rPr>
                <w:rFonts w:ascii="Arial" w:cs="Arial" w:eastAsia="Arial" w:hAnsi="Arial"/>
                <w:sz w:val="15"/>
                <w:szCs w:val="15"/>
                <w:color w:val="auto"/>
              </w:rPr>
              <w:t>10.2*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Avnet, Inc. 2021 Stock Compensation and Incentive Plan.</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62"/>
        </w:trPr>
        <w:tc>
          <w:tcPr>
            <w:tcW w:w="1100" w:type="dxa"/>
            <w:vAlign w:val="bottom"/>
          </w:tcPr>
          <w:p>
            <w:pPr>
              <w:jc w:val="right"/>
              <w:spacing w:after="0"/>
              <w:rPr>
                <w:sz w:val="20"/>
                <w:szCs w:val="20"/>
                <w:color w:val="auto"/>
              </w:rPr>
            </w:pPr>
            <w:r>
              <w:rPr>
                <w:rFonts w:ascii="Arial" w:cs="Arial" w:eastAsia="Arial" w:hAnsi="Arial"/>
                <w:sz w:val="15"/>
                <w:szCs w:val="15"/>
                <w:color w:val="auto"/>
              </w:rPr>
              <w:t>10.3*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Form of Awards under the Avnet, Inc. 2021 Stock Compensation and Incentive Plan:</w:t>
              </w:r>
            </w:hyperlink>
          </w:p>
        </w:tc>
      </w:tr>
      <w:tr>
        <w:trPr>
          <w:trHeight w:val="160"/>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80" w:type="dxa"/>
            <w:vAlign w:val="bottom"/>
            <w:tcBorders>
              <w:top w:val="single" w:sz="8" w:color="0000EE"/>
            </w:tcBorders>
            <w:gridSpan w:val="6"/>
          </w:tcPr>
          <w:p>
            <w:pPr>
              <w:spacing w:after="0" w:line="160" w:lineRule="exact"/>
              <w:rPr>
                <w:rFonts w:ascii="Arial" w:cs="Arial" w:eastAsia="Arial" w:hAnsi="Arial"/>
                <w:sz w:val="15"/>
                <w:szCs w:val="15"/>
                <w:color w:val="0000EE"/>
              </w:rPr>
            </w:pPr>
            <w:hyperlink w:anchor="page58">
              <w:r>
                <w:rPr>
                  <w:rFonts w:ascii="Arial" w:cs="Arial" w:eastAsia="Arial" w:hAnsi="Arial"/>
                  <w:sz w:val="15"/>
                  <w:szCs w:val="15"/>
                  <w:color w:val="0000EE"/>
                </w:rPr>
                <w:t>(a) Form of Award Letter for Restricted Stock Units Award</w:t>
              </w:r>
            </w:hyperlink>
          </w:p>
        </w:tc>
        <w:tc>
          <w:tcPr>
            <w:tcW w:w="248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17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20" w:type="dxa"/>
            <w:vAlign w:val="bottom"/>
            <w:tcBorders>
              <w:bottom w:val="single" w:sz="8" w:color="0000EE"/>
            </w:tcBorders>
            <w:gridSpan w:val="4"/>
          </w:tcPr>
          <w:p>
            <w:pPr>
              <w:spacing w:after="0" w:line="172" w:lineRule="exact"/>
              <w:rPr>
                <w:rFonts w:ascii="Arial" w:cs="Arial" w:eastAsia="Arial" w:hAnsi="Arial"/>
                <w:sz w:val="15"/>
                <w:szCs w:val="15"/>
                <w:color w:val="0000EE"/>
                <w:w w:val="92"/>
              </w:rPr>
            </w:pPr>
            <w:hyperlink w:anchor="page63">
              <w:r>
                <w:rPr>
                  <w:rFonts w:ascii="Arial" w:cs="Arial" w:eastAsia="Arial" w:hAnsi="Arial"/>
                  <w:sz w:val="15"/>
                  <w:szCs w:val="15"/>
                  <w:color w:val="0000EE"/>
                  <w:w w:val="92"/>
                </w:rPr>
                <w:t>(b) Form of Award Letter for Performance Stock Units Award</w:t>
              </w:r>
            </w:hyperlink>
          </w:p>
        </w:tc>
        <w:tc>
          <w:tcPr>
            <w:tcW w:w="3840" w:type="dxa"/>
            <w:vAlign w:val="bottom"/>
            <w:gridSpan w:val="7"/>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560" w:type="dxa"/>
            <w:vAlign w:val="bottom"/>
            <w:gridSpan w:val="11"/>
          </w:tcPr>
          <w:p>
            <w:pPr>
              <w:spacing w:after="0" w:line="172" w:lineRule="exact"/>
              <w:rPr>
                <w:rFonts w:ascii="Arial" w:cs="Arial" w:eastAsia="Arial" w:hAnsi="Arial"/>
                <w:sz w:val="15"/>
                <w:szCs w:val="15"/>
                <w:color w:val="0000EE"/>
              </w:rPr>
            </w:pPr>
            <w:hyperlink w:anchor="page68">
              <w:r>
                <w:rPr>
                  <w:rFonts w:ascii="Arial" w:cs="Arial" w:eastAsia="Arial" w:hAnsi="Arial"/>
                  <w:sz w:val="15"/>
                  <w:szCs w:val="15"/>
                  <w:color w:val="0000EE"/>
                </w:rPr>
                <w:t>(c) Form of Award Letter for Nonqualified Stock Option Award.</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62"/>
        </w:trPr>
        <w:tc>
          <w:tcPr>
            <w:tcW w:w="1100" w:type="dxa"/>
            <w:vAlign w:val="bottom"/>
          </w:tcPr>
          <w:p>
            <w:pPr>
              <w:jc w:val="right"/>
              <w:spacing w:after="0"/>
              <w:rPr>
                <w:sz w:val="20"/>
                <w:szCs w:val="20"/>
                <w:color w:val="auto"/>
              </w:rPr>
            </w:pPr>
            <w:r>
              <w:rPr>
                <w:rFonts w:ascii="Arial" w:cs="Arial" w:eastAsia="Arial" w:hAnsi="Arial"/>
                <w:sz w:val="15"/>
                <w:szCs w:val="15"/>
                <w:color w:val="auto"/>
              </w:rPr>
              <w:t>31.1*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5"/>
                <w:szCs w:val="15"/>
                <w:color w:val="0000EE"/>
              </w:rPr>
            </w:pPr>
            <w:hyperlink w:anchor="page74">
              <w:r>
                <w:rPr>
                  <w:rFonts w:ascii="Arial" w:cs="Arial" w:eastAsia="Arial" w:hAnsi="Arial"/>
                  <w:sz w:val="15"/>
                  <w:szCs w:val="15"/>
                  <w:color w:val="0000EE"/>
                </w:rPr>
                <w:t>Certification of Chief Executive Officer pursuant to Section 302 of the Sarbanes-Oxley Act of 2002.</w:t>
              </w:r>
            </w:hyperlink>
          </w:p>
        </w:tc>
      </w:tr>
      <w:tr>
        <w:trPr>
          <w:trHeight w:val="351"/>
        </w:trPr>
        <w:tc>
          <w:tcPr>
            <w:tcW w:w="1100" w:type="dxa"/>
            <w:vAlign w:val="bottom"/>
          </w:tcPr>
          <w:p>
            <w:pPr>
              <w:jc w:val="right"/>
              <w:spacing w:after="0"/>
              <w:rPr>
                <w:sz w:val="20"/>
                <w:szCs w:val="20"/>
                <w:color w:val="auto"/>
              </w:rPr>
            </w:pPr>
            <w:r>
              <w:rPr>
                <w:rFonts w:ascii="Arial" w:cs="Arial" w:eastAsia="Arial" w:hAnsi="Arial"/>
                <w:sz w:val="15"/>
                <w:szCs w:val="15"/>
                <w:color w:val="auto"/>
              </w:rPr>
              <w:t>31.2*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1"/>
              </w:rPr>
            </w:pPr>
            <w:hyperlink w:anchor="page75">
              <w:r>
                <w:rPr>
                  <w:rFonts w:ascii="Arial" w:cs="Arial" w:eastAsia="Arial" w:hAnsi="Arial"/>
                  <w:sz w:val="15"/>
                  <w:szCs w:val="15"/>
                  <w:color w:val="0000EE"/>
                  <w:w w:val="91"/>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1540" w:type="dxa"/>
            <w:vAlign w:val="bottom"/>
            <w:gridSpan w:val="3"/>
          </w:tcPr>
          <w:p>
            <w:pPr>
              <w:spacing w:after="0"/>
              <w:rPr>
                <w:sz w:val="24"/>
                <w:szCs w:val="24"/>
                <w:color w:val="auto"/>
              </w:rPr>
            </w:pPr>
          </w:p>
        </w:tc>
      </w:tr>
      <w:tr>
        <w:trPr>
          <w:trHeight w:val="351"/>
        </w:trPr>
        <w:tc>
          <w:tcPr>
            <w:tcW w:w="1100" w:type="dxa"/>
            <w:vAlign w:val="bottom"/>
          </w:tcPr>
          <w:p>
            <w:pPr>
              <w:jc w:val="right"/>
              <w:spacing w:after="0"/>
              <w:rPr>
                <w:sz w:val="20"/>
                <w:szCs w:val="20"/>
                <w:color w:val="auto"/>
              </w:rPr>
            </w:pPr>
            <w:r>
              <w:rPr>
                <w:rFonts w:ascii="Arial" w:cs="Arial" w:eastAsia="Arial" w:hAnsi="Arial"/>
                <w:sz w:val="15"/>
                <w:szCs w:val="15"/>
                <w:color w:val="auto"/>
              </w:rPr>
              <w:t>32.1**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1"/>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Certification of Chief Executive Officer pursuant to Section 906 of the Sarbanes-Oxley Act of 2002.</w:t>
              </w:r>
            </w:hyperlink>
          </w:p>
        </w:tc>
      </w:tr>
      <w:tr>
        <w:trPr>
          <w:trHeight w:val="351"/>
        </w:trPr>
        <w:tc>
          <w:tcPr>
            <w:tcW w:w="1100" w:type="dxa"/>
            <w:vAlign w:val="bottom"/>
          </w:tcPr>
          <w:p>
            <w:pPr>
              <w:jc w:val="right"/>
              <w:spacing w:after="0"/>
              <w:rPr>
                <w:sz w:val="20"/>
                <w:szCs w:val="20"/>
                <w:color w:val="auto"/>
              </w:rPr>
            </w:pPr>
            <w:r>
              <w:rPr>
                <w:rFonts w:ascii="Arial" w:cs="Arial" w:eastAsia="Arial" w:hAnsi="Arial"/>
                <w:sz w:val="15"/>
                <w:szCs w:val="15"/>
                <w:color w:val="auto"/>
              </w:rPr>
              <w:t>32.2**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1"/>
              </w:rPr>
            </w:pPr>
            <w:hyperlink w:anchor="page77">
              <w:r>
                <w:rPr>
                  <w:rFonts w:ascii="Arial" w:cs="Arial" w:eastAsia="Arial" w:hAnsi="Arial"/>
                  <w:sz w:val="15"/>
                  <w:szCs w:val="15"/>
                  <w:color w:val="0000EE"/>
                  <w:w w:val="91"/>
                </w:rPr>
                <w:t>Certification of Chief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540" w:type="dxa"/>
            <w:vAlign w:val="bottom"/>
            <w:gridSpan w:val="3"/>
          </w:tcPr>
          <w:p>
            <w:pPr>
              <w:spacing w:after="0"/>
              <w:rPr>
                <w:sz w:val="24"/>
                <w:szCs w:val="24"/>
                <w:color w:val="auto"/>
              </w:rPr>
            </w:pPr>
          </w:p>
        </w:tc>
      </w:tr>
      <w:tr>
        <w:trPr>
          <w:trHeight w:val="374"/>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101.INS*</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w w:val="92"/>
              </w:rPr>
              <w:t>XBRL - the instance document does not appear in the Interactive Data File because its XBRL tags are embedded within the</w:t>
            </w:r>
          </w:p>
        </w:tc>
      </w:tr>
      <w:tr>
        <w:trPr>
          <w:trHeight w:val="190"/>
        </w:trPr>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Inline XBRL document.</w:t>
            </w:r>
          </w:p>
        </w:tc>
      </w:tr>
      <w:tr>
        <w:trPr>
          <w:trHeight w:val="371"/>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101.SCH*</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XBRL Taxonomy Extension Schema Document.</w:t>
            </w:r>
          </w:p>
        </w:tc>
      </w:tr>
      <w:tr>
        <w:trPr>
          <w:trHeight w:val="371"/>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101.DEF*</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XBRL Taxonomy Extension Definition Linkbase Document.</w:t>
            </w:r>
          </w:p>
        </w:tc>
      </w:tr>
      <w:tr>
        <w:trPr>
          <w:trHeight w:val="371"/>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101.CAL*</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XBRL Taxonomy Extension Calculation Linkbase Document.</w:t>
            </w:r>
          </w:p>
        </w:tc>
      </w:tr>
      <w:tr>
        <w:trPr>
          <w:trHeight w:val="371"/>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101.LAB*</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XBRL Taxonomy Extension Label Linkbase Document.</w:t>
            </w:r>
          </w:p>
        </w:tc>
      </w:tr>
      <w:tr>
        <w:trPr>
          <w:trHeight w:val="371"/>
        </w:trPr>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101.PRE*</w:t>
            </w:r>
          </w:p>
        </w:tc>
        <w:tc>
          <w:tcPr>
            <w:tcW w:w="40" w:type="dxa"/>
            <w:vAlign w:val="bottom"/>
          </w:tcPr>
          <w:p>
            <w:pPr>
              <w:spacing w:after="0"/>
              <w:rPr>
                <w:sz w:val="24"/>
                <w:szCs w:val="24"/>
                <w:color w:val="auto"/>
              </w:rPr>
            </w:pPr>
          </w:p>
        </w:tc>
        <w:tc>
          <w:tcPr>
            <w:tcW w:w="7560" w:type="dxa"/>
            <w:vAlign w:val="bottom"/>
            <w:gridSpan w:val="11"/>
          </w:tcPr>
          <w:p>
            <w:pPr>
              <w:spacing w:after="0"/>
              <w:rPr>
                <w:sz w:val="20"/>
                <w:szCs w:val="20"/>
                <w:color w:val="auto"/>
              </w:rPr>
            </w:pPr>
            <w:r>
              <w:rPr>
                <w:rFonts w:ascii="Arial" w:cs="Arial" w:eastAsia="Arial" w:hAnsi="Arial"/>
                <w:sz w:val="15"/>
                <w:szCs w:val="15"/>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193675</wp:posOffset>
            </wp:positionV>
            <wp:extent cx="14141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375" w:lineRule="exact"/>
        <w:rPr>
          <w:sz w:val="20"/>
          <w:szCs w:val="20"/>
          <w:color w:val="auto"/>
        </w:rPr>
      </w:pPr>
    </w:p>
    <w:p>
      <w:pPr>
        <w:ind w:left="620" w:hanging="536"/>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0" w:lineRule="exact"/>
        <w:rPr>
          <w:sz w:val="20"/>
          <w:szCs w:val="20"/>
          <w:color w:val="auto"/>
        </w:rPr>
      </w:pPr>
    </w:p>
    <w:p>
      <w:pPr>
        <w:ind w:left="620" w:right="239" w:hanging="536"/>
        <w:spacing w:after="0" w:line="289" w:lineRule="auto"/>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9915" cy="21590"/>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0" w:name="page31"/>
    <w:bookmarkEnd w:id="3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w:t>
      </w:r>
    </w:p>
    <w:p>
      <w:pPr>
        <w:spacing w:after="0" w:line="169" w:lineRule="exact"/>
        <w:rPr>
          <w:sz w:val="20"/>
          <w:szCs w:val="20"/>
          <w:color w:val="auto"/>
        </w:rPr>
      </w:pPr>
    </w:p>
    <w:p>
      <w:pPr>
        <w:ind w:left="40" w:right="59" w:firstLine="360"/>
        <w:spacing w:after="0" w:line="27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April 29, 2022</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AVNET, INC.</w:t>
      </w:r>
    </w:p>
    <w:p>
      <w:pPr>
        <w:spacing w:after="0" w:line="200" w:lineRule="exact"/>
        <w:rPr>
          <w:sz w:val="20"/>
          <w:szCs w:val="20"/>
          <w:color w:val="auto"/>
        </w:rPr>
      </w:pPr>
    </w:p>
    <w:p>
      <w:pPr>
        <w:spacing w:after="0" w:line="22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5"/>
          <w:szCs w:val="15"/>
          <w:color w:val="auto"/>
        </w:rPr>
        <w:t>By:</w:t>
        <w:tab/>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26035</wp:posOffset>
            </wp:positionV>
            <wp:extent cx="259207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2070" cy="6985"/>
                    </a:xfrm>
                    <a:prstGeom prst="rect">
                      <a:avLst/>
                    </a:prstGeom>
                    <a:noFill/>
                  </pic:spPr>
                </pic:pic>
              </a:graphicData>
            </a:graphic>
          </wp:anchor>
        </w:drawing>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5"/>
          <w:szCs w:val="15"/>
          <w:color w:val="auto"/>
        </w:rPr>
        <w:t>Thomas Liguori</w:t>
      </w:r>
    </w:p>
    <w:p>
      <w:pPr>
        <w:spacing w:after="0" w:line="30" w:lineRule="exact"/>
        <w:rPr>
          <w:sz w:val="20"/>
          <w:szCs w:val="20"/>
          <w:color w:val="auto"/>
        </w:rPr>
      </w:pPr>
    </w:p>
    <w:p>
      <w:pPr>
        <w:ind w:left="4940"/>
        <w:spacing w:after="0"/>
        <w:rPr>
          <w:sz w:val="20"/>
          <w:szCs w:val="20"/>
          <w:color w:val="auto"/>
        </w:rPr>
      </w:pPr>
      <w:r>
        <w:rPr>
          <w:rFonts w:ascii="Arial" w:cs="Arial" w:eastAsia="Arial" w:hAnsi="Arial"/>
          <w:sz w:val="15"/>
          <w:szCs w:val="15"/>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297180</wp:posOffset>
            </wp:positionV>
            <wp:extent cx="566991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9915" cy="1397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6"/>
          <w:szCs w:val="16"/>
          <w:b w:val="1"/>
          <w:bCs w:val="1"/>
          <w:color w:val="auto"/>
        </w:rPr>
        <w:t>Exhibit 10.1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5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AMENDED AND RESTATED RECEIVABLES PURCHASE AGREEMENT</w:t>
      </w:r>
    </w:p>
    <w:p>
      <w:pPr>
        <w:spacing w:after="0" w:line="195" w:lineRule="exact"/>
        <w:rPr>
          <w:sz w:val="20"/>
          <w:szCs w:val="20"/>
          <w:color w:val="auto"/>
        </w:rPr>
      </w:pPr>
    </w:p>
    <w:p>
      <w:pPr>
        <w:jc w:val="both"/>
        <w:ind w:left="200" w:right="199" w:firstLine="1080"/>
        <w:spacing w:after="0" w:line="268" w:lineRule="auto"/>
        <w:rPr>
          <w:sz w:val="20"/>
          <w:szCs w:val="20"/>
          <w:color w:val="auto"/>
        </w:rPr>
      </w:pPr>
      <w:r>
        <w:rPr>
          <w:rFonts w:ascii="Arial" w:cs="Arial" w:eastAsia="Arial" w:hAnsi="Arial"/>
          <w:sz w:val="16"/>
          <w:szCs w:val="16"/>
          <w:color w:val="auto"/>
        </w:rPr>
        <w:t>This Amendment No. 5 to the Fourth Amended and Restated Receivables Purchase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dated as of January 10, 2022, among Avnet Receivables Corporation, a Delaware corporation (“</w:t>
      </w:r>
      <w:r>
        <w:rPr>
          <w:rFonts w:ascii="Arial" w:cs="Arial" w:eastAsia="Arial" w:hAnsi="Arial"/>
          <w:sz w:val="16"/>
          <w:szCs w:val="16"/>
          <w:u w:val="single" w:color="auto"/>
          <w:color w:val="auto"/>
        </w:rPr>
        <w:t>Seller</w:t>
      </w:r>
      <w:r>
        <w:rPr>
          <w:rFonts w:ascii="Arial" w:cs="Arial" w:eastAsia="Arial" w:hAnsi="Arial"/>
          <w:sz w:val="16"/>
          <w:szCs w:val="16"/>
          <w:color w:val="auto"/>
        </w:rPr>
        <w:t>”), Avnet, Inc., a New York corporation (“</w:t>
      </w:r>
      <w:r>
        <w:rPr>
          <w:rFonts w:ascii="Arial" w:cs="Arial" w:eastAsia="Arial" w:hAnsi="Arial"/>
          <w:sz w:val="16"/>
          <w:szCs w:val="16"/>
          <w:u w:val="single" w:color="auto"/>
          <w:color w:val="auto"/>
        </w:rPr>
        <w:t>Avnet</w:t>
      </w:r>
      <w:r>
        <w:rPr>
          <w:rFonts w:ascii="Arial" w:cs="Arial" w:eastAsia="Arial" w:hAnsi="Arial"/>
          <w:sz w:val="16"/>
          <w:szCs w:val="16"/>
          <w:color w:val="auto"/>
        </w:rPr>
        <w:t xml:space="preserve">”), as initial Servicer (the Servicer together with </w:t>
      </w:r>
      <w:r>
        <w:rPr>
          <w:rFonts w:ascii="Arial" w:cs="Arial" w:eastAsia="Arial" w:hAnsi="Arial"/>
          <w:sz w:val="16"/>
          <w:szCs w:val="16"/>
          <w:u w:val="single" w:color="auto"/>
          <w:color w:val="auto"/>
        </w:rPr>
        <w:t>Party</w:t>
      </w:r>
      <w:r>
        <w:rPr>
          <w:rFonts w:ascii="Arial" w:cs="Arial" w:eastAsia="Arial" w:hAnsi="Arial"/>
          <w:sz w:val="16"/>
          <w:szCs w:val="16"/>
          <w:color w:val="auto"/>
        </w:rPr>
        <w:t>”), each of the entities party hereto identified as a “Financial Institution” (together with any of their respective successors and assigns hereunder, the “</w:t>
      </w:r>
      <w:r>
        <w:rPr>
          <w:rFonts w:ascii="Arial" w:cs="Arial" w:eastAsia="Arial" w:hAnsi="Arial"/>
          <w:sz w:val="16"/>
          <w:szCs w:val="16"/>
          <w:u w:val="single" w:color="auto"/>
          <w:color w:val="auto"/>
        </w:rPr>
        <w:t>Financial Institutions</w:t>
      </w:r>
      <w:r>
        <w:rPr>
          <w:rFonts w:ascii="Arial" w:cs="Arial" w:eastAsia="Arial" w:hAnsi="Arial"/>
          <w:sz w:val="16"/>
          <w:szCs w:val="16"/>
          <w:color w:val="auto"/>
        </w:rPr>
        <w:t>”), each of the entities party hereto identified as a “Company” (together with any of their respective successors and assigns hereunder, the “</w:t>
      </w:r>
      <w:r>
        <w:rPr>
          <w:rFonts w:ascii="Arial" w:cs="Arial" w:eastAsia="Arial" w:hAnsi="Arial"/>
          <w:sz w:val="16"/>
          <w:szCs w:val="16"/>
          <w:u w:val="single" w:color="auto"/>
          <w:color w:val="auto"/>
        </w:rPr>
        <w:t>Companies</w:t>
      </w:r>
      <w:r>
        <w:rPr>
          <w:rFonts w:ascii="Arial" w:cs="Arial" w:eastAsia="Arial" w:hAnsi="Arial"/>
          <w:sz w:val="16"/>
          <w:szCs w:val="16"/>
          <w:color w:val="auto"/>
        </w:rPr>
        <w:t>”) and Wells Fargo Bank, N.A., as agent for the Purchasers or any successor agent hereunder (together with its successors and assigns hereunder, the “</w:t>
      </w:r>
      <w:r>
        <w:rPr>
          <w:rFonts w:ascii="Arial" w:cs="Arial" w:eastAsia="Arial" w:hAnsi="Arial"/>
          <w:sz w:val="16"/>
          <w:szCs w:val="16"/>
          <w:u w:val="single" w:color="auto"/>
          <w:color w:val="auto"/>
        </w:rPr>
        <w:t>Agent</w:t>
      </w:r>
      <w:r>
        <w:rPr>
          <w:rFonts w:ascii="Arial" w:cs="Arial" w:eastAsia="Arial" w:hAnsi="Arial"/>
          <w:sz w:val="16"/>
          <w:szCs w:val="16"/>
          <w:color w:val="auto"/>
        </w:rPr>
        <w:t>”), amending the Fourth Amended and Restated Receivables Purchase Agreement, dated as of August 16, 2018 (as amended by Amendment No. 1 thereto, dated February 28, 2020, Amendment No. 2 thereto, dated as of July 31, 2020, Amendment No. 3 thereto, dated as of July 30, 2021, and Amendment No. 4 thereto, dated as of August 16, 2021,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further amended, modified or supplemented from time to time, including through the date hereof, the “</w:t>
      </w:r>
      <w:r>
        <w:rPr>
          <w:rFonts w:ascii="Arial" w:cs="Arial" w:eastAsia="Arial" w:hAnsi="Arial"/>
          <w:sz w:val="16"/>
          <w:szCs w:val="16"/>
          <w:u w:val="single" w:color="auto"/>
          <w:color w:val="auto"/>
        </w:rPr>
        <w:t>Receivables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15" w:lineRule="exact"/>
        <w:rPr>
          <w:sz w:val="20"/>
          <w:szCs w:val="20"/>
          <w:color w:val="auto"/>
        </w:rPr>
      </w:pPr>
    </w:p>
    <w:p>
      <w:pPr>
        <w:jc w:val="both"/>
        <w:ind w:left="200" w:right="219" w:firstLine="1080"/>
        <w:spacing w:after="0" w:line="278" w:lineRule="auto"/>
        <w:rPr>
          <w:sz w:val="20"/>
          <w:szCs w:val="20"/>
          <w:color w:val="auto"/>
        </w:rPr>
      </w:pPr>
      <w:r>
        <w:rPr>
          <w:rFonts w:ascii="Arial" w:cs="Arial" w:eastAsia="Arial" w:hAnsi="Arial"/>
          <w:sz w:val="17"/>
          <w:szCs w:val="17"/>
          <w:color w:val="auto"/>
        </w:rPr>
        <w:t>The parties hereto are the current parties to the Existing Agreement and they now desire to amend the Existing Agreement, subject to the terms and conditions hereof, as more particularly described herein.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15" w:lineRule="exact"/>
        <w:rPr>
          <w:sz w:val="20"/>
          <w:szCs w:val="20"/>
          <w:color w:val="auto"/>
        </w:rPr>
      </w:pPr>
    </w:p>
    <w:p>
      <w:pPr>
        <w:jc w:val="both"/>
        <w:ind w:left="200" w:right="219" w:firstLine="1080"/>
        <w:spacing w:after="0" w:line="310" w:lineRule="auto"/>
        <w:rPr>
          <w:sz w:val="20"/>
          <w:szCs w:val="20"/>
          <w:color w:val="auto"/>
        </w:rPr>
      </w:pPr>
      <w:r>
        <w:rPr>
          <w:rFonts w:ascii="Arial" w:cs="Arial" w:eastAsia="Arial" w:hAnsi="Arial"/>
          <w:sz w:val="16"/>
          <w:szCs w:val="16"/>
          <w:color w:val="auto"/>
        </w:rPr>
        <w:t>NOW, THEREFORE, in consideration of the premises, and for other good and valuable consideration, the receipt and sufficiency of which are hereby acknowledged, the parties hereto hereby agree as follows:</w:t>
      </w:r>
    </w:p>
    <w:p>
      <w:pPr>
        <w:spacing w:after="0" w:line="126" w:lineRule="exact"/>
        <w:rPr>
          <w:sz w:val="20"/>
          <w:szCs w:val="20"/>
          <w:color w:val="auto"/>
        </w:rPr>
      </w:pPr>
    </w:p>
    <w:p>
      <w:pPr>
        <w:jc w:val="both"/>
        <w:ind w:left="200" w:right="219" w:firstLine="540"/>
        <w:spacing w:after="0" w:line="318"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Definitions Used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herein and not otherwise defined herein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meanings set forth for such terms in, or incorporated by reference into, the Existing Agreement.</w:t>
      </w:r>
    </w:p>
    <w:p>
      <w:pPr>
        <w:spacing w:after="0" w:line="120" w:lineRule="exact"/>
        <w:rPr>
          <w:sz w:val="20"/>
          <w:szCs w:val="20"/>
          <w:color w:val="auto"/>
        </w:rPr>
      </w:pPr>
    </w:p>
    <w:p>
      <w:pPr>
        <w:jc w:val="both"/>
        <w:ind w:left="200" w:right="219" w:firstLine="540"/>
        <w:spacing w:after="0" w:line="285"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Amendment of Existing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set forth herein,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hereby amended as follows:</w:t>
      </w:r>
    </w:p>
    <w:p>
      <w:pPr>
        <w:spacing w:after="0" w:line="149" w:lineRule="exact"/>
        <w:rPr>
          <w:sz w:val="20"/>
          <w:szCs w:val="20"/>
          <w:color w:val="auto"/>
        </w:rPr>
      </w:pPr>
    </w:p>
    <w:p>
      <w:pPr>
        <w:ind w:left="200" w:right="219" w:firstLine="1075"/>
        <w:spacing w:after="0" w:line="278" w:lineRule="auto"/>
        <w:tabs>
          <w:tab w:leader="none" w:pos="1819" w:val="left"/>
        </w:tabs>
        <w:numPr>
          <w:ilvl w:val="0"/>
          <w:numId w:val="14"/>
        </w:numPr>
        <w:rPr>
          <w:rFonts w:ascii="Arial" w:cs="Arial" w:eastAsia="Arial" w:hAnsi="Arial"/>
          <w:sz w:val="16"/>
          <w:szCs w:val="16"/>
          <w:color w:val="auto"/>
        </w:rPr>
      </w:pPr>
      <w:r>
        <w:rPr>
          <w:rFonts w:ascii="Arial" w:cs="Arial" w:eastAsia="Arial" w:hAnsi="Arial"/>
          <w:sz w:val="17"/>
          <w:szCs w:val="17"/>
          <w:color w:val="auto"/>
        </w:rPr>
        <w:t>The definition of “Agreement” in Exhibit I of the Existing Agreement is hereby deleted in its entirety and replaced with the following:</w:t>
      </w:r>
    </w:p>
    <w:p>
      <w:pPr>
        <w:spacing w:after="0" w:line="154" w:lineRule="exact"/>
        <w:rPr>
          <w:sz w:val="20"/>
          <w:szCs w:val="20"/>
          <w:color w:val="auto"/>
        </w:rPr>
      </w:pPr>
    </w:p>
    <w:p>
      <w:pPr>
        <w:jc w:val="both"/>
        <w:ind w:left="1280" w:right="759" w:firstLine="54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Fourth Amended and Restated Receivables Purchase Agreement, dated as of August 16, 2018, as amended by Amendment No. 1 thereto, dated as of February 28, 2020, Amendment No. 2 thereto, dated as of July 31, 2020, Amendment No. 3 thereto, dated as of July 30, 2021, Amendment No. 4 thereto, dated as of August 16, 2021, Amendment No. 5 thereto, dated as of January 10, 2022, and as the same may be further amended, restated, supplemented or otherwise modified and in effect from time to time.</w:t>
      </w:r>
    </w:p>
    <w:p>
      <w:pPr>
        <w:spacing w:after="0" w:line="161" w:lineRule="exact"/>
        <w:rPr>
          <w:sz w:val="20"/>
          <w:szCs w:val="20"/>
          <w:color w:val="auto"/>
        </w:rPr>
      </w:pPr>
    </w:p>
    <w:p>
      <w:pPr>
        <w:ind w:left="1820" w:hanging="545"/>
        <w:spacing w:after="0"/>
        <w:tabs>
          <w:tab w:leader="none" w:pos="1820" w:val="left"/>
        </w:tabs>
        <w:numPr>
          <w:ilvl w:val="0"/>
          <w:numId w:val="15"/>
        </w:numPr>
        <w:rPr>
          <w:rFonts w:ascii="Arial" w:cs="Arial" w:eastAsia="Arial" w:hAnsi="Arial"/>
          <w:sz w:val="16"/>
          <w:szCs w:val="16"/>
          <w:color w:val="auto"/>
        </w:rPr>
      </w:pPr>
      <w:r>
        <w:rPr>
          <w:rFonts w:ascii="Arial" w:cs="Arial" w:eastAsia="Arial" w:hAnsi="Arial"/>
          <w:sz w:val="17"/>
          <w:szCs w:val="17"/>
          <w:color w:val="auto"/>
        </w:rPr>
        <w:t>The definition of “Excluded Receivable” in Exhibit I of the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296545</wp:posOffset>
            </wp:positionV>
            <wp:extent cx="54698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200"/>
        <w:spacing w:after="0"/>
        <w:rPr>
          <w:sz w:val="20"/>
          <w:szCs w:val="20"/>
          <w:color w:val="auto"/>
        </w:rPr>
      </w:pPr>
      <w:r>
        <w:rPr>
          <w:rFonts w:ascii="Arial" w:cs="Arial" w:eastAsia="Arial" w:hAnsi="Arial"/>
          <w:sz w:val="17"/>
          <w:szCs w:val="17"/>
          <w:color w:val="auto"/>
        </w:rPr>
        <w:t>Agreement is hereby deleted in its entirety and replaced with the following:</w:t>
      </w:r>
    </w:p>
    <w:p>
      <w:pPr>
        <w:spacing w:after="0" w:line="209" w:lineRule="exact"/>
        <w:rPr>
          <w:sz w:val="20"/>
          <w:szCs w:val="20"/>
          <w:color w:val="auto"/>
        </w:rPr>
      </w:pPr>
    </w:p>
    <w:p>
      <w:pPr>
        <w:jc w:val="both"/>
        <w:ind w:left="1280" w:right="759" w:firstLine="54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Receivable</w:t>
      </w:r>
      <w:r>
        <w:rPr>
          <w:rFonts w:ascii="Arial" w:cs="Arial" w:eastAsia="Arial" w:hAnsi="Arial"/>
          <w:sz w:val="17"/>
          <w:szCs w:val="17"/>
          <w:color w:val="auto"/>
        </w:rPr>
        <w:t>”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of merchandise or the rendering of services by Originator and further includes, without limitation, the obligation to pay any Finance Charges with respect thereto:</w:t>
      </w:r>
    </w:p>
    <w:p>
      <w:pPr>
        <w:spacing w:after="0" w:line="176" w:lineRule="exact"/>
        <w:rPr>
          <w:sz w:val="20"/>
          <w:szCs w:val="20"/>
          <w:color w:val="auto"/>
        </w:rPr>
      </w:pPr>
    </w:p>
    <w:p>
      <w:pPr>
        <w:jc w:val="both"/>
        <w:ind w:left="1820" w:right="759" w:firstLine="534"/>
        <w:spacing w:after="0" w:line="263" w:lineRule="auto"/>
        <w:tabs>
          <w:tab w:leader="none" w:pos="29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the account debtor for which is Intelbras S.A. Industry de Telecomunicacao Eletronica Brasileira and such indebtedness or other obligation was originated after December 30, 2016;</w:t>
      </w:r>
    </w:p>
    <w:p>
      <w:pPr>
        <w:spacing w:after="0" w:line="167" w:lineRule="exact"/>
        <w:rPr>
          <w:rFonts w:ascii="Arial" w:cs="Arial" w:eastAsia="Arial" w:hAnsi="Arial"/>
          <w:sz w:val="16"/>
          <w:szCs w:val="16"/>
          <w:color w:val="auto"/>
        </w:rPr>
      </w:pPr>
    </w:p>
    <w:p>
      <w:pPr>
        <w:ind w:left="1820" w:right="759" w:firstLine="534"/>
        <w:spacing w:after="0" w:line="278" w:lineRule="auto"/>
        <w:tabs>
          <w:tab w:leader="none" w:pos="29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the account debtor for which is 3M Company and such indebtedness or other obligation was originated after October 31, 2017;</w:t>
      </w:r>
    </w:p>
    <w:p>
      <w:pPr>
        <w:spacing w:after="0" w:line="154" w:lineRule="exact"/>
        <w:rPr>
          <w:rFonts w:ascii="Arial" w:cs="Arial" w:eastAsia="Arial" w:hAnsi="Arial"/>
          <w:sz w:val="16"/>
          <w:szCs w:val="16"/>
          <w:color w:val="auto"/>
        </w:rPr>
      </w:pPr>
    </w:p>
    <w:p>
      <w:pPr>
        <w:jc w:val="both"/>
        <w:ind w:left="1820" w:right="739" w:firstLine="534"/>
        <w:spacing w:after="0" w:line="269" w:lineRule="auto"/>
        <w:tabs>
          <w:tab w:leader="none" w:pos="2900" w:val="left"/>
        </w:tabs>
        <w:numPr>
          <w:ilvl w:val="0"/>
          <w:numId w:val="16"/>
        </w:numPr>
        <w:rPr>
          <w:rFonts w:ascii="Arial" w:cs="Arial" w:eastAsia="Arial" w:hAnsi="Arial"/>
          <w:sz w:val="15"/>
          <w:szCs w:val="15"/>
          <w:color w:val="auto"/>
        </w:rPr>
      </w:pPr>
      <w:r>
        <w:rPr>
          <w:rFonts w:ascii="Arial" w:cs="Arial" w:eastAsia="Arial" w:hAnsi="Arial"/>
          <w:sz w:val="16"/>
          <w:szCs w:val="16"/>
          <w:color w:val="auto"/>
        </w:rPr>
        <w:t>the account debtor for which is General Electric Company or any other direct or indirect Subsidiary or Affiliate of General Electric Company (including, without limitation, GE Aviation; GE Healthcare Japan Corporation; GE Healthcare; GE OEC Medical Systems, Inc.; GE Sensing EMEA Unlimited Company; GE Healthcare Europe GmbH; GE Medical Systems; Baker Hughes Company; GE Consumer &amp; Industrial; GE MDS LLC; Reuter Stokes Inc.; GE Hangwei Medical Systems Company, Ltd.; Bently Nevada, Inc.; Inspection Technologies; GE Healthcare Bio-Science Corp; General Electric Co; GE Technology Infrastructure; GE Healthcare Canada; GE Commercial Materials S de RL de CV; GE Global Research; GE Ultrasound Korea Limited; GE Energy Control Solutions Inc.; General Electric International, Inc.; and GE Lighting Solutions LLC);</w:t>
      </w:r>
    </w:p>
    <w:p>
      <w:pPr>
        <w:spacing w:after="0" w:line="164" w:lineRule="exact"/>
        <w:rPr>
          <w:rFonts w:ascii="Arial" w:cs="Arial" w:eastAsia="Arial" w:hAnsi="Arial"/>
          <w:sz w:val="15"/>
          <w:szCs w:val="15"/>
          <w:color w:val="auto"/>
        </w:rPr>
      </w:pPr>
    </w:p>
    <w:p>
      <w:pPr>
        <w:jc w:val="both"/>
        <w:ind w:left="1820" w:right="759" w:firstLine="534"/>
        <w:spacing w:after="0" w:line="263" w:lineRule="auto"/>
        <w:tabs>
          <w:tab w:leader="none" w:pos="29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the account debtor for which is Lincoln Electric Holdings Inc. or any other direct or indirect Subsidiary or Affiliate of Lincoln Electric Holdings Inc. and such indebtedness or other obligation was originated after January 10, 2022; or</w:t>
      </w:r>
    </w:p>
    <w:p>
      <w:pPr>
        <w:spacing w:after="0" w:line="167" w:lineRule="exact"/>
        <w:rPr>
          <w:rFonts w:ascii="Arial" w:cs="Arial" w:eastAsia="Arial" w:hAnsi="Arial"/>
          <w:sz w:val="16"/>
          <w:szCs w:val="16"/>
          <w:color w:val="auto"/>
        </w:rPr>
      </w:pPr>
    </w:p>
    <w:p>
      <w:pPr>
        <w:jc w:val="both"/>
        <w:ind w:left="1820" w:right="739" w:firstLine="534"/>
        <w:spacing w:after="0" w:line="294" w:lineRule="auto"/>
        <w:tabs>
          <w:tab w:leader="none" w:pos="2900" w:val="left"/>
        </w:tabs>
        <w:numPr>
          <w:ilvl w:val="0"/>
          <w:numId w:val="16"/>
        </w:numPr>
        <w:rPr>
          <w:rFonts w:ascii="Arial" w:cs="Arial" w:eastAsia="Arial" w:hAnsi="Arial"/>
          <w:sz w:val="14"/>
          <w:szCs w:val="14"/>
          <w:color w:val="auto"/>
        </w:rPr>
      </w:pPr>
      <w:r>
        <w:rPr>
          <w:rFonts w:ascii="Arial" w:cs="Arial" w:eastAsia="Arial" w:hAnsi="Arial"/>
          <w:sz w:val="15"/>
          <w:szCs w:val="15"/>
          <w:color w:val="auto"/>
        </w:rPr>
        <w:t>which both (a) arises in connection with the sale of merchandise or the rendering of services by the business previously conducted by any businesses acquired by Originator in an Excluded Acquisition and (b) is not recorded or maintained in Avnet’s consolidated general ledger accounting records as part of general ledger category “company code US10” (other than any Receivables previously coded under “company code US10” that have been coded under any other category without the Agent’s prior written consent).</w:t>
      </w:r>
    </w:p>
    <w:p>
      <w:pPr>
        <w:spacing w:after="0" w:line="149" w:lineRule="exact"/>
        <w:rPr>
          <w:sz w:val="20"/>
          <w:szCs w:val="20"/>
          <w:color w:val="auto"/>
        </w:rPr>
      </w:pPr>
    </w:p>
    <w:p>
      <w:pPr>
        <w:jc w:val="both"/>
        <w:ind w:left="1280" w:right="739" w:firstLine="540"/>
        <w:spacing w:after="0" w:line="258" w:lineRule="auto"/>
        <w:rPr>
          <w:sz w:val="20"/>
          <w:szCs w:val="20"/>
          <w:color w:val="auto"/>
        </w:rPr>
      </w:pPr>
      <w:r>
        <w:rPr>
          <w:rFonts w:ascii="Arial" w:cs="Arial" w:eastAsia="Arial" w:hAnsi="Arial"/>
          <w:sz w:val="17"/>
          <w:szCs w:val="17"/>
          <w:color w:val="auto"/>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414020</wp:posOffset>
            </wp:positionV>
            <wp:extent cx="546989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33" w:name="page34"/>
    <w:bookmarkEnd w:id="33"/>
    <w:p>
      <w:pPr>
        <w:jc w:val="both"/>
        <w:ind w:left="1280" w:right="739"/>
        <w:spacing w:after="0" w:line="258" w:lineRule="auto"/>
        <w:rPr>
          <w:sz w:val="20"/>
          <w:szCs w:val="20"/>
          <w:color w:val="auto"/>
        </w:rPr>
      </w:pPr>
      <w:r>
        <w:rPr>
          <w:rFonts w:ascii="Arial" w:cs="Arial" w:eastAsia="Arial" w:hAnsi="Arial"/>
          <w:sz w:val="17"/>
          <w:szCs w:val="17"/>
          <w:color w:val="auto"/>
        </w:rPr>
        <w:t>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w:t>
      </w:r>
    </w:p>
    <w:p>
      <w:pPr>
        <w:spacing w:after="0" w:line="166" w:lineRule="exact"/>
        <w:rPr>
          <w:sz w:val="20"/>
          <w:szCs w:val="20"/>
          <w:color w:val="auto"/>
        </w:rPr>
      </w:pPr>
    </w:p>
    <w:p>
      <w:pPr>
        <w:ind w:left="200" w:right="219" w:firstLine="540"/>
        <w:spacing w:after="0" w:line="285"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Conditions to Effectiveness of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shall become effective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upon the satisfaction of the conditions precedent that:</w:t>
      </w:r>
    </w:p>
    <w:p>
      <w:pPr>
        <w:spacing w:after="0" w:line="149" w:lineRule="exact"/>
        <w:rPr>
          <w:sz w:val="20"/>
          <w:szCs w:val="20"/>
          <w:color w:val="auto"/>
        </w:rPr>
      </w:pPr>
    </w:p>
    <w:p>
      <w:pPr>
        <w:ind w:left="200" w:right="219" w:firstLine="1075"/>
        <w:spacing w:after="0" w:line="278" w:lineRule="auto"/>
        <w:tabs>
          <w:tab w:leader="none" w:pos="1819" w:val="left"/>
        </w:tabs>
        <w:numPr>
          <w:ilvl w:val="0"/>
          <w:numId w:val="17"/>
        </w:numPr>
        <w:rPr>
          <w:rFonts w:ascii="Arial" w:cs="Arial" w:eastAsia="Arial" w:hAnsi="Arial"/>
          <w:sz w:val="16"/>
          <w:szCs w:val="16"/>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Agent and each Seller Party shall have received, on or before the date hereof, executed counterparts of this Amendment, duly executed by each of the parties hereto.</w:t>
      </w:r>
    </w:p>
    <w:p>
      <w:pPr>
        <w:spacing w:after="0" w:line="154" w:lineRule="exact"/>
        <w:rPr>
          <w:rFonts w:ascii="Arial" w:cs="Arial" w:eastAsia="Arial" w:hAnsi="Arial"/>
          <w:sz w:val="16"/>
          <w:szCs w:val="16"/>
          <w:color w:val="auto"/>
        </w:rPr>
      </w:pPr>
    </w:p>
    <w:p>
      <w:pPr>
        <w:jc w:val="both"/>
        <w:ind w:left="200" w:right="199" w:firstLine="1075"/>
        <w:spacing w:after="0" w:line="303" w:lineRule="auto"/>
        <w:tabs>
          <w:tab w:leader="none" w:pos="1819" w:val="left"/>
        </w:tabs>
        <w:numPr>
          <w:ilvl w:val="0"/>
          <w:numId w:val="17"/>
        </w:numPr>
        <w:rPr>
          <w:rFonts w:ascii="Arial" w:cs="Arial" w:eastAsia="Arial" w:hAnsi="Arial"/>
          <w:sz w:val="14"/>
          <w:szCs w:val="14"/>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As of the date hereof, both before and after giving effect to this Amendment, all of the representations and warranties of each Seller Party contained in the Receivables Purchase Agreement and in each other Transaction Document shall be true and correct in all material respects as though made on the date hereof (and by its execution hereof, each Seller Party shall be deemed to have represented and warranted such).</w:t>
      </w:r>
    </w:p>
    <w:p>
      <w:pPr>
        <w:spacing w:after="0" w:line="141" w:lineRule="exact"/>
        <w:rPr>
          <w:rFonts w:ascii="Arial" w:cs="Arial" w:eastAsia="Arial" w:hAnsi="Arial"/>
          <w:sz w:val="14"/>
          <w:szCs w:val="14"/>
          <w:color w:val="auto"/>
        </w:rPr>
      </w:pPr>
    </w:p>
    <w:p>
      <w:pPr>
        <w:jc w:val="both"/>
        <w:ind w:left="200" w:right="219" w:firstLine="1075"/>
        <w:spacing w:after="0" w:line="287" w:lineRule="auto"/>
        <w:tabs>
          <w:tab w:leader="none" w:pos="1819" w:val="left"/>
        </w:tabs>
        <w:numPr>
          <w:ilvl w:val="0"/>
          <w:numId w:val="17"/>
        </w:numPr>
        <w:rPr>
          <w:rFonts w:ascii="Arial" w:cs="Arial" w:eastAsia="Arial" w:hAnsi="Arial"/>
          <w:sz w:val="15"/>
          <w:szCs w:val="15"/>
          <w:color w:val="auto"/>
        </w:rPr>
      </w:pPr>
      <w:r>
        <w:rPr>
          <w:rFonts w:ascii="Arial" w:cs="Arial" w:eastAsia="Arial" w:hAnsi="Arial"/>
          <w:sz w:val="16"/>
          <w:szCs w:val="16"/>
          <w:u w:val="single" w:color="auto"/>
          <w:color w:val="auto"/>
        </w:rPr>
        <w:t>No Amortization Event or Potential Amortization Event</w:t>
      </w:r>
      <w:r>
        <w:rPr>
          <w:rFonts w:ascii="Arial" w:cs="Arial" w:eastAsia="Arial" w:hAnsi="Arial"/>
          <w:sz w:val="16"/>
          <w:szCs w:val="16"/>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spacing w:after="0" w:line="144" w:lineRule="exact"/>
        <w:rPr>
          <w:sz w:val="20"/>
          <w:szCs w:val="20"/>
          <w:color w:val="auto"/>
        </w:rPr>
      </w:pPr>
    </w:p>
    <w:p>
      <w:pPr>
        <w:jc w:val="both"/>
        <w:ind w:left="200" w:right="199" w:firstLine="540"/>
        <w:spacing w:after="0" w:line="293" w:lineRule="auto"/>
        <w:rPr>
          <w:sz w:val="20"/>
          <w:szCs w:val="20"/>
          <w:color w:val="auto"/>
        </w:rPr>
      </w:pPr>
      <w:r>
        <w:rPr>
          <w:rFonts w:ascii="Arial" w:cs="Arial" w:eastAsia="Arial" w:hAnsi="Arial"/>
          <w:sz w:val="15"/>
          <w:szCs w:val="15"/>
          <w:b w:val="1"/>
          <w:bCs w:val="1"/>
          <w:color w:val="auto"/>
        </w:rPr>
        <w:t xml:space="preserve">Section 4. </w:t>
      </w:r>
      <w:r>
        <w:rPr>
          <w:rFonts w:ascii="Arial" w:cs="Arial" w:eastAsia="Arial" w:hAnsi="Arial"/>
          <w:sz w:val="15"/>
          <w:szCs w:val="15"/>
          <w:b w:val="1"/>
          <w:bCs w:val="1"/>
          <w:u w:val="single" w:color="auto"/>
          <w:color w:val="auto"/>
        </w:rPr>
        <w:t>Amendment of Receivables Sale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As of the date first set forth above, Avnet, in its capacity</w:t>
      </w:r>
      <w:r>
        <w:rPr>
          <w:rFonts w:ascii="Arial" w:cs="Arial" w:eastAsia="Arial" w:hAnsi="Arial"/>
          <w:sz w:val="15"/>
          <w:szCs w:val="15"/>
          <w:b w:val="1"/>
          <w:bCs w:val="1"/>
          <w:color w:val="auto"/>
        </w:rPr>
        <w:t xml:space="preserve"> </w:t>
      </w:r>
      <w:r>
        <w:rPr>
          <w:rFonts w:ascii="Arial" w:cs="Arial" w:eastAsia="Arial" w:hAnsi="Arial"/>
          <w:sz w:val="15"/>
          <w:szCs w:val="15"/>
          <w:color w:val="auto"/>
        </w:rPr>
        <w:t>as Originator under the Receivables Sale Agreement, and Avnet Receivables Corporation, in its capacity as Buyer under the Receivables Sale Agreement, hereby acknowledge this Amendment and agree to be bound by the terms of this Amendment to the extent such terms amend or modify the Receivables Sale Agreement. The Agent and each Financial Institution party hereto hereby consent to any such amendment or modification to the Receivables Sale Agreement. In furtherance of the foregoing, Originator reaffirms and agrees it shall not sell and/or contribute, and Buyer reaffirms and agrees it shall not purchase and/or receive, any Excluded Receivables pursuant to the Receivables Sale Agreement.</w:t>
      </w:r>
    </w:p>
    <w:p>
      <w:pPr>
        <w:spacing w:after="0" w:line="145" w:lineRule="exact"/>
        <w:rPr>
          <w:sz w:val="20"/>
          <w:szCs w:val="20"/>
          <w:color w:val="auto"/>
        </w:rPr>
      </w:pPr>
    </w:p>
    <w:p>
      <w:pPr>
        <w:jc w:val="both"/>
        <w:ind w:left="200" w:right="219" w:firstLine="540"/>
        <w:spacing w:after="0" w:line="257"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UCC Authorization</w:t>
      </w:r>
      <w:r>
        <w:rPr>
          <w:rFonts w:ascii="Arial" w:cs="Arial" w:eastAsia="Arial" w:hAnsi="Arial"/>
          <w:sz w:val="17"/>
          <w:szCs w:val="17"/>
          <w:color w:val="auto"/>
        </w:rPr>
        <w:t>. In furtherance of the transactions contemplated by this Amendment, the Agent,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itself and each other Purchaser, hereby authorizes, upon the effectiveness of this Amendment, the filing of amendments to the financing statement filed against Avnet with the Department of State of the State of New York with original file numbers 127178, 129624, 035098, 035089 and 201808170390411 in substantially the forms attached hereto as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w:t>
      </w:r>
      <w:r>
        <w:rPr>
          <w:rFonts w:ascii="Arial" w:cs="Arial" w:eastAsia="Arial" w:hAnsi="Arial"/>
          <w:sz w:val="17"/>
          <w:szCs w:val="17"/>
          <w:u w:val="single" w:color="auto"/>
          <w:color w:val="auto"/>
        </w:rPr>
        <w:t>A-2</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Annex A-3</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Annex A-4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A-5</w:t>
      </w:r>
      <w:r>
        <w:rPr>
          <w:rFonts w:ascii="Arial" w:cs="Arial" w:eastAsia="Arial" w:hAnsi="Arial"/>
          <w:sz w:val="17"/>
          <w:szCs w:val="17"/>
          <w:color w:val="auto"/>
        </w:rPr>
        <w:t>.</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15" w:lineRule="exact"/>
        <w:rPr>
          <w:sz w:val="20"/>
          <w:szCs w:val="20"/>
          <w:color w:val="auto"/>
        </w:rPr>
      </w:pPr>
    </w:p>
    <w:p>
      <w:pPr>
        <w:jc w:val="both"/>
        <w:ind w:left="200" w:right="199" w:firstLine="1075"/>
        <w:spacing w:after="0" w:line="273" w:lineRule="auto"/>
        <w:tabs>
          <w:tab w:leader="none" w:pos="181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Effect; Ratification</w:t>
      </w:r>
      <w:r>
        <w:rPr>
          <w:rFonts w:ascii="Arial" w:cs="Arial" w:eastAsia="Arial" w:hAnsi="Arial"/>
          <w:sz w:val="16"/>
          <w:szCs w:val="16"/>
          <w:color w:val="auto"/>
        </w:rPr>
        <w:t>. This Amendment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414020</wp:posOffset>
            </wp:positionV>
            <wp:extent cx="54698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34" w:name="page35"/>
    <w:bookmarkEnd w:id="34"/>
    <w:p>
      <w:pPr>
        <w:jc w:val="both"/>
        <w:ind w:left="200" w:right="199"/>
        <w:spacing w:after="0" w:line="273" w:lineRule="auto"/>
        <w:rPr>
          <w:sz w:val="20"/>
          <w:szCs w:val="20"/>
          <w:color w:val="auto"/>
        </w:rPr>
      </w:pPr>
      <w:r>
        <w:rPr>
          <w:rFonts w:ascii="Arial" w:cs="Arial" w:eastAsia="Arial" w:hAnsi="Arial"/>
          <w:sz w:val="16"/>
          <w:szCs w:val="16"/>
          <w:color w:val="auto"/>
        </w:rPr>
        <w:t>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161" w:lineRule="exact"/>
        <w:rPr>
          <w:sz w:val="20"/>
          <w:szCs w:val="20"/>
          <w:color w:val="auto"/>
        </w:rPr>
      </w:pPr>
    </w:p>
    <w:p>
      <w:pPr>
        <w:jc w:val="both"/>
        <w:ind w:left="200" w:right="199" w:firstLine="1075"/>
        <w:spacing w:after="0" w:line="263" w:lineRule="auto"/>
        <w:tabs>
          <w:tab w:leader="none" w:pos="181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Transaction Documents</w:t>
      </w:r>
      <w:r>
        <w:rPr>
          <w:rFonts w:ascii="Arial" w:cs="Arial" w:eastAsia="Arial" w:hAnsi="Arial"/>
          <w:sz w:val="17"/>
          <w:szCs w:val="17"/>
          <w:color w:val="auto"/>
        </w:rPr>
        <w:t>. This Amendment is a Transaction Document executed pursuant to the Receivables Purchase Agreement and shall be construed, administered and applied in accordance with the terms and provisions thereof.</w:t>
      </w:r>
    </w:p>
    <w:p>
      <w:pPr>
        <w:spacing w:after="0" w:line="167" w:lineRule="exact"/>
        <w:rPr>
          <w:rFonts w:ascii="Arial" w:cs="Arial" w:eastAsia="Arial" w:hAnsi="Arial"/>
          <w:sz w:val="17"/>
          <w:szCs w:val="17"/>
          <w:color w:val="auto"/>
        </w:rPr>
      </w:pPr>
    </w:p>
    <w:p>
      <w:pPr>
        <w:jc w:val="both"/>
        <w:ind w:left="200" w:right="199" w:firstLine="1075"/>
        <w:spacing w:after="0" w:line="314" w:lineRule="auto"/>
        <w:tabs>
          <w:tab w:leader="none" w:pos="1819"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Costs, Fees and Expenses</w:t>
      </w:r>
      <w:r>
        <w:rPr>
          <w:rFonts w:ascii="Arial" w:cs="Arial" w:eastAsia="Arial" w:hAnsi="Arial"/>
          <w:sz w:val="15"/>
          <w:szCs w:val="15"/>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132" w:lineRule="exact"/>
        <w:rPr>
          <w:rFonts w:ascii="Arial" w:cs="Arial" w:eastAsia="Arial" w:hAnsi="Arial"/>
          <w:sz w:val="15"/>
          <w:szCs w:val="15"/>
          <w:color w:val="auto"/>
        </w:rPr>
      </w:pPr>
    </w:p>
    <w:p>
      <w:pPr>
        <w:ind w:left="200" w:right="219" w:firstLine="1075"/>
        <w:spacing w:after="0" w:line="310" w:lineRule="auto"/>
        <w:tabs>
          <w:tab w:leader="none" w:pos="181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each such counterpart constituting an original and all of which when taken together shall constitute one and the same instrument.</w:t>
      </w:r>
    </w:p>
    <w:p>
      <w:pPr>
        <w:spacing w:after="0" w:line="131" w:lineRule="exact"/>
        <w:rPr>
          <w:rFonts w:ascii="Arial" w:cs="Arial" w:eastAsia="Arial" w:hAnsi="Arial"/>
          <w:sz w:val="16"/>
          <w:szCs w:val="16"/>
          <w:color w:val="auto"/>
        </w:rPr>
      </w:pPr>
    </w:p>
    <w:p>
      <w:pPr>
        <w:jc w:val="both"/>
        <w:ind w:left="200" w:right="219" w:firstLine="1075"/>
        <w:spacing w:after="0" w:line="258" w:lineRule="auto"/>
        <w:tabs>
          <w:tab w:leader="none" w:pos="181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71" w:lineRule="exact"/>
        <w:rPr>
          <w:rFonts w:ascii="Arial" w:cs="Arial" w:eastAsia="Arial" w:hAnsi="Arial"/>
          <w:sz w:val="17"/>
          <w:szCs w:val="17"/>
          <w:color w:val="auto"/>
        </w:rPr>
      </w:pPr>
    </w:p>
    <w:p>
      <w:pPr>
        <w:jc w:val="both"/>
        <w:ind w:left="200" w:right="199" w:firstLine="1075"/>
        <w:spacing w:after="0" w:line="258" w:lineRule="auto"/>
        <w:tabs>
          <w:tab w:leader="none" w:pos="181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65" w:lineRule="exact"/>
        <w:rPr>
          <w:rFonts w:ascii="Arial" w:cs="Arial" w:eastAsia="Arial" w:hAnsi="Arial"/>
          <w:sz w:val="17"/>
          <w:szCs w:val="17"/>
          <w:color w:val="auto"/>
        </w:rPr>
      </w:pPr>
    </w:p>
    <w:p>
      <w:pPr>
        <w:jc w:val="both"/>
        <w:ind w:left="200" w:right="199" w:firstLine="1075"/>
        <w:spacing w:after="0" w:line="257" w:lineRule="auto"/>
        <w:tabs>
          <w:tab w:leader="none" w:pos="1819"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414020</wp:posOffset>
            </wp:positionV>
            <wp:extent cx="546989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35" w:name="page36"/>
    <w:bookmarkEnd w:id="35"/>
    <w:p>
      <w:pPr>
        <w:ind w:left="200" w:right="219" w:firstLine="1080"/>
        <w:spacing w:after="0" w:line="291" w:lineRule="auto"/>
        <w:rPr>
          <w:sz w:val="20"/>
          <w:szCs w:val="20"/>
          <w:color w:val="auto"/>
        </w:rPr>
      </w:pPr>
      <w:r>
        <w:rPr>
          <w:rFonts w:ascii="Arial" w:cs="Arial" w:eastAsia="Arial" w:hAnsi="Arial"/>
          <w:sz w:val="17"/>
          <w:szCs w:val="17"/>
          <w:color w:val="auto"/>
        </w:rPr>
        <w:t>IN WITNESS WHEREOF, the parties hereto have caused this Amendment to be executed and delivered by their respective duly authorized officers as of the date first written above.</w:t>
      </w:r>
    </w:p>
    <w:p>
      <w:pPr>
        <w:spacing w:after="0" w:line="156"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AVNET RECEIVABLES CORPORATION,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Buyer and as Seller</w:t>
      </w:r>
    </w:p>
    <w:p>
      <w:pPr>
        <w:spacing w:after="0" w:line="200" w:lineRule="exact"/>
        <w:rPr>
          <w:sz w:val="20"/>
          <w:szCs w:val="20"/>
          <w:color w:val="auto"/>
        </w:rPr>
      </w:pPr>
    </w:p>
    <w:p>
      <w:pPr>
        <w:spacing w:after="0" w:line="243" w:lineRule="exact"/>
        <w:rPr>
          <w:sz w:val="20"/>
          <w:szCs w:val="20"/>
          <w:color w:val="auto"/>
        </w:rPr>
      </w:pPr>
    </w:p>
    <w:tbl>
      <w:tblPr>
        <w:tblLayout w:type="fixed"/>
        <w:tblInd w:w="4060" w:type="dxa"/>
        <w:tblCellMar>
          <w:top w:w="0" w:type="dxa"/>
          <w:left w:w="0" w:type="dxa"/>
          <w:bottom w:w="0" w:type="dxa"/>
          <w:right w:w="0" w:type="dxa"/>
        </w:tblCellMar>
      </w:tblPr>
      <w:tr>
        <w:trPr>
          <w:trHeight w:val="213"/>
        </w:trPr>
        <w:tc>
          <w:tcPr>
            <w:tcW w:w="1300" w:type="dxa"/>
            <w:vAlign w:val="bottom"/>
          </w:tcPr>
          <w:p>
            <w:pPr>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Kenneth A. Jacobson</w:t>
            </w:r>
          </w:p>
        </w:tc>
      </w:tr>
      <w:tr>
        <w:trPr>
          <w:trHeight w:val="184"/>
        </w:trPr>
        <w:tc>
          <w:tcPr>
            <w:tcW w:w="130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Kenneth A. Jacobson</w:t>
            </w:r>
          </w:p>
        </w:tc>
      </w:tr>
      <w:tr>
        <w:trPr>
          <w:trHeight w:val="220"/>
        </w:trPr>
        <w:tc>
          <w:tcPr>
            <w:tcW w:w="1300" w:type="dxa"/>
            <w:vAlign w:val="bottom"/>
          </w:tcPr>
          <w:p>
            <w:pPr>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VP &amp; Corporate Controller</w:t>
            </w:r>
          </w:p>
        </w:tc>
      </w:tr>
      <w:tr>
        <w:trPr>
          <w:trHeight w:val="484"/>
        </w:trPr>
        <w:tc>
          <w:tcPr>
            <w:tcW w:w="4760" w:type="dxa"/>
            <w:vAlign w:val="bottom"/>
            <w:gridSpan w:val="2"/>
          </w:tcPr>
          <w:p>
            <w:pPr>
              <w:spacing w:after="0"/>
              <w:rPr>
                <w:sz w:val="20"/>
                <w:szCs w:val="20"/>
                <w:color w:val="auto"/>
              </w:rPr>
            </w:pPr>
            <w:r>
              <w:rPr>
                <w:rFonts w:ascii="Arial" w:cs="Arial" w:eastAsia="Arial" w:hAnsi="Arial"/>
                <w:sz w:val="17"/>
                <w:szCs w:val="17"/>
                <w:color w:val="auto"/>
              </w:rPr>
              <w:t>AVNET, INC., as Originator and as Servicer</w:t>
            </w:r>
          </w:p>
        </w:tc>
      </w:tr>
      <w:tr>
        <w:trPr>
          <w:trHeight w:val="645"/>
        </w:trPr>
        <w:tc>
          <w:tcPr>
            <w:tcW w:w="1300" w:type="dxa"/>
            <w:vAlign w:val="bottom"/>
          </w:tcPr>
          <w:p>
            <w:pPr>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Joseph L. Burke</w:t>
            </w:r>
          </w:p>
        </w:tc>
      </w:tr>
      <w:tr>
        <w:trPr>
          <w:trHeight w:val="183"/>
        </w:trPr>
        <w:tc>
          <w:tcPr>
            <w:tcW w:w="130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Joseph L. Burke</w:t>
            </w:r>
          </w:p>
        </w:tc>
      </w:tr>
      <w:tr>
        <w:trPr>
          <w:trHeight w:val="220"/>
        </w:trPr>
        <w:tc>
          <w:tcPr>
            <w:tcW w:w="1300" w:type="dxa"/>
            <w:vAlign w:val="bottom"/>
          </w:tcPr>
          <w:p>
            <w:pPr>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VP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414020</wp:posOffset>
            </wp:positionV>
            <wp:extent cx="546989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69890" cy="13970"/>
                    </a:xfrm>
                    <a:prstGeom prst="rect">
                      <a:avLst/>
                    </a:prstGeom>
                    <a:noFill/>
                  </pic:spPr>
                </pic:pic>
              </a:graphicData>
            </a:graphic>
          </wp:anchor>
        </w:drawing>
      </w:r>
    </w:p>
    <w:p>
      <w:pPr>
        <w:sectPr>
          <w:pgSz w:w="11900" w:h="16838" w:orient="portrait"/>
          <w:cols w:equalWidth="0" w:num="1">
            <w:col w:w="9019"/>
          </w:cols>
          <w:pgMar w:left="1440" w:top="973" w:right="1440" w:bottom="1440" w:gutter="0" w:footer="0" w:header="0"/>
        </w:sectPr>
      </w:pPr>
    </w:p>
    <w:bookmarkStart w:id="36" w:name="page37"/>
    <w:bookmarkEnd w:id="36"/>
    <w:p>
      <w:pPr>
        <w:ind w:left="4060"/>
        <w:spacing w:after="0"/>
        <w:rPr>
          <w:sz w:val="20"/>
          <w:szCs w:val="20"/>
          <w:color w:val="auto"/>
        </w:rPr>
      </w:pPr>
      <w:r>
        <w:rPr>
          <w:rFonts w:ascii="Arial" w:cs="Arial" w:eastAsia="Arial" w:hAnsi="Arial"/>
          <w:sz w:val="17"/>
          <w:szCs w:val="17"/>
          <w:color w:val="auto"/>
        </w:rPr>
        <w:t>WELLS FARGO BANK, N.A.,</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Company and as a Financial Institution</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Jonathan Davis</w:t>
            </w:r>
          </w:p>
        </w:tc>
      </w:tr>
      <w:tr>
        <w:trPr>
          <w:trHeight w:val="183"/>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Jonathan Davis</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Vice President</w:t>
            </w:r>
          </w:p>
        </w:tc>
      </w:tr>
      <w:tr>
        <w:trPr>
          <w:trHeight w:val="669"/>
        </w:trPr>
        <w:tc>
          <w:tcPr>
            <w:tcW w:w="8620" w:type="dxa"/>
            <w:vAlign w:val="bottom"/>
            <w:gridSpan w:val="2"/>
          </w:tcPr>
          <w:p>
            <w:pPr>
              <w:ind w:left="3860"/>
              <w:spacing w:after="0"/>
              <w:rPr>
                <w:sz w:val="20"/>
                <w:szCs w:val="20"/>
                <w:color w:val="auto"/>
              </w:rPr>
            </w:pPr>
            <w:r>
              <w:rPr>
                <w:rFonts w:ascii="Arial" w:cs="Arial" w:eastAsia="Arial" w:hAnsi="Arial"/>
                <w:sz w:val="17"/>
                <w:szCs w:val="17"/>
                <w:color w:val="auto"/>
              </w:rPr>
              <w:t>WELLS FARGO BANK, N.A.,</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as Agent</w:t>
            </w:r>
          </w:p>
        </w:tc>
        <w:tc>
          <w:tcPr>
            <w:tcW w:w="3460" w:type="dxa"/>
            <w:vAlign w:val="bottom"/>
          </w:tcPr>
          <w:p>
            <w:pPr>
              <w:spacing w:after="0"/>
              <w:rPr>
                <w:sz w:val="19"/>
                <w:szCs w:val="19"/>
                <w:color w:val="auto"/>
              </w:rPr>
            </w:pPr>
          </w:p>
        </w:tc>
      </w:tr>
      <w:tr>
        <w:trPr>
          <w:trHeight w:val="44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Jonathan Davis</w:t>
            </w:r>
          </w:p>
        </w:tc>
      </w:tr>
      <w:tr>
        <w:trPr>
          <w:trHeight w:val="183"/>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Jonathan Davis</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Vice President</w:t>
            </w:r>
          </w:p>
        </w:tc>
      </w:tr>
      <w:tr>
        <w:trPr>
          <w:trHeight w:val="761"/>
        </w:trPr>
        <w:tc>
          <w:tcPr>
            <w:tcW w:w="5160" w:type="dxa"/>
            <w:vAlign w:val="bottom"/>
          </w:tcPr>
          <w:p>
            <w:pPr>
              <w:ind w:left="4260"/>
              <w:spacing w:after="0"/>
              <w:rPr>
                <w:sz w:val="20"/>
                <w:szCs w:val="20"/>
                <w:color w:val="auto"/>
              </w:rPr>
            </w:pPr>
            <w:r>
              <w:rPr>
                <w:rFonts w:ascii="Arial" w:cs="Arial" w:eastAsia="Arial" w:hAnsi="Arial"/>
                <w:sz w:val="16"/>
                <w:szCs w:val="16"/>
                <w:color w:val="auto"/>
              </w:rPr>
              <w:t>6</w:t>
            </w:r>
          </w:p>
        </w:tc>
        <w:tc>
          <w:tcPr>
            <w:tcW w:w="3460" w:type="dxa"/>
            <w:vAlign w:val="bottom"/>
          </w:tcPr>
          <w:p>
            <w:pPr>
              <w:spacing w:after="0"/>
              <w:rPr>
                <w:sz w:val="24"/>
                <w:szCs w:val="24"/>
                <w:color w:val="auto"/>
              </w:rPr>
            </w:pPr>
          </w:p>
        </w:tc>
      </w:tr>
      <w:tr>
        <w:trPr>
          <w:trHeight w:val="640"/>
        </w:trPr>
        <w:tc>
          <w:tcPr>
            <w:tcW w:w="5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70" w:right="1440" w:bottom="1440" w:gutter="0" w:footer="0" w:header="0"/>
        </w:sectPr>
      </w:pPr>
    </w:p>
    <w:bookmarkStart w:id="37" w:name="page38"/>
    <w:bookmarkEnd w:id="37"/>
    <w:p>
      <w:pPr>
        <w:ind w:left="4060"/>
        <w:spacing w:after="0"/>
        <w:rPr>
          <w:sz w:val="20"/>
          <w:szCs w:val="20"/>
          <w:color w:val="auto"/>
        </w:rPr>
      </w:pPr>
      <w:r>
        <w:rPr>
          <w:rFonts w:ascii="Arial" w:cs="Arial" w:eastAsia="Arial" w:hAnsi="Arial"/>
          <w:sz w:val="17"/>
          <w:szCs w:val="17"/>
          <w:color w:val="auto"/>
        </w:rPr>
        <w:t>TRUIST BANK,</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Company and Financial Institution</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Chris Curtis</w:t>
            </w:r>
          </w:p>
        </w:tc>
      </w:tr>
      <w:tr>
        <w:trPr>
          <w:trHeight w:val="183"/>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Chris Curtis</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Managing Director</w:t>
            </w:r>
          </w:p>
        </w:tc>
      </w:tr>
      <w:tr>
        <w:trPr>
          <w:trHeight w:val="558"/>
        </w:trPr>
        <w:tc>
          <w:tcPr>
            <w:tcW w:w="5160" w:type="dxa"/>
            <w:vAlign w:val="bottom"/>
          </w:tcPr>
          <w:p>
            <w:pPr>
              <w:jc w:val="right"/>
              <w:ind w:right="735"/>
              <w:spacing w:after="0"/>
              <w:rPr>
                <w:sz w:val="20"/>
                <w:szCs w:val="20"/>
                <w:color w:val="auto"/>
              </w:rPr>
            </w:pPr>
            <w:r>
              <w:rPr>
                <w:rFonts w:ascii="Arial" w:cs="Arial" w:eastAsia="Arial" w:hAnsi="Arial"/>
                <w:sz w:val="16"/>
                <w:szCs w:val="16"/>
                <w:color w:val="auto"/>
              </w:rPr>
              <w:t>7</w:t>
            </w:r>
          </w:p>
        </w:tc>
        <w:tc>
          <w:tcPr>
            <w:tcW w:w="3460" w:type="dxa"/>
            <w:vAlign w:val="bottom"/>
          </w:tcPr>
          <w:p>
            <w:pPr>
              <w:spacing w:after="0"/>
              <w:rPr>
                <w:sz w:val="24"/>
                <w:szCs w:val="24"/>
                <w:color w:val="auto"/>
              </w:rPr>
            </w:pPr>
          </w:p>
        </w:tc>
      </w:tr>
      <w:tr>
        <w:trPr>
          <w:trHeight w:val="640"/>
        </w:trPr>
        <w:tc>
          <w:tcPr>
            <w:tcW w:w="5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5" w:right="1440" w:bottom="1440" w:gutter="0" w:footer="0" w:header="0"/>
        </w:sectPr>
      </w:pPr>
    </w:p>
    <w:bookmarkStart w:id="38" w:name="page39"/>
    <w:bookmarkEnd w:id="38"/>
    <w:p>
      <w:pPr>
        <w:ind w:left="4060"/>
        <w:spacing w:after="0"/>
        <w:rPr>
          <w:sz w:val="20"/>
          <w:szCs w:val="20"/>
          <w:color w:val="auto"/>
        </w:rPr>
      </w:pPr>
      <w:r>
        <w:rPr>
          <w:rFonts w:ascii="Arial" w:cs="Arial" w:eastAsia="Arial" w:hAnsi="Arial"/>
          <w:sz w:val="17"/>
          <w:szCs w:val="17"/>
          <w:color w:val="auto"/>
        </w:rPr>
        <w:t>PNC BANK, NATIONAL ASSOCIATION,</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Company and Financial Institution</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Nina Austin</w:t>
            </w:r>
          </w:p>
        </w:tc>
      </w:tr>
      <w:tr>
        <w:trPr>
          <w:trHeight w:val="184"/>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Nina Austin</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Senior Vice President</w:t>
            </w:r>
          </w:p>
        </w:tc>
      </w:tr>
      <w:tr>
        <w:trPr>
          <w:trHeight w:val="558"/>
        </w:trPr>
        <w:tc>
          <w:tcPr>
            <w:tcW w:w="5160" w:type="dxa"/>
            <w:vAlign w:val="bottom"/>
          </w:tcPr>
          <w:p>
            <w:pPr>
              <w:jc w:val="right"/>
              <w:ind w:right="735"/>
              <w:spacing w:after="0"/>
              <w:rPr>
                <w:sz w:val="20"/>
                <w:szCs w:val="20"/>
                <w:color w:val="auto"/>
              </w:rPr>
            </w:pPr>
            <w:r>
              <w:rPr>
                <w:rFonts w:ascii="Arial" w:cs="Arial" w:eastAsia="Arial" w:hAnsi="Arial"/>
                <w:sz w:val="16"/>
                <w:szCs w:val="16"/>
                <w:color w:val="auto"/>
              </w:rPr>
              <w:t>8</w:t>
            </w:r>
          </w:p>
        </w:tc>
        <w:tc>
          <w:tcPr>
            <w:tcW w:w="3460" w:type="dxa"/>
            <w:vAlign w:val="bottom"/>
          </w:tcPr>
          <w:p>
            <w:pPr>
              <w:spacing w:after="0"/>
              <w:rPr>
                <w:sz w:val="24"/>
                <w:szCs w:val="24"/>
                <w:color w:val="auto"/>
              </w:rPr>
            </w:pPr>
          </w:p>
        </w:tc>
      </w:tr>
      <w:tr>
        <w:trPr>
          <w:trHeight w:val="640"/>
        </w:trPr>
        <w:tc>
          <w:tcPr>
            <w:tcW w:w="5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5" w:right="1440" w:bottom="1440" w:gutter="0" w:footer="0" w:header="0"/>
        </w:sectPr>
      </w:pPr>
    </w:p>
    <w:bookmarkStart w:id="39" w:name="page40"/>
    <w:bookmarkEnd w:id="39"/>
    <w:p>
      <w:pPr>
        <w:ind w:left="4060"/>
        <w:spacing w:after="0"/>
        <w:rPr>
          <w:sz w:val="20"/>
          <w:szCs w:val="20"/>
          <w:color w:val="auto"/>
        </w:rPr>
      </w:pPr>
      <w:r>
        <w:rPr>
          <w:rFonts w:ascii="Arial" w:cs="Arial" w:eastAsia="Arial" w:hAnsi="Arial"/>
          <w:sz w:val="17"/>
          <w:szCs w:val="17"/>
          <w:color w:val="auto"/>
        </w:rPr>
        <w:t>LIBERTY STREET FUNDING LLC,</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Company</w:t>
      </w:r>
    </w:p>
    <w:p>
      <w:pPr>
        <w:spacing w:after="0" w:line="195" w:lineRule="exact"/>
        <w:rPr>
          <w:sz w:val="20"/>
          <w:szCs w:val="20"/>
          <w:color w:val="auto"/>
        </w:rPr>
      </w:pPr>
    </w:p>
    <w:tbl>
      <w:tblPr>
        <w:tblLayout w:type="fixed"/>
        <w:tblInd w:w="4060" w:type="dxa"/>
        <w:tblCellMar>
          <w:top w:w="0" w:type="dxa"/>
          <w:left w:w="0" w:type="dxa"/>
          <w:bottom w:w="0" w:type="dxa"/>
          <w:right w:w="0" w:type="dxa"/>
        </w:tblCellMar>
      </w:tblPr>
      <w:tr>
        <w:trPr>
          <w:trHeight w:val="213"/>
        </w:trPr>
        <w:tc>
          <w:tcPr>
            <w:tcW w:w="1300" w:type="dxa"/>
            <w:vAlign w:val="bottom"/>
          </w:tcPr>
          <w:p>
            <w:pPr>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Kevin J. Corrigan</w:t>
            </w:r>
          </w:p>
        </w:tc>
      </w:tr>
      <w:tr>
        <w:trPr>
          <w:trHeight w:val="183"/>
        </w:trPr>
        <w:tc>
          <w:tcPr>
            <w:tcW w:w="130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Kevin J. Corrigan</w:t>
            </w:r>
          </w:p>
        </w:tc>
      </w:tr>
      <w:tr>
        <w:trPr>
          <w:trHeight w:val="220"/>
        </w:trPr>
        <w:tc>
          <w:tcPr>
            <w:tcW w:w="1300" w:type="dxa"/>
            <w:vAlign w:val="bottom"/>
          </w:tcPr>
          <w:p>
            <w:pPr>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Vice President</w:t>
            </w:r>
          </w:p>
        </w:tc>
      </w:tr>
    </w:tbl>
    <w:p>
      <w:pPr>
        <w:spacing w:after="0" w:line="388"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THE BANK OF NOVA SCOTIA,</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Financial Institution</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Doug Noe</w:t>
            </w:r>
          </w:p>
        </w:tc>
      </w:tr>
      <w:tr>
        <w:trPr>
          <w:trHeight w:val="183"/>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Doug Noe</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Managing Director</w:t>
            </w:r>
          </w:p>
        </w:tc>
      </w:tr>
      <w:tr>
        <w:trPr>
          <w:trHeight w:val="761"/>
        </w:trPr>
        <w:tc>
          <w:tcPr>
            <w:tcW w:w="5160" w:type="dxa"/>
            <w:vAlign w:val="bottom"/>
          </w:tcPr>
          <w:p>
            <w:pPr>
              <w:jc w:val="right"/>
              <w:ind w:right="735"/>
              <w:spacing w:after="0"/>
              <w:rPr>
                <w:sz w:val="20"/>
                <w:szCs w:val="20"/>
                <w:color w:val="auto"/>
              </w:rPr>
            </w:pPr>
            <w:r>
              <w:rPr>
                <w:rFonts w:ascii="Arial" w:cs="Arial" w:eastAsia="Arial" w:hAnsi="Arial"/>
                <w:sz w:val="16"/>
                <w:szCs w:val="16"/>
                <w:color w:val="auto"/>
              </w:rPr>
              <w:t>9</w:t>
            </w:r>
          </w:p>
        </w:tc>
        <w:tc>
          <w:tcPr>
            <w:tcW w:w="3460" w:type="dxa"/>
            <w:vAlign w:val="bottom"/>
          </w:tcPr>
          <w:p>
            <w:pPr>
              <w:spacing w:after="0"/>
              <w:rPr>
                <w:sz w:val="24"/>
                <w:szCs w:val="24"/>
                <w:color w:val="auto"/>
              </w:rPr>
            </w:pPr>
          </w:p>
        </w:tc>
      </w:tr>
      <w:tr>
        <w:trPr>
          <w:trHeight w:val="640"/>
        </w:trPr>
        <w:tc>
          <w:tcPr>
            <w:tcW w:w="5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73" w:right="1440" w:bottom="1440" w:gutter="0" w:footer="0" w:header="0"/>
        </w:sectPr>
      </w:pPr>
    </w:p>
    <w:bookmarkStart w:id="40" w:name="page41"/>
    <w:bookmarkEnd w:id="40"/>
    <w:p>
      <w:pPr>
        <w:ind w:left="4060"/>
        <w:spacing w:after="0"/>
        <w:rPr>
          <w:sz w:val="20"/>
          <w:szCs w:val="20"/>
          <w:color w:val="auto"/>
        </w:rPr>
      </w:pPr>
      <w:r>
        <w:rPr>
          <w:rFonts w:ascii="Arial" w:cs="Arial" w:eastAsia="Arial" w:hAnsi="Arial"/>
          <w:sz w:val="17"/>
          <w:szCs w:val="17"/>
          <w:color w:val="auto"/>
        </w:rPr>
        <w:t>BANK OF AMERICA, N.A.</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a Company and as a Financial Institution</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5160" w:type="dxa"/>
            <w:vAlign w:val="bottom"/>
          </w:tcPr>
          <w:p>
            <w:pPr>
              <w:ind w:left="3860"/>
              <w:spacing w:after="0"/>
              <w:rPr>
                <w:sz w:val="20"/>
                <w:szCs w:val="20"/>
                <w:color w:val="auto"/>
              </w:rPr>
            </w:pPr>
            <w:r>
              <w:rPr>
                <w:rFonts w:ascii="Arial" w:cs="Arial" w:eastAsia="Arial" w:hAnsi="Arial"/>
                <w:sz w:val="17"/>
                <w:szCs w:val="17"/>
                <w:color w:val="auto"/>
              </w:rPr>
              <w:t>By:</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/s/ Christopher Haynes</w:t>
            </w:r>
          </w:p>
        </w:tc>
      </w:tr>
      <w:tr>
        <w:trPr>
          <w:trHeight w:val="183"/>
        </w:trPr>
        <w:tc>
          <w:tcPr>
            <w:tcW w:w="5160" w:type="dxa"/>
            <w:vAlign w:val="bottom"/>
          </w:tcPr>
          <w:p>
            <w:pPr>
              <w:ind w:left="3860"/>
              <w:spacing w:after="0" w:line="184" w:lineRule="exact"/>
              <w:rPr>
                <w:sz w:val="20"/>
                <w:szCs w:val="20"/>
                <w:color w:val="auto"/>
              </w:rPr>
            </w:pPr>
            <w:r>
              <w:rPr>
                <w:rFonts w:ascii="Arial" w:cs="Arial" w:eastAsia="Arial" w:hAnsi="Arial"/>
                <w:sz w:val="17"/>
                <w:szCs w:val="17"/>
                <w:color w:val="auto"/>
              </w:rPr>
              <w:t>Name:</w:t>
            </w:r>
          </w:p>
        </w:tc>
        <w:tc>
          <w:tcPr>
            <w:tcW w:w="3460" w:type="dxa"/>
            <w:vAlign w:val="bottom"/>
          </w:tcPr>
          <w:p>
            <w:pPr>
              <w:ind w:left="80"/>
              <w:spacing w:after="0" w:line="184" w:lineRule="exact"/>
              <w:rPr>
                <w:sz w:val="20"/>
                <w:szCs w:val="20"/>
                <w:color w:val="auto"/>
              </w:rPr>
            </w:pPr>
            <w:r>
              <w:rPr>
                <w:rFonts w:ascii="Arial" w:cs="Arial" w:eastAsia="Arial" w:hAnsi="Arial"/>
                <w:sz w:val="17"/>
                <w:szCs w:val="17"/>
                <w:color w:val="auto"/>
              </w:rPr>
              <w:t>Christopher Haynes</w:t>
            </w:r>
          </w:p>
        </w:tc>
      </w:tr>
      <w:tr>
        <w:trPr>
          <w:trHeight w:val="220"/>
        </w:trPr>
        <w:tc>
          <w:tcPr>
            <w:tcW w:w="5160" w:type="dxa"/>
            <w:vAlign w:val="bottom"/>
          </w:tcPr>
          <w:p>
            <w:pPr>
              <w:ind w:left="3860"/>
              <w:spacing w:after="0"/>
              <w:rPr>
                <w:sz w:val="20"/>
                <w:szCs w:val="20"/>
                <w:color w:val="auto"/>
              </w:rPr>
            </w:pPr>
            <w:r>
              <w:rPr>
                <w:rFonts w:ascii="Arial" w:cs="Arial" w:eastAsia="Arial" w:hAnsi="Arial"/>
                <w:sz w:val="17"/>
                <w:szCs w:val="17"/>
                <w:color w:val="auto"/>
              </w:rPr>
              <w:t>Title:</w:t>
            </w:r>
          </w:p>
        </w:tc>
        <w:tc>
          <w:tcPr>
            <w:tcW w:w="3460" w:type="dxa"/>
            <w:vAlign w:val="bottom"/>
          </w:tcPr>
          <w:p>
            <w:pPr>
              <w:ind w:left="80"/>
              <w:spacing w:after="0"/>
              <w:rPr>
                <w:sz w:val="20"/>
                <w:szCs w:val="20"/>
                <w:color w:val="auto"/>
              </w:rPr>
            </w:pPr>
            <w:r>
              <w:rPr>
                <w:rFonts w:ascii="Arial" w:cs="Arial" w:eastAsia="Arial" w:hAnsi="Arial"/>
                <w:sz w:val="17"/>
                <w:szCs w:val="17"/>
                <w:color w:val="auto"/>
              </w:rPr>
              <w:t>Senior Vice President</w:t>
            </w:r>
          </w:p>
        </w:tc>
      </w:tr>
      <w:tr>
        <w:trPr>
          <w:trHeight w:val="536"/>
        </w:trPr>
        <w:tc>
          <w:tcPr>
            <w:tcW w:w="5160" w:type="dxa"/>
            <w:vAlign w:val="bottom"/>
          </w:tcPr>
          <w:p>
            <w:pPr>
              <w:jc w:val="right"/>
              <w:ind w:right="695"/>
              <w:spacing w:after="0"/>
              <w:rPr>
                <w:sz w:val="20"/>
                <w:szCs w:val="20"/>
                <w:color w:val="auto"/>
              </w:rPr>
            </w:pPr>
            <w:r>
              <w:rPr>
                <w:rFonts w:ascii="Arial" w:cs="Arial" w:eastAsia="Arial" w:hAnsi="Arial"/>
                <w:sz w:val="16"/>
                <w:szCs w:val="16"/>
                <w:color w:val="auto"/>
              </w:rPr>
              <w:t>10</w:t>
            </w:r>
          </w:p>
        </w:tc>
        <w:tc>
          <w:tcPr>
            <w:tcW w:w="3460" w:type="dxa"/>
            <w:vAlign w:val="bottom"/>
          </w:tcPr>
          <w:p>
            <w:pPr>
              <w:spacing w:after="0"/>
              <w:rPr>
                <w:sz w:val="24"/>
                <w:szCs w:val="24"/>
                <w:color w:val="auto"/>
              </w:rPr>
            </w:pPr>
          </w:p>
        </w:tc>
      </w:tr>
      <w:tr>
        <w:trPr>
          <w:trHeight w:val="640"/>
        </w:trPr>
        <w:tc>
          <w:tcPr>
            <w:tcW w:w="5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5" w:right="1440" w:bottom="1440" w:gutter="0" w:footer="0" w:header="0"/>
        </w:sectPr>
      </w:pPr>
    </w:p>
    <w:bookmarkStart w:id="41" w:name="page42"/>
    <w:bookmarkEnd w:id="41"/>
    <w:p>
      <w:pPr>
        <w:jc w:val="right"/>
        <w:ind w:right="79"/>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24"/>
          <w:szCs w:val="24"/>
          <w:b w:val="1"/>
          <w:bCs w:val="1"/>
          <w:color w:val="auto"/>
        </w:rPr>
        <w:t>AVNET, INC.</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24"/>
          <w:szCs w:val="24"/>
          <w:b w:val="1"/>
          <w:bCs w:val="1"/>
          <w:color w:val="auto"/>
        </w:rPr>
        <w:t>2021 STOCK COMPENSATION AND INCENTIVE PLAN</w:t>
      </w: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1</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PURPOSE OF THE PLAN</w:t>
      </w:r>
    </w:p>
    <w:p>
      <w:pPr>
        <w:spacing w:after="0" w:line="176" w:lineRule="exact"/>
        <w:rPr>
          <w:sz w:val="20"/>
          <w:szCs w:val="20"/>
          <w:color w:val="auto"/>
        </w:rPr>
      </w:pPr>
    </w:p>
    <w:p>
      <w:pPr>
        <w:jc w:val="both"/>
        <w:ind w:right="79"/>
        <w:spacing w:after="0" w:line="238" w:lineRule="auto"/>
        <w:rPr>
          <w:sz w:val="20"/>
          <w:szCs w:val="20"/>
          <w:color w:val="auto"/>
        </w:rPr>
      </w:pPr>
      <w:r>
        <w:rPr>
          <w:rFonts w:ascii="Arial" w:cs="Arial" w:eastAsia="Arial" w:hAnsi="Arial"/>
          <w:sz w:val="15"/>
          <w:szCs w:val="15"/>
          <w:color w:val="auto"/>
        </w:rPr>
        <w:t>The Avnet, Inc. 2021 Stock Compensation and Incentive Plan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2</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DEFINITIONS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terms, when used in capitalized form, shall have the meanings set forth below:</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2.1. “</w:t>
      </w:r>
      <w:r>
        <w:rPr>
          <w:rFonts w:ascii="Arial" w:cs="Arial" w:eastAsia="Arial" w:hAnsi="Arial"/>
          <w:sz w:val="15"/>
          <w:szCs w:val="15"/>
          <w:i w:val="1"/>
          <w:iCs w:val="1"/>
          <w:color w:val="auto"/>
        </w:rPr>
        <w:t>Administrator</w:t>
      </w:r>
      <w:r>
        <w:rPr>
          <w:rFonts w:ascii="Arial" w:cs="Arial" w:eastAsia="Arial" w:hAnsi="Arial"/>
          <w:sz w:val="15"/>
          <w:szCs w:val="15"/>
          <w:color w:val="auto"/>
        </w:rPr>
        <w:t>” means—</w:t>
      </w:r>
    </w:p>
    <w:p>
      <w:pPr>
        <w:spacing w:after="0" w:line="192" w:lineRule="exact"/>
        <w:rPr>
          <w:sz w:val="20"/>
          <w:szCs w:val="20"/>
          <w:color w:val="auto"/>
        </w:rPr>
      </w:pPr>
    </w:p>
    <w:p>
      <w:pPr>
        <w:ind w:left="1300" w:hanging="224"/>
        <w:spacing w:after="0"/>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 respect to each Award granted to an Eligible Employee, the Committee; and</w:t>
      </w:r>
    </w:p>
    <w:p>
      <w:pPr>
        <w:spacing w:after="0" w:line="176" w:lineRule="exact"/>
        <w:rPr>
          <w:rFonts w:ascii="Arial" w:cs="Arial" w:eastAsia="Arial" w:hAnsi="Arial"/>
          <w:sz w:val="15"/>
          <w:szCs w:val="15"/>
          <w:color w:val="auto"/>
        </w:rPr>
      </w:pPr>
    </w:p>
    <w:p>
      <w:pPr>
        <w:ind w:left="1300" w:hanging="224"/>
        <w:spacing w:after="0"/>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with respect to each Award granted to a Non-Employee Director, the Independent Directors.</w:t>
      </w:r>
    </w:p>
    <w:p>
      <w:pPr>
        <w:spacing w:after="0" w:line="160"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2.2. “</w:t>
      </w:r>
      <w:r>
        <w:rPr>
          <w:rFonts w:ascii="Arial" w:cs="Arial" w:eastAsia="Arial" w:hAnsi="Arial"/>
          <w:sz w:val="15"/>
          <w:szCs w:val="15"/>
          <w:i w:val="1"/>
          <w:iCs w:val="1"/>
          <w:color w:val="auto"/>
        </w:rPr>
        <w:t>Agreement</w:t>
      </w:r>
      <w:r>
        <w:rPr>
          <w:rFonts w:ascii="Arial" w:cs="Arial" w:eastAsia="Arial" w:hAnsi="Arial"/>
          <w:sz w:val="15"/>
          <w:szCs w:val="15"/>
          <w:color w:val="auto"/>
        </w:rPr>
        <w:t>” means the document (written or electronic) that evidences an Award granted hereunder and sets forth the material terms thereof, including any addendum thereto. Each Agreement shall be in such form as prescribed or approved by the Administrator.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2.3. “</w:t>
      </w:r>
      <w:r>
        <w:rPr>
          <w:rFonts w:ascii="Arial" w:cs="Arial" w:eastAsia="Arial" w:hAnsi="Arial"/>
          <w:sz w:val="15"/>
          <w:szCs w:val="15"/>
          <w:i w:val="1"/>
          <w:iCs w:val="1"/>
          <w:color w:val="auto"/>
        </w:rPr>
        <w:t>Avnet</w:t>
      </w:r>
      <w:r>
        <w:rPr>
          <w:rFonts w:ascii="Arial" w:cs="Arial" w:eastAsia="Arial" w:hAnsi="Arial"/>
          <w:sz w:val="15"/>
          <w:szCs w:val="15"/>
          <w:color w:val="auto"/>
        </w:rPr>
        <w:t>” means Avnet, Inc.</w:t>
      </w:r>
    </w:p>
    <w:p>
      <w:pPr>
        <w:spacing w:after="0" w:line="176" w:lineRule="exact"/>
        <w:rPr>
          <w:sz w:val="20"/>
          <w:szCs w:val="20"/>
          <w:color w:val="auto"/>
        </w:rPr>
      </w:pPr>
    </w:p>
    <w:p>
      <w:pPr>
        <w:jc w:val="both"/>
        <w:ind w:right="79" w:firstLine="540"/>
        <w:spacing w:after="0" w:line="266" w:lineRule="auto"/>
        <w:rPr>
          <w:sz w:val="20"/>
          <w:szCs w:val="20"/>
          <w:color w:val="auto"/>
        </w:rPr>
      </w:pPr>
      <w:r>
        <w:rPr>
          <w:rFonts w:ascii="Arial" w:cs="Arial" w:eastAsia="Arial" w:hAnsi="Arial"/>
          <w:sz w:val="15"/>
          <w:szCs w:val="15"/>
          <w:color w:val="auto"/>
        </w:rPr>
        <w:t>2.4. “</w:t>
      </w:r>
      <w:r>
        <w:rPr>
          <w:rFonts w:ascii="Arial" w:cs="Arial" w:eastAsia="Arial" w:hAnsi="Arial"/>
          <w:sz w:val="15"/>
          <w:szCs w:val="15"/>
          <w:i w:val="1"/>
          <w:iCs w:val="1"/>
          <w:color w:val="auto"/>
        </w:rPr>
        <w:t>Award</w:t>
      </w:r>
      <w:r>
        <w:rPr>
          <w:rFonts w:ascii="Arial" w:cs="Arial" w:eastAsia="Arial" w:hAnsi="Arial"/>
          <w:sz w:val="15"/>
          <w:szCs w:val="15"/>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2.5. “</w:t>
      </w:r>
      <w:r>
        <w:rPr>
          <w:rFonts w:ascii="Arial" w:cs="Arial" w:eastAsia="Arial" w:hAnsi="Arial"/>
          <w:sz w:val="15"/>
          <w:szCs w:val="15"/>
          <w:i w:val="1"/>
          <w:iCs w:val="1"/>
          <w:color w:val="auto"/>
        </w:rPr>
        <w:t>Board of Directors</w:t>
      </w:r>
      <w:r>
        <w:rPr>
          <w:rFonts w:ascii="Arial" w:cs="Arial" w:eastAsia="Arial" w:hAnsi="Arial"/>
          <w:sz w:val="15"/>
          <w:szCs w:val="15"/>
          <w:color w:val="auto"/>
        </w:rPr>
        <w:t>” and “</w:t>
      </w:r>
      <w:r>
        <w:rPr>
          <w:rFonts w:ascii="Arial" w:cs="Arial" w:eastAsia="Arial" w:hAnsi="Arial"/>
          <w:sz w:val="15"/>
          <w:szCs w:val="15"/>
          <w:i w:val="1"/>
          <w:iCs w:val="1"/>
          <w:color w:val="auto"/>
        </w:rPr>
        <w:t>Director</w:t>
      </w:r>
      <w:r>
        <w:rPr>
          <w:rFonts w:ascii="Arial" w:cs="Arial" w:eastAsia="Arial" w:hAnsi="Arial"/>
          <w:sz w:val="15"/>
          <w:szCs w:val="15"/>
          <w:color w:val="auto"/>
        </w:rPr>
        <w:t>” shall mean, respectively, the Board of Directors of Avnet and any member thereof.</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2.6. “</w:t>
      </w:r>
      <w:r>
        <w:rPr>
          <w:rFonts w:ascii="Arial" w:cs="Arial" w:eastAsia="Arial" w:hAnsi="Arial"/>
          <w:sz w:val="15"/>
          <w:szCs w:val="15"/>
          <w:i w:val="1"/>
          <w:iCs w:val="1"/>
          <w:color w:val="auto"/>
        </w:rPr>
        <w:t>Change in Control</w:t>
      </w:r>
      <w:r>
        <w:rPr>
          <w:rFonts w:ascii="Arial" w:cs="Arial" w:eastAsia="Arial" w:hAnsi="Arial"/>
          <w:sz w:val="15"/>
          <w:szCs w:val="15"/>
          <w:color w:val="auto"/>
        </w:rPr>
        <w:t>” means the happening of any of the following:</w:t>
      </w:r>
    </w:p>
    <w:p>
      <w:pPr>
        <w:spacing w:after="0" w:line="192" w:lineRule="exact"/>
        <w:rPr>
          <w:sz w:val="20"/>
          <w:szCs w:val="20"/>
          <w:color w:val="auto"/>
        </w:rPr>
      </w:pPr>
    </w:p>
    <w:p>
      <w:pPr>
        <w:jc w:val="both"/>
        <w:ind w:left="540" w:right="79" w:firstLine="536"/>
        <w:spacing w:after="0" w:line="236" w:lineRule="auto"/>
        <w:tabs>
          <w:tab w:leader="none" w:pos="130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acquisition by any individual, entity or group (within the meaning of Section 13(d)(3) or 14(d)(2) of the Exchange Act (a “Person”)) of beneficial ownership (within the meaning of Rule 13d-3 promulgated under the Exchange Act) of more than 50% of either: (A)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 directly from Avnet (excluding an acquisition by virtue of the exercise of a conversion privilege), (ii) any acquisition by Avnet or an entity controlled by Avnet, or (iii) an acquisition by any employee benefit plan (or related trust) sponsored or maintained by Avnet or any entity controlled by Avnet; 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634" w:right="1440" w:bottom="1440" w:gutter="0" w:footer="0" w:header="0"/>
        </w:sectPr>
      </w:pPr>
    </w:p>
    <w:bookmarkStart w:id="42" w:name="page43"/>
    <w:bookmarkEnd w:id="42"/>
    <w:p>
      <w:pPr>
        <w:jc w:val="both"/>
        <w:ind w:left="540" w:right="79" w:firstLine="536"/>
        <w:spacing w:after="0" w:line="236" w:lineRule="auto"/>
        <w:tabs>
          <w:tab w:leader="none" w:pos="131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individuals who, as of the date of the 2021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 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a majority of the then Incumbent Board; or</w:t>
      </w:r>
    </w:p>
    <w:p>
      <w:pPr>
        <w:spacing w:after="0" w:line="173" w:lineRule="exact"/>
        <w:rPr>
          <w:rFonts w:ascii="Arial" w:cs="Arial" w:eastAsia="Arial" w:hAnsi="Arial"/>
          <w:sz w:val="15"/>
          <w:szCs w:val="15"/>
          <w:color w:val="auto"/>
        </w:rPr>
      </w:pPr>
    </w:p>
    <w:p>
      <w:pPr>
        <w:ind w:left="540" w:right="79" w:firstLine="536"/>
        <w:spacing w:after="0" w:line="244" w:lineRule="auto"/>
        <w:tabs>
          <w:tab w:leader="none" w:pos="1296"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complete liquidation or dissolution of Avnet, or the sale or other disposition of all or substantially all of the assets of Avnet (in one or more transactions).</w:t>
      </w:r>
    </w:p>
    <w:p>
      <w:pPr>
        <w:spacing w:after="0" w:line="167" w:lineRule="exact"/>
        <w:rPr>
          <w:sz w:val="20"/>
          <w:szCs w:val="20"/>
          <w:color w:val="auto"/>
        </w:rPr>
      </w:pPr>
    </w:p>
    <w:p>
      <w:pPr>
        <w:jc w:val="both"/>
        <w:ind w:right="79" w:firstLine="540"/>
        <w:spacing w:after="0" w:line="236" w:lineRule="auto"/>
        <w:rPr>
          <w:sz w:val="20"/>
          <w:szCs w:val="20"/>
          <w:color w:val="auto"/>
        </w:rPr>
      </w:pPr>
      <w:r>
        <w:rPr>
          <w:rFonts w:ascii="Arial" w:cs="Arial" w:eastAsia="Arial" w:hAnsi="Arial"/>
          <w:sz w:val="15"/>
          <w:szCs w:val="15"/>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Section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2.7. “</w:t>
      </w:r>
      <w:r>
        <w:rPr>
          <w:rFonts w:ascii="Arial" w:cs="Arial" w:eastAsia="Arial" w:hAnsi="Arial"/>
          <w:sz w:val="15"/>
          <w:szCs w:val="15"/>
          <w:i w:val="1"/>
          <w:iCs w:val="1"/>
          <w:color w:val="auto"/>
        </w:rPr>
        <w:t>CEO</w:t>
      </w:r>
      <w:r>
        <w:rPr>
          <w:rFonts w:ascii="Arial" w:cs="Arial" w:eastAsia="Arial" w:hAnsi="Arial"/>
          <w:sz w:val="15"/>
          <w:szCs w:val="15"/>
          <w:color w:val="auto"/>
        </w:rPr>
        <w:t>” means the Chief Executive Officer of Avnet.</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2.8. “</w:t>
      </w:r>
      <w:r>
        <w:rPr>
          <w:rFonts w:ascii="Arial" w:cs="Arial" w:eastAsia="Arial" w:hAnsi="Arial"/>
          <w:sz w:val="15"/>
          <w:szCs w:val="15"/>
          <w:i w:val="1"/>
          <w:iCs w:val="1"/>
          <w:color w:val="auto"/>
        </w:rPr>
        <w:t>Code</w:t>
      </w:r>
      <w:r>
        <w:rPr>
          <w:rFonts w:ascii="Arial" w:cs="Arial" w:eastAsia="Arial" w:hAnsi="Arial"/>
          <w:sz w:val="15"/>
          <w:szCs w:val="15"/>
          <w:color w:val="auto"/>
        </w:rPr>
        <w:t>” means the Internal Revenue Code of 1986, as amended.</w:t>
      </w:r>
    </w:p>
    <w:p>
      <w:pPr>
        <w:spacing w:after="0" w:line="176"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2.9. “</w:t>
      </w:r>
      <w:r>
        <w:rPr>
          <w:rFonts w:ascii="Arial" w:cs="Arial" w:eastAsia="Arial" w:hAnsi="Arial"/>
          <w:sz w:val="15"/>
          <w:szCs w:val="15"/>
          <w:i w:val="1"/>
          <w:iCs w:val="1"/>
          <w:color w:val="auto"/>
        </w:rPr>
        <w:t>Committee</w:t>
      </w:r>
      <w:r>
        <w:rPr>
          <w:rFonts w:ascii="Arial" w:cs="Arial" w:eastAsia="Arial" w:hAnsi="Arial"/>
          <w:sz w:val="15"/>
          <w:szCs w:val="15"/>
          <w:color w:val="auto"/>
        </w:rPr>
        <w:t>” means the Compensation Committee of the Board of Directors, which shall consist of three or more Non-Employee Directors appointed by the Board of Directors. No individual who is not a “non-employee director” within the meaning of Rule 16b-3 shall serve as a member of the Committee.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2.10. “</w:t>
      </w:r>
      <w:r>
        <w:rPr>
          <w:rFonts w:ascii="Arial" w:cs="Arial" w:eastAsia="Arial" w:hAnsi="Arial"/>
          <w:sz w:val="15"/>
          <w:szCs w:val="15"/>
          <w:i w:val="1"/>
          <w:iCs w:val="1"/>
          <w:color w:val="auto"/>
        </w:rPr>
        <w:t>Company</w:t>
      </w:r>
      <w:r>
        <w:rPr>
          <w:rFonts w:ascii="Arial" w:cs="Arial" w:eastAsia="Arial" w:hAnsi="Arial"/>
          <w:sz w:val="15"/>
          <w:szCs w:val="15"/>
          <w:color w:val="auto"/>
        </w:rPr>
        <w:t>” means Avnet and all its Subsidiaries.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2.11. “</w:t>
      </w:r>
      <w:r>
        <w:rPr>
          <w:rFonts w:ascii="Arial" w:cs="Arial" w:eastAsia="Arial" w:hAnsi="Arial"/>
          <w:sz w:val="15"/>
          <w:szCs w:val="15"/>
          <w:i w:val="1"/>
          <w:iCs w:val="1"/>
          <w:color w:val="auto"/>
        </w:rPr>
        <w:t>Disability</w:t>
      </w:r>
      <w:r>
        <w:rPr>
          <w:rFonts w:ascii="Arial" w:cs="Arial" w:eastAsia="Arial" w:hAnsi="Arial"/>
          <w:sz w:val="15"/>
          <w:szCs w:val="15"/>
          <w:color w:val="auto"/>
        </w:rPr>
        <w:t>” means a “permanent and total disability” within the meaning of Section 22(e)(3) of the Code.</w:t>
      </w:r>
    </w:p>
    <w:p>
      <w:pPr>
        <w:spacing w:after="0" w:line="176"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i w:val="1"/>
          <w:iCs w:val="1"/>
          <w:color w:val="auto"/>
        </w:rPr>
        <w:t>Eligible Employee</w:t>
      </w:r>
      <w:r>
        <w:rPr>
          <w:rFonts w:ascii="Arial" w:cs="Arial" w:eastAsia="Arial" w:hAnsi="Arial"/>
          <w:sz w:val="15"/>
          <w:szCs w:val="15"/>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2.13. “</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amended.</w:t>
      </w:r>
    </w:p>
    <w:p>
      <w:pPr>
        <w:spacing w:after="0" w:line="176" w:lineRule="exact"/>
        <w:rPr>
          <w:sz w:val="20"/>
          <w:szCs w:val="20"/>
          <w:color w:val="auto"/>
        </w:rPr>
      </w:pPr>
    </w:p>
    <w:p>
      <w:pPr>
        <w:jc w:val="both"/>
        <w:ind w:right="79" w:firstLine="540"/>
        <w:spacing w:after="0" w:line="266" w:lineRule="auto"/>
        <w:rPr>
          <w:sz w:val="20"/>
          <w:szCs w:val="20"/>
          <w:color w:val="auto"/>
        </w:rPr>
      </w:pPr>
      <w:r>
        <w:rPr>
          <w:rFonts w:ascii="Arial" w:cs="Arial" w:eastAsia="Arial" w:hAnsi="Arial"/>
          <w:sz w:val="15"/>
          <w:szCs w:val="15"/>
          <w:color w:val="auto"/>
        </w:rPr>
        <w:t>2.14. “</w:t>
      </w:r>
      <w:r>
        <w:rPr>
          <w:rFonts w:ascii="Arial" w:cs="Arial" w:eastAsia="Arial" w:hAnsi="Arial"/>
          <w:sz w:val="15"/>
          <w:szCs w:val="15"/>
          <w:i w:val="1"/>
          <w:iCs w:val="1"/>
          <w:color w:val="auto"/>
        </w:rPr>
        <w:t>Executive Incentive Performance Award</w:t>
      </w:r>
      <w:r>
        <w:rPr>
          <w:rFonts w:ascii="Arial" w:cs="Arial" w:eastAsia="Arial" w:hAnsi="Arial"/>
          <w:sz w:val="15"/>
          <w:szCs w:val="15"/>
          <w:color w:val="auto"/>
        </w:rPr>
        <w:t>” or “</w:t>
      </w:r>
      <w:r>
        <w:rPr>
          <w:rFonts w:ascii="Arial" w:cs="Arial" w:eastAsia="Arial" w:hAnsi="Arial"/>
          <w:sz w:val="15"/>
          <w:szCs w:val="15"/>
          <w:i w:val="1"/>
          <w:iCs w:val="1"/>
          <w:color w:val="auto"/>
        </w:rPr>
        <w:t>EIP Award</w:t>
      </w:r>
      <w:r>
        <w:rPr>
          <w:rFonts w:ascii="Arial" w:cs="Arial" w:eastAsia="Arial" w:hAnsi="Arial"/>
          <w:sz w:val="15"/>
          <w:szCs w:val="15"/>
          <w:color w:val="auto"/>
        </w:rPr>
        <w:t>” means a performance-based cash award granted pursuant to Article 11.</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2.15. “</w:t>
      </w:r>
      <w:r>
        <w:rPr>
          <w:rFonts w:ascii="Arial" w:cs="Arial" w:eastAsia="Arial" w:hAnsi="Arial"/>
          <w:sz w:val="15"/>
          <w:szCs w:val="15"/>
          <w:i w:val="1"/>
          <w:iCs w:val="1"/>
          <w:color w:val="auto"/>
        </w:rPr>
        <w:t>Executive Officer</w:t>
      </w:r>
      <w:r>
        <w:rPr>
          <w:rFonts w:ascii="Arial" w:cs="Arial" w:eastAsia="Arial" w:hAnsi="Arial"/>
          <w:sz w:val="15"/>
          <w:szCs w:val="15"/>
          <w:color w:val="auto"/>
        </w:rPr>
        <w:t>” means an employee designated by Avnet as an executive officer under Rule 16b-3.</w:t>
      </w:r>
    </w:p>
    <w:p>
      <w:pPr>
        <w:spacing w:after="0" w:line="176"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2.16. “</w:t>
      </w:r>
      <w:r>
        <w:rPr>
          <w:rFonts w:ascii="Arial" w:cs="Arial" w:eastAsia="Arial" w:hAnsi="Arial"/>
          <w:sz w:val="15"/>
          <w:szCs w:val="15"/>
          <w:i w:val="1"/>
          <w:iCs w:val="1"/>
          <w:color w:val="auto"/>
        </w:rPr>
        <w:t>Fair Market Value</w:t>
      </w:r>
      <w:r>
        <w:rPr>
          <w:rFonts w:ascii="Arial" w:cs="Arial" w:eastAsia="Arial" w:hAnsi="Arial"/>
          <w:sz w:val="15"/>
          <w:szCs w:val="15"/>
          <w:color w:val="auto"/>
        </w:rPr>
        <w:t>” means, with respect to any date, the closing price (as reported for the Nasdaq Composite Index) at which shares of Stock have been sold on such date (or, if such date is a date for which no trading is so reported, on the next preceding date for which trading is so reported), or such other price as determined by the Committee in accordance with applicable law.</w:t>
      </w:r>
    </w:p>
    <w:p>
      <w:pPr>
        <w:spacing w:after="0" w:line="147"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2.17. “</w:t>
      </w:r>
      <w:r>
        <w:rPr>
          <w:rFonts w:ascii="Arial" w:cs="Arial" w:eastAsia="Arial" w:hAnsi="Arial"/>
          <w:sz w:val="15"/>
          <w:szCs w:val="15"/>
          <w:i w:val="1"/>
          <w:iCs w:val="1"/>
          <w:color w:val="auto"/>
        </w:rPr>
        <w:t>Grant Date</w:t>
      </w:r>
      <w:r>
        <w:rPr>
          <w:rFonts w:ascii="Arial" w:cs="Arial" w:eastAsia="Arial" w:hAnsi="Arial"/>
          <w:sz w:val="15"/>
          <w:szCs w:val="15"/>
          <w:color w:val="auto"/>
        </w:rPr>
        <w:t>” means, with respect to granting an Award or modification of an outstanding Award, the date on which the material terms of the Award (including the number of shares covered by the Award,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43" w:name="page44"/>
    <w:bookmarkEnd w:id="43"/>
    <w:p>
      <w:pPr>
        <w:jc w:val="both"/>
        <w:ind w:right="79"/>
        <w:spacing w:after="0" w:line="238" w:lineRule="auto"/>
        <w:rPr>
          <w:sz w:val="20"/>
          <w:szCs w:val="20"/>
          <w:color w:val="auto"/>
        </w:rPr>
      </w:pPr>
      <w:r>
        <w:rPr>
          <w:rFonts w:ascii="Arial" w:cs="Arial" w:eastAsia="Arial" w:hAnsi="Arial"/>
          <w:sz w:val="15"/>
          <w:szCs w:val="15"/>
          <w:color w:val="auto"/>
        </w:rPr>
        <w:t>conditions for vesting, lapse of the Period of Restriction, and exercise, and the purchase price, if any)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154"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2.18. “</w:t>
      </w:r>
      <w:r>
        <w:rPr>
          <w:rFonts w:ascii="Arial" w:cs="Arial" w:eastAsia="Arial" w:hAnsi="Arial"/>
          <w:sz w:val="15"/>
          <w:szCs w:val="15"/>
          <w:i w:val="1"/>
          <w:iCs w:val="1"/>
          <w:color w:val="auto"/>
        </w:rPr>
        <w:t>Incentive Stock Option</w:t>
      </w:r>
      <w:r>
        <w:rPr>
          <w:rFonts w:ascii="Arial" w:cs="Arial" w:eastAsia="Arial" w:hAnsi="Arial"/>
          <w:sz w:val="15"/>
          <w:szCs w:val="15"/>
          <w:color w:val="auto"/>
        </w:rPr>
        <w:t>” or “</w:t>
      </w:r>
      <w:r>
        <w:rPr>
          <w:rFonts w:ascii="Arial" w:cs="Arial" w:eastAsia="Arial" w:hAnsi="Arial"/>
          <w:sz w:val="15"/>
          <w:szCs w:val="15"/>
          <w:i w:val="1"/>
          <w:iCs w:val="1"/>
          <w:color w:val="auto"/>
        </w:rPr>
        <w:t>ISO</w:t>
      </w:r>
      <w:r>
        <w:rPr>
          <w:rFonts w:ascii="Arial" w:cs="Arial" w:eastAsia="Arial" w:hAnsi="Arial"/>
          <w:sz w:val="15"/>
          <w:szCs w:val="15"/>
          <w:color w:val="auto"/>
        </w:rPr>
        <w:t>” means an Option intended to qualify as an “incentive stock option” under Section 422 of the Code.</w:t>
      </w:r>
    </w:p>
    <w:p>
      <w:pPr>
        <w:spacing w:after="0" w:line="135"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2.19. “</w:t>
      </w:r>
      <w:r>
        <w:rPr>
          <w:rFonts w:ascii="Arial" w:cs="Arial" w:eastAsia="Arial" w:hAnsi="Arial"/>
          <w:sz w:val="15"/>
          <w:szCs w:val="15"/>
          <w:i w:val="1"/>
          <w:iCs w:val="1"/>
          <w:color w:val="auto"/>
        </w:rPr>
        <w:t>Independent Directors</w:t>
      </w:r>
      <w:r>
        <w:rPr>
          <w:rFonts w:ascii="Arial" w:cs="Arial" w:eastAsia="Arial" w:hAnsi="Arial"/>
          <w:sz w:val="15"/>
          <w:szCs w:val="15"/>
          <w:color w:val="auto"/>
        </w:rPr>
        <w:t>” means members of the Board of Directors acting as a group, each of whom satisfies Avnet’s “Director Independence Standards.”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2.20. “</w:t>
      </w:r>
      <w:r>
        <w:rPr>
          <w:rFonts w:ascii="Arial" w:cs="Arial" w:eastAsia="Arial" w:hAnsi="Arial"/>
          <w:sz w:val="15"/>
          <w:szCs w:val="15"/>
          <w:i w:val="1"/>
          <w:iCs w:val="1"/>
          <w:color w:val="auto"/>
        </w:rPr>
        <w:t>Non-Employee Director</w:t>
      </w:r>
      <w:r>
        <w:rPr>
          <w:rFonts w:ascii="Arial" w:cs="Arial" w:eastAsia="Arial" w:hAnsi="Arial"/>
          <w:sz w:val="15"/>
          <w:szCs w:val="15"/>
          <w:color w:val="auto"/>
        </w:rPr>
        <w:t>” means a Director who is not an Eligible Employee.</w:t>
      </w:r>
    </w:p>
    <w:p>
      <w:pPr>
        <w:spacing w:after="0" w:line="176"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i w:val="1"/>
          <w:iCs w:val="1"/>
          <w:color w:val="auto"/>
        </w:rPr>
        <w:t>Option</w:t>
      </w:r>
      <w:r>
        <w:rPr>
          <w:rFonts w:ascii="Arial" w:cs="Arial" w:eastAsia="Arial" w:hAnsi="Arial"/>
          <w:sz w:val="15"/>
          <w:szCs w:val="15"/>
          <w:color w:val="auto"/>
        </w:rPr>
        <w:t>”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spacing w:after="0" w:line="147" w:lineRule="exact"/>
        <w:rPr>
          <w:sz w:val="20"/>
          <w:szCs w:val="20"/>
          <w:color w:val="auto"/>
        </w:rPr>
      </w:pPr>
    </w:p>
    <w:p>
      <w:pPr>
        <w:jc w:val="both"/>
        <w:ind w:right="79" w:firstLine="540"/>
        <w:spacing w:after="0" w:line="266" w:lineRule="auto"/>
        <w:rPr>
          <w:sz w:val="20"/>
          <w:szCs w:val="20"/>
          <w:color w:val="auto"/>
        </w:rPr>
      </w:pPr>
      <w:r>
        <w:rPr>
          <w:rFonts w:ascii="Arial" w:cs="Arial" w:eastAsia="Arial" w:hAnsi="Arial"/>
          <w:sz w:val="15"/>
          <w:szCs w:val="15"/>
          <w:color w:val="auto"/>
        </w:rPr>
        <w:t>2.22. “</w:t>
      </w:r>
      <w:r>
        <w:rPr>
          <w:rFonts w:ascii="Arial" w:cs="Arial" w:eastAsia="Arial" w:hAnsi="Arial"/>
          <w:sz w:val="15"/>
          <w:szCs w:val="15"/>
          <w:i w:val="1"/>
          <w:iCs w:val="1"/>
          <w:color w:val="auto"/>
        </w:rPr>
        <w:t>Optionee</w:t>
      </w:r>
      <w:r>
        <w:rPr>
          <w:rFonts w:ascii="Arial" w:cs="Arial" w:eastAsia="Arial" w:hAnsi="Arial"/>
          <w:sz w:val="15"/>
          <w:szCs w:val="15"/>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135"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2.23. “</w:t>
      </w:r>
      <w:r>
        <w:rPr>
          <w:rFonts w:ascii="Arial" w:cs="Arial" w:eastAsia="Arial" w:hAnsi="Arial"/>
          <w:sz w:val="15"/>
          <w:szCs w:val="15"/>
          <w:i w:val="1"/>
          <w:iCs w:val="1"/>
          <w:color w:val="auto"/>
        </w:rPr>
        <w:t>Other Stock Unit Award</w:t>
      </w:r>
      <w:r>
        <w:rPr>
          <w:rFonts w:ascii="Arial" w:cs="Arial" w:eastAsia="Arial" w:hAnsi="Arial"/>
          <w:sz w:val="15"/>
          <w:szCs w:val="15"/>
          <w:color w:val="auto"/>
        </w:rPr>
        <w:t>” means a full value Award (</w:t>
      </w:r>
      <w:r>
        <w:rPr>
          <w:rFonts w:ascii="Arial" w:cs="Arial" w:eastAsia="Arial" w:hAnsi="Arial"/>
          <w:sz w:val="15"/>
          <w:szCs w:val="15"/>
          <w:i w:val="1"/>
          <w:iCs w:val="1"/>
          <w:color w:val="auto"/>
        </w:rPr>
        <w:t>i.e.</w:t>
      </w:r>
      <w:r>
        <w:rPr>
          <w:rFonts w:ascii="Arial" w:cs="Arial" w:eastAsia="Arial" w:hAnsi="Arial"/>
          <w:sz w:val="15"/>
          <w:szCs w:val="15"/>
          <w:color w:val="auto"/>
        </w:rPr>
        <w:t>, not an Option, SAR, or other appreciation award) granted pursuant to Article 10.</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2.24. “</w:t>
      </w:r>
      <w:r>
        <w:rPr>
          <w:rFonts w:ascii="Arial" w:cs="Arial" w:eastAsia="Arial" w:hAnsi="Arial"/>
          <w:sz w:val="15"/>
          <w:szCs w:val="15"/>
          <w:i w:val="1"/>
          <w:iCs w:val="1"/>
          <w:color w:val="auto"/>
        </w:rPr>
        <w:t>Participant</w:t>
      </w:r>
      <w:r>
        <w:rPr>
          <w:rFonts w:ascii="Arial" w:cs="Arial" w:eastAsia="Arial" w:hAnsi="Arial"/>
          <w:sz w:val="15"/>
          <w:szCs w:val="15"/>
          <w:color w:val="auto"/>
        </w:rPr>
        <w:t>” means an Eligible Employee or Non-Employee Director who has been granted an Award hereunder.</w:t>
      </w:r>
    </w:p>
    <w:p>
      <w:pPr>
        <w:spacing w:after="0" w:line="176"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2.25. “</w:t>
      </w:r>
      <w:r>
        <w:rPr>
          <w:rFonts w:ascii="Arial" w:cs="Arial" w:eastAsia="Arial" w:hAnsi="Arial"/>
          <w:sz w:val="15"/>
          <w:szCs w:val="15"/>
          <w:i w:val="1"/>
          <w:iCs w:val="1"/>
          <w:color w:val="auto"/>
        </w:rPr>
        <w:t>Performance Criteria</w:t>
      </w:r>
      <w:r>
        <w:rPr>
          <w:rFonts w:ascii="Arial" w:cs="Arial" w:eastAsia="Arial" w:hAnsi="Arial"/>
          <w:sz w:val="15"/>
          <w:szCs w:val="15"/>
          <w:color w:val="auto"/>
        </w:rPr>
        <w:t>” means any of the following criteria as related to Avnet, any Subsidiary, or any division or other area of Avnet or a Subsidiary:</w:t>
      </w:r>
    </w:p>
    <w:p>
      <w:pPr>
        <w:spacing w:after="0" w:line="151" w:lineRule="exact"/>
        <w:rPr>
          <w:sz w:val="20"/>
          <w:szCs w:val="20"/>
          <w:color w:val="auto"/>
        </w:rPr>
      </w:pPr>
    </w:p>
    <w:p>
      <w:pPr>
        <w:jc w:val="both"/>
        <w:ind w:left="540" w:right="79" w:firstLine="536"/>
        <w:spacing w:after="0" w:line="237" w:lineRule="auto"/>
        <w:tabs>
          <w:tab w:leader="none" w:pos="1305" w:val="left"/>
        </w:tabs>
        <w:numPr>
          <w:ilvl w:val="0"/>
          <w:numId w:val="23"/>
        </w:numPr>
        <w:rPr>
          <w:rFonts w:ascii="Arial" w:cs="Arial" w:eastAsia="Arial" w:hAnsi="Arial"/>
          <w:sz w:val="15"/>
          <w:szCs w:val="15"/>
          <w:color w:val="auto"/>
        </w:rPr>
      </w:pPr>
      <w:r>
        <w:rPr>
          <w:rFonts w:ascii="Arial" w:cs="Arial" w:eastAsia="Arial" w:hAnsi="Arial"/>
          <w:sz w:val="15"/>
          <w:szCs w:val="15"/>
          <w:color w:val="auto"/>
        </w:rPr>
        <w:t>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171" w:lineRule="exact"/>
        <w:rPr>
          <w:rFonts w:ascii="Arial" w:cs="Arial" w:eastAsia="Arial" w:hAnsi="Arial"/>
          <w:sz w:val="15"/>
          <w:szCs w:val="15"/>
          <w:color w:val="auto"/>
        </w:rPr>
      </w:pPr>
    </w:p>
    <w:p>
      <w:pPr>
        <w:jc w:val="both"/>
        <w:ind w:left="540" w:right="79" w:firstLine="536"/>
        <w:spacing w:after="0" w:line="236" w:lineRule="auto"/>
        <w:tabs>
          <w:tab w:leader="none" w:pos="1316" w:val="left"/>
        </w:tabs>
        <w:numPr>
          <w:ilvl w:val="0"/>
          <w:numId w:val="23"/>
        </w:numPr>
        <w:rPr>
          <w:rFonts w:ascii="Arial" w:cs="Arial" w:eastAsia="Arial" w:hAnsi="Arial"/>
          <w:sz w:val="15"/>
          <w:szCs w:val="15"/>
          <w:color w:val="auto"/>
        </w:rPr>
      </w:pPr>
      <w:r>
        <w:rPr>
          <w:rFonts w:ascii="Arial" w:cs="Arial" w:eastAsia="Arial" w:hAnsi="Arial"/>
          <w:sz w:val="15"/>
          <w:szCs w:val="15"/>
          <w:color w:val="auto"/>
        </w:rPr>
        <w:t>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objective measures of environmental, social and corporate governance; successful completion of internal or external audits; successful integration of business units; successful hiring, diversity, equity and inclusion initiatives, retention of talent, or other succession planning; or objective measures of employee engagement and satisfaction.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 addition, Performance Criteria may include any other criteria selected by the Committee.</w:t>
      </w:r>
    </w:p>
    <w:p>
      <w:pPr>
        <w:spacing w:after="0" w:line="160"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i w:val="1"/>
          <w:iCs w:val="1"/>
          <w:color w:val="auto"/>
        </w:rPr>
        <w:t>Performance Objectives</w:t>
      </w:r>
      <w:r>
        <w:rPr>
          <w:rFonts w:ascii="Arial" w:cs="Arial" w:eastAsia="Arial" w:hAnsi="Arial"/>
          <w:sz w:val="15"/>
          <w:szCs w:val="15"/>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44" w:name="page45"/>
    <w:bookmarkEnd w:id="44"/>
    <w:p>
      <w:pPr>
        <w:jc w:val="both"/>
        <w:ind w:right="99" w:firstLine="540"/>
        <w:spacing w:after="0" w:line="266" w:lineRule="auto"/>
        <w:rPr>
          <w:sz w:val="20"/>
          <w:szCs w:val="20"/>
          <w:color w:val="auto"/>
        </w:rPr>
      </w:pPr>
      <w:r>
        <w:rPr>
          <w:rFonts w:ascii="Arial" w:cs="Arial" w:eastAsia="Arial" w:hAnsi="Arial"/>
          <w:sz w:val="15"/>
          <w:szCs w:val="15"/>
          <w:color w:val="auto"/>
        </w:rPr>
        <w:t>2.27. “</w:t>
      </w:r>
      <w:r>
        <w:rPr>
          <w:rFonts w:ascii="Arial" w:cs="Arial" w:eastAsia="Arial" w:hAnsi="Arial"/>
          <w:sz w:val="15"/>
          <w:szCs w:val="15"/>
          <w:i w:val="1"/>
          <w:iCs w:val="1"/>
          <w:color w:val="auto"/>
        </w:rPr>
        <w:t>Performance Period</w:t>
      </w:r>
      <w:r>
        <w:rPr>
          <w:rFonts w:ascii="Arial" w:cs="Arial" w:eastAsia="Arial" w:hAnsi="Arial"/>
          <w:sz w:val="15"/>
          <w:szCs w:val="15"/>
          <w:color w:val="auto"/>
        </w:rPr>
        <w:t>” means a period over which achievement of Performance Objectives is measured, as set forth in the applicable Agreement.</w:t>
      </w:r>
    </w:p>
    <w:p>
      <w:pPr>
        <w:spacing w:after="0" w:line="135"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2.28. "</w:t>
      </w:r>
      <w:r>
        <w:rPr>
          <w:rFonts w:ascii="Arial" w:cs="Arial" w:eastAsia="Arial" w:hAnsi="Arial"/>
          <w:sz w:val="15"/>
          <w:szCs w:val="15"/>
          <w:i w:val="1"/>
          <w:iCs w:val="1"/>
          <w:color w:val="auto"/>
        </w:rPr>
        <w:t>Performance Share Unit</w:t>
      </w:r>
      <w:r>
        <w:rPr>
          <w:rFonts w:ascii="Arial" w:cs="Arial" w:eastAsia="Arial" w:hAnsi="Arial"/>
          <w:sz w:val="15"/>
          <w:szCs w:val="15"/>
          <w:color w:val="auto"/>
        </w:rPr>
        <w:t>” means an Award granted pursuant to Article 9. In general, a Performance Share Unit gives the recipient a contractual right to receive a target number of shares of Stock or cash upon the attainment of specified Performance Objectives.</w:t>
      </w:r>
    </w:p>
    <w:p>
      <w:pPr>
        <w:spacing w:after="0" w:line="147"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2.29. “</w:t>
      </w:r>
      <w:r>
        <w:rPr>
          <w:rFonts w:ascii="Arial" w:cs="Arial" w:eastAsia="Arial" w:hAnsi="Arial"/>
          <w:sz w:val="15"/>
          <w:szCs w:val="15"/>
          <w:i w:val="1"/>
          <w:iCs w:val="1"/>
          <w:color w:val="auto"/>
        </w:rPr>
        <w:t>Period of Restriction</w:t>
      </w:r>
      <w:r>
        <w:rPr>
          <w:rFonts w:ascii="Arial" w:cs="Arial" w:eastAsia="Arial" w:hAnsi="Arial"/>
          <w:sz w:val="15"/>
          <w:szCs w:val="15"/>
          <w:color w:val="auto"/>
        </w:rPr>
        <w:t>” means the period during which the transfer of shares of Restricted Stock is restricted, pursuant to Article 7.</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2.30. “</w:t>
      </w:r>
      <w:r>
        <w:rPr>
          <w:rFonts w:ascii="Arial" w:cs="Arial" w:eastAsia="Arial" w:hAnsi="Arial"/>
          <w:sz w:val="15"/>
          <w:szCs w:val="15"/>
          <w:i w:val="1"/>
          <w:iCs w:val="1"/>
          <w:color w:val="auto"/>
        </w:rPr>
        <w:t>Plan</w:t>
      </w:r>
      <w:r>
        <w:rPr>
          <w:rFonts w:ascii="Arial" w:cs="Arial" w:eastAsia="Arial" w:hAnsi="Arial"/>
          <w:sz w:val="15"/>
          <w:szCs w:val="15"/>
          <w:color w:val="auto"/>
        </w:rPr>
        <w:t>” means the Avnet, Inc. 2021 Stock Compensation and Incentive Plan, as set forth herein and as amended from time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to time.</w:t>
      </w:r>
    </w:p>
    <w:p>
      <w:pPr>
        <w:spacing w:after="0" w:line="160"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2.31. “</w:t>
      </w:r>
      <w:r>
        <w:rPr>
          <w:rFonts w:ascii="Arial" w:cs="Arial" w:eastAsia="Arial" w:hAnsi="Arial"/>
          <w:sz w:val="15"/>
          <w:szCs w:val="15"/>
          <w:i w:val="1"/>
          <w:iCs w:val="1"/>
          <w:color w:val="auto"/>
        </w:rPr>
        <w:t>Restricted Stock</w:t>
      </w:r>
      <w:r>
        <w:rPr>
          <w:rFonts w:ascii="Arial" w:cs="Arial" w:eastAsia="Arial" w:hAnsi="Arial"/>
          <w:sz w:val="15"/>
          <w:szCs w:val="15"/>
          <w:color w:val="auto"/>
        </w:rPr>
        <w:t>” means an Award of Stock granted pursuant to Article 7. In general, Restricted Stock is Stock that, during a Period of Restriction, is subject to a substantial risk of forfeiture and restrictions against sale or other transfer.</w:t>
      </w:r>
    </w:p>
    <w:p>
      <w:pPr>
        <w:spacing w:after="0" w:line="135"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2.32. “</w:t>
      </w:r>
      <w:r>
        <w:rPr>
          <w:rFonts w:ascii="Arial" w:cs="Arial" w:eastAsia="Arial" w:hAnsi="Arial"/>
          <w:sz w:val="15"/>
          <w:szCs w:val="15"/>
          <w:i w:val="1"/>
          <w:iCs w:val="1"/>
          <w:color w:val="auto"/>
        </w:rPr>
        <w:t>Restricted Stock Unit</w:t>
      </w:r>
      <w:r>
        <w:rPr>
          <w:rFonts w:ascii="Arial" w:cs="Arial" w:eastAsia="Arial" w:hAnsi="Arial"/>
          <w:sz w:val="15"/>
          <w:szCs w:val="15"/>
          <w:color w:val="auto"/>
        </w:rPr>
        <w:t>” means an Award granted pursuant to Article 8. In general, a Restricted Stock Unit gives the recipient a contractual right to receive cash or shares of Stock upon the attainment of specified vesting conditions.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2.33. “</w:t>
      </w:r>
      <w:r>
        <w:rPr>
          <w:rFonts w:ascii="Arial" w:cs="Arial" w:eastAsia="Arial" w:hAnsi="Arial"/>
          <w:sz w:val="15"/>
          <w:szCs w:val="15"/>
          <w:i w:val="1"/>
          <w:iCs w:val="1"/>
          <w:color w:val="auto"/>
        </w:rPr>
        <w:t>Rule 16b-3</w:t>
      </w:r>
      <w:r>
        <w:rPr>
          <w:rFonts w:ascii="Arial" w:cs="Arial" w:eastAsia="Arial" w:hAnsi="Arial"/>
          <w:sz w:val="15"/>
          <w:szCs w:val="15"/>
          <w:color w:val="auto"/>
        </w:rPr>
        <w:t>” means SEC Rule 16b-3 promulgated under the Exchange Act.</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2.34. “</w:t>
      </w:r>
      <w:r>
        <w:rPr>
          <w:rFonts w:ascii="Arial" w:cs="Arial" w:eastAsia="Arial" w:hAnsi="Arial"/>
          <w:sz w:val="15"/>
          <w:szCs w:val="15"/>
          <w:i w:val="1"/>
          <w:iCs w:val="1"/>
          <w:color w:val="auto"/>
        </w:rPr>
        <w:t>Securities Act</w:t>
      </w:r>
      <w:r>
        <w:rPr>
          <w:rFonts w:ascii="Arial" w:cs="Arial" w:eastAsia="Arial" w:hAnsi="Arial"/>
          <w:sz w:val="15"/>
          <w:szCs w:val="15"/>
          <w:color w:val="auto"/>
        </w:rPr>
        <w:t>” means the Securities Act of 1933, as amended.</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2.35. “</w:t>
      </w:r>
      <w:r>
        <w:rPr>
          <w:rFonts w:ascii="Arial" w:cs="Arial" w:eastAsia="Arial" w:hAnsi="Arial"/>
          <w:sz w:val="15"/>
          <w:szCs w:val="15"/>
          <w:i w:val="1"/>
          <w:iCs w:val="1"/>
          <w:color w:val="auto"/>
        </w:rPr>
        <w:t>Stock</w:t>
      </w:r>
      <w:r>
        <w:rPr>
          <w:rFonts w:ascii="Arial" w:cs="Arial" w:eastAsia="Arial" w:hAnsi="Arial"/>
          <w:sz w:val="15"/>
          <w:szCs w:val="15"/>
          <w:color w:val="auto"/>
        </w:rPr>
        <w:t>” means, subject to the adjustment provisions set forth in Article 13, Avnet’s $1.00 par value common stock.</w:t>
      </w:r>
    </w:p>
    <w:p>
      <w:pPr>
        <w:spacing w:after="0" w:line="176"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2.36. “</w:t>
      </w:r>
      <w:r>
        <w:rPr>
          <w:rFonts w:ascii="Arial" w:cs="Arial" w:eastAsia="Arial" w:hAnsi="Arial"/>
          <w:sz w:val="15"/>
          <w:szCs w:val="15"/>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i w:val="1"/>
          <w:iCs w:val="1"/>
          <w:color w:val="auto"/>
        </w:rPr>
        <w:t>SAR</w:t>
      </w:r>
      <w:r>
        <w:rPr>
          <w:rFonts w:ascii="Arial" w:cs="Arial" w:eastAsia="Arial" w:hAnsi="Arial"/>
          <w:sz w:val="15"/>
          <w:szCs w:val="15"/>
          <w:color w:val="auto"/>
        </w:rPr>
        <w:t>”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150"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2.37. “</w:t>
      </w:r>
      <w:r>
        <w:rPr>
          <w:rFonts w:ascii="Arial" w:cs="Arial" w:eastAsia="Arial" w:hAnsi="Arial"/>
          <w:sz w:val="15"/>
          <w:szCs w:val="15"/>
          <w:i w:val="1"/>
          <w:iCs w:val="1"/>
          <w:color w:val="auto"/>
        </w:rPr>
        <w:t>Subsidiary</w:t>
      </w:r>
      <w:r>
        <w:rPr>
          <w:rFonts w:ascii="Arial" w:cs="Arial" w:eastAsia="Arial" w:hAnsi="Arial"/>
          <w:sz w:val="15"/>
          <w:szCs w:val="15"/>
          <w:color w:val="auto"/>
        </w:rPr>
        <w:t>” means a corporation in which Avnet directly or indirectly owns more than 50% of the total combined voting power of all classes of capital stock.</w:t>
      </w:r>
    </w:p>
    <w:p>
      <w:pPr>
        <w:spacing w:after="0" w:line="135"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2.38. “</w:t>
      </w:r>
      <w:r>
        <w:rPr>
          <w:rFonts w:ascii="Arial" w:cs="Arial" w:eastAsia="Arial" w:hAnsi="Arial"/>
          <w:sz w:val="15"/>
          <w:szCs w:val="15"/>
          <w:i w:val="1"/>
          <w:iCs w:val="1"/>
          <w:color w:val="auto"/>
        </w:rPr>
        <w:t>Successor Optionee</w:t>
      </w:r>
      <w:r>
        <w:rPr>
          <w:rFonts w:ascii="Arial" w:cs="Arial" w:eastAsia="Arial" w:hAnsi="Arial"/>
          <w:sz w:val="15"/>
          <w:szCs w:val="15"/>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3</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SHARES RESERVED FOR THE PLAN</w:t>
      </w:r>
    </w:p>
    <w:p>
      <w:pPr>
        <w:spacing w:after="0" w:line="160" w:lineRule="exact"/>
        <w:rPr>
          <w:sz w:val="20"/>
          <w:szCs w:val="20"/>
          <w:color w:val="auto"/>
        </w:rPr>
      </w:pPr>
    </w:p>
    <w:p>
      <w:pPr>
        <w:jc w:val="both"/>
        <w:ind w:right="79" w:firstLine="540"/>
        <w:spacing w:after="0" w:line="23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i w:val="1"/>
          <w:iCs w:val="1"/>
          <w:color w:val="auto"/>
        </w:rPr>
        <w:t>General Limitations</w:t>
      </w:r>
      <w:r>
        <w:rPr>
          <w:rFonts w:ascii="Arial" w:cs="Arial" w:eastAsia="Arial" w:hAnsi="Arial"/>
          <w:sz w:val="15"/>
          <w:szCs w:val="15"/>
          <w:color w:val="auto"/>
        </w:rPr>
        <w:t>. Subject to the adjustment provisions set forth in Article 13, the maximum number of shares of Stock that may be delivered pursuant to the exercise of Awards granted under the Plan shall be 2,500,000 shares. All such shares shall be available for any type of Award, including Incentive Stock Options.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Avnet, Inc. 2016 Stock Compensation Plan (the “2016 Plan”),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60" w:right="1440" w:bottom="1440" w:gutter="0" w:footer="0" w:header="0"/>
        </w:sectPr>
      </w:pPr>
    </w:p>
    <w:bookmarkStart w:id="45" w:name="page46"/>
    <w:bookmarkEnd w:id="45"/>
    <w:p>
      <w:pPr>
        <w:jc w:val="both"/>
        <w:ind w:right="79"/>
        <w:spacing w:after="0" w:line="244" w:lineRule="auto"/>
        <w:rPr>
          <w:sz w:val="20"/>
          <w:szCs w:val="20"/>
          <w:color w:val="auto"/>
        </w:rPr>
      </w:pPr>
      <w:r>
        <w:rPr>
          <w:rFonts w:ascii="Arial" w:cs="Arial" w:eastAsia="Arial" w:hAnsi="Arial"/>
          <w:sz w:val="15"/>
          <w:szCs w:val="15"/>
          <w:color w:val="auto"/>
        </w:rPr>
        <w:t>which shall continue to be available for grant under the 2016 Plan. Shares of Stock subject to Awards may consist of authorized but unissued shares of Stock and/or shares of Stock held in Avnet’s treasury.</w:t>
      </w:r>
    </w:p>
    <w:p>
      <w:pPr>
        <w:spacing w:after="0" w:line="151" w:lineRule="exact"/>
        <w:rPr>
          <w:sz w:val="20"/>
          <w:szCs w:val="20"/>
          <w:color w:val="auto"/>
        </w:rPr>
      </w:pPr>
    </w:p>
    <w:p>
      <w:pPr>
        <w:jc w:val="both"/>
        <w:ind w:right="79" w:firstLine="540"/>
        <w:spacing w:after="0"/>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i w:val="1"/>
          <w:iCs w:val="1"/>
          <w:color w:val="auto"/>
        </w:rPr>
        <w:t>Individual Limitations</w:t>
      </w:r>
      <w:r>
        <w:rPr>
          <w:rFonts w:ascii="Arial" w:cs="Arial" w:eastAsia="Arial" w:hAnsi="Arial"/>
          <w:sz w:val="15"/>
          <w:szCs w:val="15"/>
          <w:color w:val="auto"/>
        </w:rPr>
        <w:t>. No individual may be granted Awards in any calendar year for more than 1,000,000 shares in the aggregate (including Options, SARs, Restricted Stock, Restricted Stock Units, Performance Share Units, and other equity-based awards). Awards granted to an individual in a calendar year may consist of a single type (</w:t>
      </w:r>
      <w:r>
        <w:rPr>
          <w:rFonts w:ascii="Arial" w:cs="Arial" w:eastAsia="Arial" w:hAnsi="Arial"/>
          <w:sz w:val="15"/>
          <w:szCs w:val="15"/>
          <w:i w:val="1"/>
          <w:iCs w:val="1"/>
          <w:color w:val="auto"/>
        </w:rPr>
        <w:t>e.g.</w:t>
      </w:r>
      <w:r>
        <w:rPr>
          <w:rFonts w:ascii="Arial" w:cs="Arial" w:eastAsia="Arial" w:hAnsi="Arial"/>
          <w:sz w:val="15"/>
          <w:szCs w:val="15"/>
          <w:color w:val="auto"/>
        </w:rPr>
        <w:t>, Options) or a mix of types, as long as the aggregate share limit for the year is not exceeded. In addition, no Non-Employee Director may be granted Awards covering shares with a value at the time of grant of more than $1 million in any calendar year; provided, however, that Awards covering shares with a value of up to $2 million may be granted to a Non-Employee Director during the calendar year in which the Non-Employee Director first joins the Board of Directors or is first designated as Chairman of the Board of Directors or Lead Director.</w:t>
      </w:r>
    </w:p>
    <w:p>
      <w:pPr>
        <w:spacing w:after="0" w:line="153" w:lineRule="exact"/>
        <w:rPr>
          <w:sz w:val="20"/>
          <w:szCs w:val="20"/>
          <w:color w:val="auto"/>
        </w:rPr>
      </w:pPr>
    </w:p>
    <w:p>
      <w:pPr>
        <w:jc w:val="both"/>
        <w:ind w:right="79" w:firstLine="540"/>
        <w:spacing w:after="0" w:line="239"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i w:val="1"/>
          <w:iCs w:val="1"/>
          <w:color w:val="auto"/>
        </w:rPr>
        <w:t>Termination and Expiration of Awards</w:t>
      </w:r>
      <w:r>
        <w:rPr>
          <w:rFonts w:ascii="Arial" w:cs="Arial" w:eastAsia="Arial" w:hAnsi="Arial"/>
          <w:sz w:val="15"/>
          <w:szCs w:val="15"/>
          <w:color w:val="auto"/>
        </w:rPr>
        <w:t>. If an Award is canceled, forfeited, expired or otherwise terminates or is settled without delivery of shares of Stock, whether in whole or in part, the number of shares of Stock covered by such Award immediately before such cancellation, forfeiture, expiration, termination, or settlement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4</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ADMINISTRATION OF THE PLAN</w:t>
      </w:r>
    </w:p>
    <w:p>
      <w:pPr>
        <w:spacing w:after="0" w:line="160" w:lineRule="exact"/>
        <w:rPr>
          <w:sz w:val="20"/>
          <w:szCs w:val="20"/>
          <w:color w:val="auto"/>
        </w:rPr>
      </w:pPr>
    </w:p>
    <w:p>
      <w:pPr>
        <w:jc w:val="both"/>
        <w:ind w:right="79" w:firstLine="540"/>
        <w:spacing w:after="0"/>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i w:val="1"/>
          <w:iCs w:val="1"/>
          <w:color w:val="auto"/>
        </w:rPr>
        <w:t>Plan Administration</w:t>
      </w:r>
      <w:r>
        <w:rPr>
          <w:rFonts w:ascii="Arial" w:cs="Arial" w:eastAsia="Arial" w:hAnsi="Arial"/>
          <w:sz w:val="15"/>
          <w:szCs w:val="15"/>
          <w:color w:val="auto"/>
        </w:rPr>
        <w:t>. This Plan shall be administered by the Administrator. The Administrator shall have full and exclusive power to: (a)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153" w:lineRule="exact"/>
        <w:rPr>
          <w:sz w:val="20"/>
          <w:szCs w:val="20"/>
          <w:color w:val="auto"/>
        </w:rPr>
      </w:pPr>
    </w:p>
    <w:p>
      <w:pPr>
        <w:jc w:val="both"/>
        <w:ind w:right="79" w:firstLine="540"/>
        <w:spacing w:after="0"/>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i w:val="1"/>
          <w:iCs w:val="1"/>
          <w:color w:val="auto"/>
        </w:rPr>
        <w:t>Committee’s Authority to Grant Awards</w:t>
      </w:r>
      <w:r>
        <w:rPr>
          <w:rFonts w:ascii="Arial" w:cs="Arial" w:eastAsia="Arial" w:hAnsi="Arial"/>
          <w:sz w:val="15"/>
          <w:szCs w:val="15"/>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153" w:lineRule="exact"/>
        <w:rPr>
          <w:sz w:val="20"/>
          <w:szCs w:val="20"/>
          <w:color w:val="auto"/>
        </w:rPr>
      </w:pPr>
    </w:p>
    <w:p>
      <w:pPr>
        <w:jc w:val="both"/>
        <w:ind w:right="79" w:firstLine="540"/>
        <w:spacing w:after="0" w:line="23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i w:val="1"/>
          <w:iCs w:val="1"/>
          <w:color w:val="auto"/>
        </w:rPr>
        <w:t>Independent Directors’ Authority to Grant Awards</w:t>
      </w:r>
      <w:r>
        <w:rPr>
          <w:rFonts w:ascii="Arial" w:cs="Arial" w:eastAsia="Arial" w:hAnsi="Arial"/>
          <w:sz w:val="15"/>
          <w:szCs w:val="15"/>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Independent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46" w:name="page47"/>
    <w:bookmarkEnd w:id="46"/>
    <w:p>
      <w:pPr>
        <w:jc w:val="both"/>
        <w:ind w:right="79" w:firstLine="540"/>
        <w:spacing w:after="0" w:line="242"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i w:val="1"/>
          <w:iCs w:val="1"/>
          <w:color w:val="auto"/>
        </w:rPr>
        <w:t>Actions of the Committee</w:t>
      </w:r>
      <w:r>
        <w:rPr>
          <w:rFonts w:ascii="Arial" w:cs="Arial" w:eastAsia="Arial" w:hAnsi="Arial"/>
          <w:sz w:val="15"/>
          <w:szCs w:val="15"/>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i w:val="1"/>
          <w:iCs w:val="1"/>
          <w:color w:val="auto"/>
        </w:rPr>
        <w:t>Reporting</w:t>
      </w:r>
      <w:r>
        <w:rPr>
          <w:rFonts w:ascii="Arial" w:cs="Arial" w:eastAsia="Arial" w:hAnsi="Arial"/>
          <w:sz w:val="15"/>
          <w:szCs w:val="15"/>
          <w:color w:val="auto"/>
        </w:rPr>
        <w:t>. The Committee shall provide reports as may from time to time be prescribed by the Board of Directors.</w:t>
      </w:r>
    </w:p>
    <w:p>
      <w:pPr>
        <w:spacing w:after="0" w:line="176" w:lineRule="exact"/>
        <w:rPr>
          <w:sz w:val="20"/>
          <w:szCs w:val="20"/>
          <w:color w:val="auto"/>
        </w:rPr>
      </w:pPr>
    </w:p>
    <w:p>
      <w:pPr>
        <w:jc w:val="both"/>
        <w:ind w:right="79" w:firstLine="540"/>
        <w:spacing w:after="0" w:line="241"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i w:val="1"/>
          <w:iCs w:val="1"/>
          <w:color w:val="auto"/>
        </w:rPr>
        <w:t>CEO Authority to Grant Awards</w:t>
      </w:r>
      <w:r>
        <w:rPr>
          <w:rFonts w:ascii="Arial" w:cs="Arial" w:eastAsia="Arial" w:hAnsi="Arial"/>
          <w:sz w:val="15"/>
          <w:szCs w:val="15"/>
          <w:color w:val="auto"/>
        </w:rPr>
        <w:t>. The CEO shall have authority to make Awards to Eligible Employees who are not Executive Officers, including Eligible Employees who are promoted to Executive Officer positions,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w:t>
      </w:r>
    </w:p>
    <w:p>
      <w:pPr>
        <w:spacing w:after="0" w:line="153" w:lineRule="exact"/>
        <w:rPr>
          <w:sz w:val="20"/>
          <w:szCs w:val="20"/>
          <w:color w:val="auto"/>
        </w:rPr>
      </w:pPr>
    </w:p>
    <w:p>
      <w:pPr>
        <w:jc w:val="both"/>
        <w:ind w:right="99" w:firstLine="540"/>
        <w:spacing w:after="0" w:line="250"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i w:val="1"/>
          <w:iCs w:val="1"/>
          <w:color w:val="auto"/>
        </w:rPr>
        <w:t>Determining Amount Payable.</w:t>
      </w:r>
      <w:r>
        <w:rPr>
          <w:rFonts w:ascii="Arial" w:cs="Arial" w:eastAsia="Arial" w:hAnsi="Arial"/>
          <w:sz w:val="15"/>
          <w:szCs w:val="15"/>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147"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i w:val="1"/>
          <w:iCs w:val="1"/>
          <w:color w:val="auto"/>
        </w:rPr>
        <w:t>Decisions of the Administrator</w:t>
      </w:r>
      <w:r>
        <w:rPr>
          <w:rFonts w:ascii="Arial" w:cs="Arial" w:eastAsia="Arial" w:hAnsi="Arial"/>
          <w:sz w:val="15"/>
          <w:szCs w:val="15"/>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150"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i w:val="1"/>
          <w:iCs w:val="1"/>
          <w:color w:val="auto"/>
        </w:rPr>
        <w:t>Law Compliance</w:t>
      </w:r>
      <w:r>
        <w:rPr>
          <w:rFonts w:ascii="Arial" w:cs="Arial" w:eastAsia="Arial" w:hAnsi="Arial"/>
          <w:sz w:val="15"/>
          <w:szCs w:val="15"/>
          <w:color w:val="auto"/>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162(m) of the Code, Section 409A of the Code, Section 280G of the Code, or any other applicable law; and the Plan shall be construed consistently with the intent to avoid adverse consequences under applicable law.</w:t>
      </w:r>
    </w:p>
    <w:p>
      <w:pPr>
        <w:spacing w:after="0" w:line="152"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ARTICLE 5</w:t>
      </w:r>
    </w:p>
    <w:p>
      <w:pPr>
        <w:spacing w:after="0" w:line="14"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OPTIONS</w:t>
      </w:r>
    </w:p>
    <w:p>
      <w:pPr>
        <w:spacing w:after="0" w:line="160"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Grant</w:t>
      </w:r>
      <w:r>
        <w:rPr>
          <w:rFonts w:ascii="Arial" w:cs="Arial" w:eastAsia="Arial" w:hAnsi="Arial"/>
          <w:sz w:val="15"/>
          <w:szCs w:val="15"/>
          <w:color w:val="auto"/>
        </w:rPr>
        <w:t>. The Committee (and the CEO to the extent permitted by Section 4.6) may grant Options to Eligible Employees, and the Independent Directors may grant Options to Non-Employee Directors.</w:t>
      </w:r>
    </w:p>
    <w:p>
      <w:pPr>
        <w:spacing w:after="0" w:line="135"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i w:val="1"/>
          <w:iCs w:val="1"/>
          <w:color w:val="auto"/>
        </w:rPr>
        <w:t>Exercise Price</w:t>
      </w:r>
      <w:r>
        <w:rPr>
          <w:rFonts w:ascii="Arial" w:cs="Arial" w:eastAsia="Arial" w:hAnsi="Arial"/>
          <w:sz w:val="15"/>
          <w:szCs w:val="15"/>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135" w:lineRule="exact"/>
        <w:rPr>
          <w:sz w:val="20"/>
          <w:szCs w:val="20"/>
          <w:color w:val="auto"/>
        </w:rPr>
      </w:pPr>
    </w:p>
    <w:p>
      <w:pPr>
        <w:jc w:val="both"/>
        <w:ind w:right="79" w:firstLine="540"/>
        <w:spacing w:after="0" w:line="218"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Term</w:t>
      </w:r>
      <w:r>
        <w:rPr>
          <w:rFonts w:ascii="Arial" w:cs="Arial" w:eastAsia="Arial" w:hAnsi="Arial"/>
          <w:sz w:val="15"/>
          <w:szCs w:val="15"/>
          <w:color w:val="auto"/>
        </w:rPr>
        <w:t>. The term of each Option granted under the Plan shall be set forth in the Agreement; provided, however, that in no event shall an Option be exercisable after the day before the tenth (10</w:t>
      </w:r>
      <w:r>
        <w:rPr>
          <w:rFonts w:ascii="Arial" w:cs="Arial" w:eastAsia="Arial" w:hAnsi="Arial"/>
          <w:sz w:val="22"/>
          <w:szCs w:val="22"/>
          <w:color w:val="auto"/>
          <w:vertAlign w:val="superscript"/>
        </w:rPr>
        <w:t>th</w:t>
      </w:r>
      <w:r>
        <w:rPr>
          <w:rFonts w:ascii="Arial" w:cs="Arial" w:eastAsia="Arial" w:hAnsi="Arial"/>
          <w:sz w:val="15"/>
          <w:szCs w:val="15"/>
          <w:color w:val="auto"/>
        </w:rPr>
        <w:t>)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155" w:lineRule="exact"/>
        <w:rPr>
          <w:sz w:val="20"/>
          <w:szCs w:val="20"/>
          <w:color w:val="auto"/>
        </w:rPr>
      </w:pPr>
    </w:p>
    <w:p>
      <w:pPr>
        <w:jc w:val="both"/>
        <w:ind w:right="99" w:firstLine="540"/>
        <w:spacing w:after="0" w:line="250"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i w:val="1"/>
          <w:iCs w:val="1"/>
          <w:color w:val="auto"/>
        </w:rPr>
        <w:t>Exercisability (Vesting)</w:t>
      </w:r>
      <w:r>
        <w:rPr>
          <w:rFonts w:ascii="Arial" w:cs="Arial" w:eastAsia="Arial" w:hAnsi="Arial"/>
          <w:sz w:val="15"/>
          <w:szCs w:val="15"/>
          <w:color w:val="auto"/>
        </w:rPr>
        <w:t>. Each Option granted under the Plan shall be subject to the vesting conditions set forth in the Agreement; provided, however, that the exercisability of any Option may be accelerated to the extent permitted by Section 12.2 (Acceleration of Vesting). Subject to Section 12.2, 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60" w:right="1440" w:bottom="1440" w:gutter="0" w:footer="0" w:header="0"/>
        </w:sectPr>
      </w:pPr>
    </w:p>
    <w:bookmarkStart w:id="47" w:name="page48"/>
    <w:bookmarkEnd w:id="47"/>
    <w:p>
      <w:pPr>
        <w:jc w:val="both"/>
        <w:ind w:right="79"/>
        <w:spacing w:after="0" w:line="239" w:lineRule="auto"/>
        <w:rPr>
          <w:sz w:val="20"/>
          <w:szCs w:val="20"/>
          <w:color w:val="auto"/>
        </w:rPr>
      </w:pPr>
      <w:r>
        <w:rPr>
          <w:rFonts w:ascii="Arial" w:cs="Arial" w:eastAsia="Arial" w:hAnsi="Arial"/>
          <w:sz w:val="15"/>
          <w:szCs w:val="15"/>
          <w:color w:val="auto"/>
        </w:rPr>
        <w:t>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w:t>
      </w:r>
    </w:p>
    <w:p>
      <w:pPr>
        <w:spacing w:after="0" w:line="155" w:lineRule="exact"/>
        <w:rPr>
          <w:sz w:val="20"/>
          <w:szCs w:val="20"/>
          <w:color w:val="auto"/>
        </w:rPr>
      </w:pPr>
    </w:p>
    <w:p>
      <w:pPr>
        <w:jc w:val="both"/>
        <w:ind w:right="79" w:firstLine="540"/>
        <w:spacing w:after="0" w:line="237"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i w:val="1"/>
          <w:iCs w:val="1"/>
          <w:color w:val="auto"/>
        </w:rPr>
        <w:t>Exercise</w:t>
      </w:r>
      <w:r>
        <w:rPr>
          <w:rFonts w:ascii="Arial" w:cs="Arial" w:eastAsia="Arial" w:hAnsi="Arial"/>
          <w:sz w:val="15"/>
          <w:szCs w:val="15"/>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(a) check (certified, if so required by Avnet); (b) shares of Stock with a fair market value, at the date of receipt by Avnet, equal to the aggregate exercise price (plus withholding, if applicable); (c) a combination of subsections (a) and (b) of this Section 5.5; (d) having Avnet retain from the Stock otherwise issuable upon exercise of the Option a number of shares of Stock having a fair market value equal to the exercise price of the Option (plus withholding, if applicable); (e)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(f) any other manner acceptable to the Administrator.</w:t>
      </w:r>
    </w:p>
    <w:p>
      <w:pPr>
        <w:spacing w:after="0" w:line="160"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i w:val="1"/>
          <w:iCs w:val="1"/>
          <w:color w:val="auto"/>
        </w:rPr>
        <w:t>General Modification Rules; Limits on Repricing</w:t>
      </w:r>
      <w:r>
        <w:rPr>
          <w:rFonts w:ascii="Arial" w:cs="Arial" w:eastAsia="Arial" w:hAnsi="Arial"/>
          <w:sz w:val="15"/>
          <w:szCs w:val="15"/>
          <w:color w:val="auto"/>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154"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i w:val="1"/>
          <w:iCs w:val="1"/>
          <w:color w:val="auto"/>
        </w:rPr>
        <w:t>Dividend Rights</w:t>
      </w:r>
      <w:r>
        <w:rPr>
          <w:rFonts w:ascii="Arial" w:cs="Arial" w:eastAsia="Arial" w:hAnsi="Arial"/>
          <w:sz w:val="15"/>
          <w:szCs w:val="15"/>
          <w:color w:val="auto"/>
        </w:rPr>
        <w:t>. Participants in whose name Options are granted shall not be entitled to receive dividends or other distributions with respect to shares of Stock underlying such Options prior to the exercise of such Options.</w:t>
      </w:r>
    </w:p>
    <w:p>
      <w:pPr>
        <w:spacing w:after="0" w:line="135"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i w:val="1"/>
          <w:iCs w:val="1"/>
          <w:color w:val="auto"/>
        </w:rPr>
        <w:t>Special Modification in the Event of a Corporate Transaction</w:t>
      </w:r>
      <w:r>
        <w:rPr>
          <w:rFonts w:ascii="Arial" w:cs="Arial" w:eastAsia="Arial" w:hAnsi="Arial"/>
          <w:sz w:val="15"/>
          <w:szCs w:val="15"/>
          <w:color w:val="auto"/>
        </w:rPr>
        <w:t>. In the event of a corporate transaction (within the meaning of Treas. Reg. §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150"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i w:val="1"/>
          <w:iCs w:val="1"/>
          <w:color w:val="auto"/>
        </w:rPr>
        <w:t>Special Rules for Incentive Stock Options (“ISOs”)</w:t>
      </w:r>
      <w:r>
        <w:rPr>
          <w:rFonts w:ascii="Arial" w:cs="Arial" w:eastAsia="Arial" w:hAnsi="Arial"/>
          <w:sz w:val="15"/>
          <w:szCs w:val="15"/>
          <w:color w:val="auto"/>
        </w:rPr>
        <w:t>.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147" w:lineRule="exact"/>
        <w:rPr>
          <w:sz w:val="20"/>
          <w:szCs w:val="20"/>
          <w:color w:val="auto"/>
        </w:rPr>
      </w:pPr>
    </w:p>
    <w:p>
      <w:pPr>
        <w:jc w:val="both"/>
        <w:ind w:left="540" w:right="79" w:firstLine="536"/>
        <w:spacing w:after="0" w:line="250" w:lineRule="auto"/>
        <w:tabs>
          <w:tab w:leader="none" w:pos="1305"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Shares Available for ISO Grants</w:t>
      </w:r>
      <w:r>
        <w:rPr>
          <w:rFonts w:ascii="Arial" w:cs="Arial" w:eastAsia="Arial" w:hAnsi="Arial"/>
          <w:sz w:val="15"/>
          <w:szCs w:val="15"/>
          <w:color w:val="auto"/>
        </w:rPr>
        <w:t>. All shares of Stock authorized for Awards under Article 3 are available to be issued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ISOs; provided, however, that to the extent required by Section 422 of the Code, canceled Awards shall continue to be counted against the number of shares available.</w:t>
      </w:r>
    </w:p>
    <w:p>
      <w:pPr>
        <w:spacing w:after="0" w:line="146" w:lineRule="exact"/>
        <w:rPr>
          <w:rFonts w:ascii="Arial" w:cs="Arial" w:eastAsia="Arial" w:hAnsi="Arial"/>
          <w:sz w:val="15"/>
          <w:szCs w:val="15"/>
          <w:color w:val="auto"/>
        </w:rPr>
      </w:pPr>
    </w:p>
    <w:p>
      <w:pPr>
        <w:ind w:left="1320" w:hanging="244"/>
        <w:spacing w:after="0"/>
        <w:tabs>
          <w:tab w:leader="none" w:pos="132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Optionee Must Be an Employee</w:t>
      </w:r>
      <w:r>
        <w:rPr>
          <w:rFonts w:ascii="Arial" w:cs="Arial" w:eastAsia="Arial" w:hAnsi="Arial"/>
          <w:sz w:val="15"/>
          <w:szCs w:val="15"/>
          <w:color w:val="auto"/>
        </w:rPr>
        <w:t>.  No ISO shall be granted to any individual who is not an employee of Avnet or a</w:t>
      </w:r>
    </w:p>
    <w:p>
      <w:pPr>
        <w:spacing w:after="0" w:line="1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Subsidiary.</w:t>
      </w:r>
    </w:p>
    <w:p>
      <w:pPr>
        <w:spacing w:after="0" w:line="160" w:lineRule="exact"/>
        <w:rPr>
          <w:rFonts w:ascii="Arial" w:cs="Arial" w:eastAsia="Arial" w:hAnsi="Arial"/>
          <w:sz w:val="15"/>
          <w:szCs w:val="15"/>
          <w:color w:val="auto"/>
        </w:rPr>
      </w:pPr>
    </w:p>
    <w:p>
      <w:pPr>
        <w:jc w:val="both"/>
        <w:ind w:left="540" w:right="79" w:firstLine="536"/>
        <w:spacing w:after="0" w:line="245" w:lineRule="auto"/>
        <w:tabs>
          <w:tab w:leader="none" w:pos="136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Special Rules for 10% Owners</w:t>
      </w:r>
      <w:r>
        <w:rPr>
          <w:rFonts w:ascii="Arial" w:cs="Arial" w:eastAsia="Arial" w:hAnsi="Arial"/>
          <w:sz w:val="15"/>
          <w:szCs w:val="15"/>
          <w:color w:val="auto"/>
        </w:rPr>
        <w:t>. An Incentive Stock Option shall not be granted to an individual who, immediately</w:t>
      </w:r>
      <w:r>
        <w:rPr>
          <w:rFonts w:ascii="Arial" w:cs="Arial" w:eastAsia="Arial" w:hAnsi="Arial"/>
          <w:sz w:val="15"/>
          <w:szCs w:val="15"/>
          <w:i w:val="1"/>
          <w:iCs w:val="1"/>
          <w:color w:val="auto"/>
        </w:rPr>
        <w:t xml:space="preserve"> </w:t>
      </w:r>
      <w:r>
        <w:rPr>
          <w:rFonts w:ascii="Arial" w:cs="Arial" w:eastAsia="Arial" w:hAnsi="Arial"/>
          <w:sz w:val="15"/>
          <w:szCs w:val="15"/>
          <w:color w:val="auto"/>
        </w:rPr>
        <w:t>before the time the Option is granted, owns shares of Stock possessing more than ten percent (10%) of the total combined voting power of all classes of stock of Avnet, unless the Agreement for such Incentive Stock Option provides that (i) the exercise price is no less than one hundred and ten percent (110%) of the Fair Market Value of the Stock on the Grant Date (determined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48" w:name="page49"/>
    <w:bookmarkEnd w:id="48"/>
    <w:p>
      <w:pPr>
        <w:ind w:left="540" w:right="99"/>
        <w:spacing w:after="0" w:line="244" w:lineRule="auto"/>
        <w:rPr>
          <w:sz w:val="20"/>
          <w:szCs w:val="20"/>
          <w:color w:val="auto"/>
        </w:rPr>
      </w:pPr>
      <w:r>
        <w:rPr>
          <w:rFonts w:ascii="Arial" w:cs="Arial" w:eastAsia="Arial" w:hAnsi="Arial"/>
          <w:sz w:val="15"/>
          <w:szCs w:val="15"/>
          <w:color w:val="auto"/>
        </w:rPr>
        <w:t>in accordance with Treas. Reg. § 1.422-2(f)(1)), and (ii) the Option expires no later than the fifth (5) anniversary of the Grant Date.</w:t>
      </w:r>
    </w:p>
    <w:p>
      <w:pPr>
        <w:spacing w:after="0" w:line="14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6</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STOCK APPRECIATION RIGHTS (“SARs”)</w:t>
      </w:r>
    </w:p>
    <w:p>
      <w:pPr>
        <w:spacing w:after="0" w:line="160"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i w:val="1"/>
          <w:iCs w:val="1"/>
          <w:color w:val="auto"/>
        </w:rPr>
        <w:t>Grant</w:t>
      </w:r>
      <w:r>
        <w:rPr>
          <w:rFonts w:ascii="Arial" w:cs="Arial" w:eastAsia="Arial" w:hAnsi="Arial"/>
          <w:sz w:val="15"/>
          <w:szCs w:val="15"/>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150"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i w:val="1"/>
          <w:iCs w:val="1"/>
          <w:color w:val="auto"/>
        </w:rPr>
        <w:t>Exercise Price</w:t>
      </w:r>
      <w:r>
        <w:rPr>
          <w:rFonts w:ascii="Arial" w:cs="Arial" w:eastAsia="Arial" w:hAnsi="Arial"/>
          <w:sz w:val="15"/>
          <w:szCs w:val="15"/>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214" w:lineRule="exact"/>
        <w:rPr>
          <w:sz w:val="20"/>
          <w:szCs w:val="20"/>
          <w:color w:val="auto"/>
        </w:rPr>
      </w:pPr>
    </w:p>
    <w:p>
      <w:pPr>
        <w:jc w:val="both"/>
        <w:ind w:right="79" w:firstLine="540"/>
        <w:spacing w:after="0" w:line="218"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i w:val="1"/>
          <w:iCs w:val="1"/>
          <w:color w:val="auto"/>
        </w:rPr>
        <w:t>Term</w:t>
      </w:r>
      <w:r>
        <w:rPr>
          <w:rFonts w:ascii="Arial" w:cs="Arial" w:eastAsia="Arial" w:hAnsi="Arial"/>
          <w:sz w:val="15"/>
          <w:szCs w:val="15"/>
          <w:color w:val="auto"/>
        </w:rPr>
        <w:t>. The term of each SAR granted under the Plan shall be set forth in the Agreement; provided, however that in no event shall a SAR be exercisable after the day before the tenth (10</w:t>
      </w:r>
      <w:r>
        <w:rPr>
          <w:rFonts w:ascii="Arial" w:cs="Arial" w:eastAsia="Arial" w:hAnsi="Arial"/>
          <w:sz w:val="22"/>
          <w:szCs w:val="22"/>
          <w:color w:val="auto"/>
          <w:vertAlign w:val="superscript"/>
        </w:rPr>
        <w:t>th</w:t>
      </w:r>
      <w:r>
        <w:rPr>
          <w:rFonts w:ascii="Arial" w:cs="Arial" w:eastAsia="Arial" w:hAnsi="Arial"/>
          <w:sz w:val="15"/>
          <w:szCs w:val="15"/>
          <w:color w:val="auto"/>
        </w:rPr>
        <w:t>)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155" w:lineRule="exact"/>
        <w:rPr>
          <w:sz w:val="20"/>
          <w:szCs w:val="20"/>
          <w:color w:val="auto"/>
        </w:rPr>
      </w:pPr>
    </w:p>
    <w:p>
      <w:pPr>
        <w:jc w:val="both"/>
        <w:ind w:right="99" w:firstLine="540"/>
        <w:spacing w:after="0" w:line="241"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i w:val="1"/>
          <w:iCs w:val="1"/>
          <w:color w:val="auto"/>
        </w:rPr>
        <w:t>Exercisability (Vesting)</w:t>
      </w:r>
      <w:r>
        <w:rPr>
          <w:rFonts w:ascii="Arial" w:cs="Arial" w:eastAsia="Arial" w:hAnsi="Arial"/>
          <w:sz w:val="15"/>
          <w:szCs w:val="15"/>
          <w:color w:val="auto"/>
        </w:rPr>
        <w:t>. Each SAR granted under the Plan shall be subject to the vesting conditions set forth in the Agreement; provided, however, that (a) the exercisability of any SAR may be accelerated to the extent permitted by Section 12.2 (Acceleration of Vesting), and (b) if a SAR relates to all or part of an Option, such SAR shall be exercisable only to the extent that the related Option is exercisable. Subject to 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spacing w:after="0" w:line="153" w:lineRule="exact"/>
        <w:rPr>
          <w:sz w:val="20"/>
          <w:szCs w:val="20"/>
          <w:color w:val="auto"/>
        </w:rPr>
      </w:pPr>
    </w:p>
    <w:p>
      <w:pPr>
        <w:jc w:val="both"/>
        <w:ind w:right="79" w:firstLine="540"/>
        <w:spacing w:after="0" w:line="241"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i w:val="1"/>
          <w:iCs w:val="1"/>
          <w:color w:val="auto"/>
        </w:rPr>
        <w:t>Exercise</w:t>
      </w:r>
      <w:r>
        <w:rPr>
          <w:rFonts w:ascii="Arial" w:cs="Arial" w:eastAsia="Arial" w:hAnsi="Arial"/>
          <w:sz w:val="15"/>
          <w:szCs w:val="15"/>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153" w:lineRule="exact"/>
        <w:rPr>
          <w:sz w:val="20"/>
          <w:szCs w:val="20"/>
          <w:color w:val="auto"/>
        </w:rPr>
      </w:pPr>
    </w:p>
    <w:p>
      <w:pPr>
        <w:jc w:val="both"/>
        <w:ind w:right="99" w:firstLine="540"/>
        <w:spacing w:after="0" w:line="250"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i w:val="1"/>
          <w:iCs w:val="1"/>
          <w:color w:val="auto"/>
        </w:rPr>
        <w:t>Other Conditions</w:t>
      </w:r>
      <w:r>
        <w:rPr>
          <w:rFonts w:ascii="Arial" w:cs="Arial" w:eastAsia="Arial" w:hAnsi="Arial"/>
          <w:sz w:val="15"/>
          <w:szCs w:val="15"/>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147"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i w:val="1"/>
          <w:iCs w:val="1"/>
          <w:color w:val="auto"/>
        </w:rPr>
        <w:t>Dividend Rights</w:t>
      </w:r>
      <w:r>
        <w:rPr>
          <w:rFonts w:ascii="Arial" w:cs="Arial" w:eastAsia="Arial" w:hAnsi="Arial"/>
          <w:sz w:val="15"/>
          <w:szCs w:val="15"/>
          <w:color w:val="auto"/>
        </w:rPr>
        <w:t>. Participants in whose name SARs are granted shall not be entitled to receive dividends or other distributions with respect to shares of Stock underlying such SARs.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49" w:name="page50"/>
    <w:bookmarkEnd w:id="49"/>
    <w:p>
      <w:pPr>
        <w:jc w:val="both"/>
        <w:ind w:right="79" w:firstLine="540"/>
        <w:spacing w:after="0" w:line="250"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i w:val="1"/>
          <w:iCs w:val="1"/>
          <w:color w:val="auto"/>
        </w:rPr>
        <w:t>Modification and Cancellation Rules</w:t>
      </w:r>
      <w:r>
        <w:rPr>
          <w:rFonts w:ascii="Arial" w:cs="Arial" w:eastAsia="Arial" w:hAnsi="Arial"/>
          <w:sz w:val="15"/>
          <w:szCs w:val="15"/>
          <w:color w:val="auto"/>
        </w:rPr>
        <w:t>. The modification and cancellation rules and restrictions set forth in Sections 5.6 (General Modification Rules) and 5.8 (Special Modification in the Event of a Corporate Transaction) shall also apply with respect to SARs.</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7</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RESTRICTED STOCK</w:t>
      </w:r>
    </w:p>
    <w:p>
      <w:pPr>
        <w:spacing w:after="0" w:line="239"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i w:val="1"/>
          <w:iCs w:val="1"/>
          <w:color w:val="auto"/>
        </w:rPr>
        <w:t>Grant</w:t>
      </w:r>
      <w:r>
        <w:rPr>
          <w:rFonts w:ascii="Arial" w:cs="Arial" w:eastAsia="Arial" w:hAnsi="Arial"/>
          <w:sz w:val="15"/>
          <w:szCs w:val="15"/>
          <w:color w:val="auto"/>
        </w:rPr>
        <w:t>. The Committee (and the CEO to the extent permitted by Section 4.6) may grant Restricted Stock to Eligible Employees, and the Independent Directors may grant Restricted Stock to Non-Employee Directors. The number of shares granted pursuant to any Restricted Stock Award, and the purchase price (if any), shall be set forth in the Agreement.</w:t>
      </w:r>
    </w:p>
    <w:p>
      <w:pPr>
        <w:spacing w:after="0" w:line="147" w:lineRule="exact"/>
        <w:rPr>
          <w:sz w:val="20"/>
          <w:szCs w:val="20"/>
          <w:color w:val="auto"/>
        </w:rPr>
      </w:pPr>
    </w:p>
    <w:p>
      <w:pPr>
        <w:jc w:val="both"/>
        <w:ind w:right="79" w:firstLine="540"/>
        <w:spacing w:after="0" w:line="239"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i w:val="1"/>
          <w:iCs w:val="1"/>
          <w:color w:val="auto"/>
        </w:rPr>
        <w:t>Restrictions</w:t>
      </w:r>
      <w:r>
        <w:rPr>
          <w:rFonts w:ascii="Arial" w:cs="Arial" w:eastAsia="Arial" w:hAnsi="Arial"/>
          <w:sz w:val="15"/>
          <w:szCs w:val="15"/>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w:t>
      </w:r>
    </w:p>
    <w:p>
      <w:pPr>
        <w:spacing w:after="0" w:line="155"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i w:val="1"/>
          <w:iCs w:val="1"/>
          <w:color w:val="auto"/>
        </w:rPr>
        <w:t>Lapse of Period of Restriction (Vesting)</w:t>
      </w:r>
      <w:r>
        <w:rPr>
          <w:rFonts w:ascii="Arial" w:cs="Arial" w:eastAsia="Arial" w:hAnsi="Arial"/>
          <w:sz w:val="15"/>
          <w:szCs w:val="15"/>
          <w:color w:val="auto"/>
        </w:rPr>
        <w:t>. The Period of Restriction for each Award of Restricted Stock shall lapse only upon satisfaction of conditions set forth in the Agreement. Such conditions may be based on (a) continued service to Avnet or a Subsidiary for a specified period, (b) achievement of Performance Objectives, or (c) a combination of (a) and (b). Subject to Section 12.2, the Period of Restriction for any Award of Restricted Stock shall lapse no faster than pro rata over the three (3) year period that starts on the Grant Date.</w:t>
      </w:r>
    </w:p>
    <w:p>
      <w:pPr>
        <w:spacing w:after="0" w:line="154" w:lineRule="exact"/>
        <w:rPr>
          <w:sz w:val="20"/>
          <w:szCs w:val="20"/>
          <w:color w:val="auto"/>
        </w:rPr>
      </w:pPr>
    </w:p>
    <w:p>
      <w:pPr>
        <w:jc w:val="both"/>
        <w:ind w:right="99" w:firstLine="540"/>
        <w:spacing w:after="0" w:line="250"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i w:val="1"/>
          <w:iCs w:val="1"/>
          <w:color w:val="auto"/>
        </w:rPr>
        <w:t>Settlement of Restricted Stock</w:t>
      </w:r>
      <w:r>
        <w:rPr>
          <w:rFonts w:ascii="Arial" w:cs="Arial" w:eastAsia="Arial" w:hAnsi="Arial"/>
          <w:sz w:val="15"/>
          <w:szCs w:val="15"/>
          <w:color w:val="auto"/>
        </w:rPr>
        <w:t>.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w:t>
      </w:r>
    </w:p>
    <w:p>
      <w:pPr>
        <w:spacing w:after="0" w:line="147"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i w:val="1"/>
          <w:iCs w:val="1"/>
          <w:color w:val="auto"/>
        </w:rPr>
        <w:t>Voting Rights</w:t>
      </w:r>
      <w:r>
        <w:rPr>
          <w:rFonts w:ascii="Arial" w:cs="Arial" w:eastAsia="Arial" w:hAnsi="Arial"/>
          <w:sz w:val="15"/>
          <w:szCs w:val="15"/>
          <w:color w:val="auto"/>
        </w:rPr>
        <w:t>. During the Period of Restriction, Participants in whose name Restricted Stock is granted under the Plan may exercise full voting rights with respect to those shares.</w:t>
      </w:r>
    </w:p>
    <w:p>
      <w:pPr>
        <w:spacing w:after="0" w:line="135" w:lineRule="exact"/>
        <w:rPr>
          <w:sz w:val="20"/>
          <w:szCs w:val="20"/>
          <w:color w:val="auto"/>
        </w:rPr>
      </w:pPr>
    </w:p>
    <w:p>
      <w:pPr>
        <w:jc w:val="both"/>
        <w:ind w:right="79" w:firstLine="540"/>
        <w:spacing w:after="0" w:line="238"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i w:val="1"/>
          <w:iCs w:val="1"/>
          <w:color w:val="auto"/>
        </w:rPr>
        <w:t>Dividend Rights</w:t>
      </w:r>
      <w:r>
        <w:rPr>
          <w:rFonts w:ascii="Arial" w:cs="Arial" w:eastAsia="Arial" w:hAnsi="Arial"/>
          <w:sz w:val="15"/>
          <w:szCs w:val="15"/>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156"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i w:val="1"/>
          <w:iCs w:val="1"/>
          <w:color w:val="auto"/>
        </w:rPr>
        <w:t>Foreign Laws</w:t>
      </w:r>
      <w:r>
        <w:rPr>
          <w:rFonts w:ascii="Arial" w:cs="Arial" w:eastAsia="Arial" w:hAnsi="Arial"/>
          <w:sz w:val="15"/>
          <w:szCs w:val="15"/>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60" w:right="1440" w:bottom="1440" w:gutter="0" w:footer="0" w:header="0"/>
        </w:sectPr>
      </w:pPr>
    </w:p>
    <w:bookmarkStart w:id="50" w:name="page51"/>
    <w:bookmarkEnd w:id="50"/>
    <w:p>
      <w:pPr>
        <w:jc w:val="center"/>
        <w:ind w:right="-140"/>
        <w:spacing w:after="0"/>
        <w:rPr>
          <w:sz w:val="20"/>
          <w:szCs w:val="20"/>
          <w:color w:val="auto"/>
        </w:rPr>
      </w:pPr>
      <w:r>
        <w:rPr>
          <w:rFonts w:ascii="Arial" w:cs="Arial" w:eastAsia="Arial" w:hAnsi="Arial"/>
          <w:sz w:val="15"/>
          <w:szCs w:val="15"/>
          <w:b w:val="1"/>
          <w:bCs w:val="1"/>
          <w:color w:val="auto"/>
        </w:rPr>
        <w:t>ARTICLE 8</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RESTRICTED STOCK UNITS</w:t>
      </w:r>
    </w:p>
    <w:p>
      <w:pPr>
        <w:spacing w:after="0" w:line="160"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i w:val="1"/>
          <w:iCs w:val="1"/>
          <w:color w:val="auto"/>
        </w:rPr>
        <w:t>Grant</w:t>
      </w:r>
      <w:r>
        <w:rPr>
          <w:rFonts w:ascii="Arial" w:cs="Arial" w:eastAsia="Arial" w:hAnsi="Arial"/>
          <w:sz w:val="15"/>
          <w:szCs w:val="15"/>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147"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i w:val="1"/>
          <w:iCs w:val="1"/>
          <w:color w:val="auto"/>
        </w:rPr>
        <w:t>Vesting</w:t>
      </w:r>
      <w:r>
        <w:rPr>
          <w:rFonts w:ascii="Arial" w:cs="Arial" w:eastAsia="Arial" w:hAnsi="Arial"/>
          <w:sz w:val="15"/>
          <w:szCs w:val="15"/>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Subject to Section 12.2, a Restricted Stock Unit Award shall become vested no faster than pro rata over the three (3) year period that starts on the Grant Date.</w:t>
      </w:r>
    </w:p>
    <w:p>
      <w:pPr>
        <w:spacing w:after="0" w:line="150" w:lineRule="exact"/>
        <w:rPr>
          <w:sz w:val="20"/>
          <w:szCs w:val="20"/>
          <w:color w:val="auto"/>
        </w:rPr>
      </w:pPr>
    </w:p>
    <w:p>
      <w:pPr>
        <w:jc w:val="both"/>
        <w:ind w:right="99" w:firstLine="540"/>
        <w:spacing w:after="0" w:line="245"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i w:val="1"/>
          <w:iCs w:val="1"/>
          <w:color w:val="auto"/>
        </w:rPr>
        <w:t>Settlement of Restricted Stock Units</w:t>
      </w:r>
      <w:r>
        <w:rPr>
          <w:rFonts w:ascii="Arial" w:cs="Arial" w:eastAsia="Arial" w:hAnsi="Arial"/>
          <w:sz w:val="15"/>
          <w:szCs w:val="15"/>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150" w:lineRule="exact"/>
        <w:rPr>
          <w:sz w:val="20"/>
          <w:szCs w:val="20"/>
          <w:color w:val="auto"/>
        </w:rPr>
      </w:pPr>
    </w:p>
    <w:p>
      <w:pPr>
        <w:jc w:val="both"/>
        <w:ind w:right="99" w:firstLine="540"/>
        <w:spacing w:after="0" w:line="242"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i w:val="1"/>
          <w:iCs w:val="1"/>
          <w:color w:val="auto"/>
        </w:rPr>
        <w:t>Dividend Rights</w:t>
      </w:r>
      <w:r>
        <w:rPr>
          <w:rFonts w:ascii="Arial" w:cs="Arial" w:eastAsia="Arial" w:hAnsi="Arial"/>
          <w:sz w:val="15"/>
          <w:szCs w:val="15"/>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152"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9</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PERFORMANCE SHARE UNITS</w:t>
      </w:r>
    </w:p>
    <w:p>
      <w:pPr>
        <w:spacing w:after="0" w:line="160"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i w:val="1"/>
          <w:iCs w:val="1"/>
          <w:color w:val="auto"/>
        </w:rPr>
        <w:t>Grant.</w:t>
      </w:r>
      <w:r>
        <w:rPr>
          <w:rFonts w:ascii="Arial" w:cs="Arial" w:eastAsia="Arial" w:hAnsi="Arial"/>
          <w:sz w:val="15"/>
          <w:szCs w:val="15"/>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147"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i w:val="1"/>
          <w:iCs w:val="1"/>
          <w:color w:val="auto"/>
        </w:rPr>
        <w:t>Vesting</w:t>
      </w:r>
      <w:r>
        <w:rPr>
          <w:rFonts w:ascii="Arial" w:cs="Arial" w:eastAsia="Arial" w:hAnsi="Arial"/>
          <w:sz w:val="15"/>
          <w:szCs w:val="15"/>
          <w:color w:val="auto"/>
        </w:rPr>
        <w:t>.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spacing w:after="0" w:line="150"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i w:val="1"/>
          <w:iCs w:val="1"/>
          <w:color w:val="auto"/>
        </w:rPr>
        <w:t>Settlement of Performance Shares</w:t>
      </w:r>
      <w:r>
        <w:rPr>
          <w:rFonts w:ascii="Arial" w:cs="Arial" w:eastAsia="Arial" w:hAnsi="Arial"/>
          <w:sz w:val="15"/>
          <w:szCs w:val="15"/>
          <w:color w:val="auto"/>
        </w:rPr>
        <w:t>.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150"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i w:val="1"/>
          <w:iCs w:val="1"/>
          <w:color w:val="auto"/>
        </w:rPr>
        <w:t>Dividend Rights.</w:t>
      </w:r>
      <w:r>
        <w:rPr>
          <w:rFonts w:ascii="Arial" w:cs="Arial" w:eastAsia="Arial" w:hAnsi="Arial"/>
          <w:sz w:val="15"/>
          <w:szCs w:val="15"/>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58" w:right="1440" w:bottom="1440" w:gutter="0" w:footer="0" w:header="0"/>
        </w:sectPr>
      </w:pPr>
    </w:p>
    <w:bookmarkStart w:id="51" w:name="page52"/>
    <w:bookmarkEnd w:id="51"/>
    <w:p>
      <w:pPr>
        <w:jc w:val="center"/>
        <w:ind w:right="-120"/>
        <w:spacing w:after="0"/>
        <w:rPr>
          <w:sz w:val="20"/>
          <w:szCs w:val="20"/>
          <w:color w:val="auto"/>
        </w:rPr>
      </w:pPr>
      <w:r>
        <w:rPr>
          <w:rFonts w:ascii="Arial" w:cs="Arial" w:eastAsia="Arial" w:hAnsi="Arial"/>
          <w:sz w:val="15"/>
          <w:szCs w:val="15"/>
          <w:b w:val="1"/>
          <w:bCs w:val="1"/>
          <w:color w:val="auto"/>
        </w:rPr>
        <w:t>ARTICLE 10</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OTHER STOCK UNIT AWARDS</w:t>
      </w:r>
    </w:p>
    <w:p>
      <w:pPr>
        <w:spacing w:after="0" w:line="239"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i w:val="1"/>
          <w:iCs w:val="1"/>
          <w:color w:val="auto"/>
        </w:rPr>
        <w:t>Grant</w:t>
      </w:r>
      <w:r>
        <w:rPr>
          <w:rFonts w:ascii="Arial" w:cs="Arial" w:eastAsia="Arial" w:hAnsi="Arial"/>
          <w:sz w:val="15"/>
          <w:szCs w:val="15"/>
          <w:color w:val="auto"/>
        </w:rPr>
        <w:t>. The Committee (and the CEO to the extent permitted by Section 4.6)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154"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i w:val="1"/>
          <w:iCs w:val="1"/>
          <w:color w:val="auto"/>
        </w:rPr>
        <w:t>Amount of Award</w:t>
      </w:r>
      <w:r>
        <w:rPr>
          <w:rFonts w:ascii="Arial" w:cs="Arial" w:eastAsia="Arial" w:hAnsi="Arial"/>
          <w:sz w:val="15"/>
          <w:szCs w:val="15"/>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147" w:lineRule="exact"/>
        <w:rPr>
          <w:sz w:val="20"/>
          <w:szCs w:val="20"/>
          <w:color w:val="auto"/>
        </w:rPr>
      </w:pPr>
    </w:p>
    <w:p>
      <w:pPr>
        <w:jc w:val="both"/>
        <w:ind w:right="79" w:firstLine="540"/>
        <w:spacing w:after="0" w:line="250"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i w:val="1"/>
          <w:iCs w:val="1"/>
          <w:color w:val="auto"/>
        </w:rPr>
        <w:t>General Rules for Other Stock Unit Awards</w:t>
      </w:r>
      <w:r>
        <w:rPr>
          <w:rFonts w:ascii="Arial" w:cs="Arial" w:eastAsia="Arial" w:hAnsi="Arial"/>
          <w:sz w:val="15"/>
          <w:szCs w:val="15"/>
          <w:color w:val="auto"/>
        </w:rPr>
        <w:t>.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spacing w:after="0" w:line="163" w:lineRule="exact"/>
        <w:rPr>
          <w:sz w:val="20"/>
          <w:szCs w:val="20"/>
          <w:color w:val="auto"/>
        </w:rPr>
      </w:pPr>
    </w:p>
    <w:p>
      <w:pPr>
        <w:jc w:val="both"/>
        <w:ind w:left="540" w:right="79" w:firstLine="536"/>
        <w:spacing w:after="0" w:line="238" w:lineRule="auto"/>
        <w:tabs>
          <w:tab w:leader="none" w:pos="13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 Other Stock Unit Award shall be subject to vesting conditions set forth in the applicable Agreement, which may be based on any criterion permitted by Section 8.2 (Vesting). Subject to Section 12.2, the minimum vesting period required by Section 8.2 shall also apply for Other Stock Unit Awards; provided that the minimum vesting period shall not apply for full value awards granted to Non-Employee Directors.</w:t>
      </w:r>
    </w:p>
    <w:p>
      <w:pPr>
        <w:spacing w:after="0" w:line="170" w:lineRule="exact"/>
        <w:rPr>
          <w:rFonts w:ascii="Arial" w:cs="Arial" w:eastAsia="Arial" w:hAnsi="Arial"/>
          <w:sz w:val="15"/>
          <w:szCs w:val="15"/>
          <w:color w:val="auto"/>
        </w:rPr>
      </w:pPr>
    </w:p>
    <w:p>
      <w:pPr>
        <w:jc w:val="both"/>
        <w:ind w:left="540" w:right="79" w:firstLine="536"/>
        <w:spacing w:after="0" w:line="239"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 Other Stock Unit Award may be contingent on the payment of cash consideration by the Participant or may provide for delivery of the Award, and any Stock or other securities issued in conjunction with the Award, without any payment of cash consideration.</w:t>
      </w:r>
    </w:p>
    <w:p>
      <w:pPr>
        <w:spacing w:after="0" w:line="170" w:lineRule="exact"/>
        <w:rPr>
          <w:rFonts w:ascii="Arial" w:cs="Arial" w:eastAsia="Arial" w:hAnsi="Arial"/>
          <w:sz w:val="15"/>
          <w:szCs w:val="15"/>
          <w:color w:val="auto"/>
        </w:rPr>
      </w:pPr>
    </w:p>
    <w:p>
      <w:pPr>
        <w:ind w:left="1320" w:hanging="244"/>
        <w:spacing w:after="0"/>
        <w:tabs>
          <w:tab w:leader="none" w:pos="1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 Other Stock Unit Award may be subject to a deferred payment schedule, if so set forth in the Agreement.</w:t>
      </w:r>
    </w:p>
    <w:p>
      <w:pPr>
        <w:spacing w:after="0" w:line="176" w:lineRule="exact"/>
        <w:rPr>
          <w:rFonts w:ascii="Arial" w:cs="Arial" w:eastAsia="Arial" w:hAnsi="Arial"/>
          <w:sz w:val="15"/>
          <w:szCs w:val="15"/>
          <w:color w:val="auto"/>
        </w:rPr>
      </w:pPr>
    </w:p>
    <w:p>
      <w:pPr>
        <w:jc w:val="both"/>
        <w:ind w:left="540" w:right="79" w:firstLine="536"/>
        <w:spacing w:after="0" w:line="238" w:lineRule="auto"/>
        <w:tabs>
          <w:tab w:leader="none" w:pos="1346"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152"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11</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EXECUTIVE INCENTIVE PERFORMANCE AWARDS</w:t>
      </w:r>
    </w:p>
    <w:p>
      <w:pPr>
        <w:spacing w:after="0" w:line="160"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i w:val="1"/>
          <w:iCs w:val="1"/>
          <w:color w:val="auto"/>
        </w:rPr>
        <w:t>EIP Awards</w:t>
      </w:r>
      <w:r>
        <w:rPr>
          <w:rFonts w:ascii="Arial" w:cs="Arial" w:eastAsia="Arial" w:hAnsi="Arial"/>
          <w:sz w:val="15"/>
          <w:szCs w:val="15"/>
          <w:color w:val="auto"/>
        </w:rPr>
        <w:t>.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150" w:lineRule="exact"/>
        <w:rPr>
          <w:sz w:val="20"/>
          <w:szCs w:val="20"/>
          <w:color w:val="auto"/>
        </w:rPr>
      </w:pPr>
    </w:p>
    <w:p>
      <w:pPr>
        <w:jc w:val="both"/>
        <w:ind w:right="99" w:firstLine="540"/>
        <w:spacing w:after="0" w:line="250"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i w:val="1"/>
          <w:iCs w:val="1"/>
          <w:color w:val="auto"/>
        </w:rPr>
        <w:t>Determination of EIP Amount</w:t>
      </w:r>
      <w:r>
        <w:rPr>
          <w:rFonts w:ascii="Arial" w:cs="Arial" w:eastAsia="Arial" w:hAnsi="Arial"/>
          <w:sz w:val="15"/>
          <w:szCs w:val="15"/>
          <w:color w:val="auto"/>
        </w:rPr>
        <w:t>. The amount of an EIP Award shall be determined by the Committee (or the CEO to the extent permitted by Section 4.6) and shall be contingent upon the achievement of Performance Objectives specified by the Committee, as set forth in the Agreement.</w:t>
      </w:r>
    </w:p>
    <w:p>
      <w:pPr>
        <w:spacing w:after="0" w:line="147" w:lineRule="exact"/>
        <w:rPr>
          <w:sz w:val="20"/>
          <w:szCs w:val="20"/>
          <w:color w:val="auto"/>
        </w:rPr>
      </w:pPr>
    </w:p>
    <w:p>
      <w:pPr>
        <w:jc w:val="both"/>
        <w:ind w:right="79" w:firstLine="540"/>
        <w:spacing w:after="0" w:line="266"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i w:val="1"/>
          <w:iCs w:val="1"/>
          <w:color w:val="auto"/>
        </w:rPr>
        <w:t>Payment of Awards</w:t>
      </w:r>
      <w:r>
        <w:rPr>
          <w:rFonts w:ascii="Arial" w:cs="Arial" w:eastAsia="Arial" w:hAnsi="Arial"/>
          <w:sz w:val="15"/>
          <w:szCs w:val="15"/>
          <w:color w:val="auto"/>
        </w:rPr>
        <w:t>. EIP Awards shall be paid in cash after the Performance Period has ended and the Committee has certified that the specified Performance Objectives were achieved. Except as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58" w:right="1440" w:bottom="1440" w:gutter="0" w:footer="0" w:header="0"/>
        </w:sectPr>
      </w:pPr>
    </w:p>
    <w:bookmarkStart w:id="52" w:name="page53"/>
    <w:bookmarkEnd w:id="52"/>
    <w:p>
      <w:pPr>
        <w:jc w:val="both"/>
        <w:ind w:left="4" w:right="79"/>
        <w:spacing w:after="0" w:line="244" w:lineRule="auto"/>
        <w:rPr>
          <w:sz w:val="20"/>
          <w:szCs w:val="20"/>
          <w:color w:val="auto"/>
        </w:rPr>
      </w:pPr>
      <w:r>
        <w:rPr>
          <w:rFonts w:ascii="Arial" w:cs="Arial" w:eastAsia="Arial" w:hAnsi="Arial"/>
          <w:sz w:val="15"/>
          <w:szCs w:val="15"/>
          <w:color w:val="auto"/>
        </w:rPr>
        <w:t>otherwise expressly provided in an Agreement, payment shall be made no later than the end of the “applicable 2-½ month period” described in Treas. Reg. § 1.409A-1(b)(4)(i)(A).</w:t>
      </w:r>
    </w:p>
    <w:p>
      <w:pPr>
        <w:spacing w:after="0" w:line="151" w:lineRule="exact"/>
        <w:rPr>
          <w:sz w:val="20"/>
          <w:szCs w:val="20"/>
          <w:color w:val="auto"/>
        </w:rPr>
      </w:pPr>
    </w:p>
    <w:p>
      <w:pPr>
        <w:jc w:val="both"/>
        <w:ind w:left="4" w:right="79" w:firstLine="540"/>
        <w:spacing w:after="0" w:line="245"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i w:val="1"/>
          <w:iCs w:val="1"/>
          <w:color w:val="auto"/>
        </w:rPr>
        <w:t>Individual Limitation</w:t>
      </w:r>
      <w:r>
        <w:rPr>
          <w:rFonts w:ascii="Arial" w:cs="Arial" w:eastAsia="Arial" w:hAnsi="Arial"/>
          <w:sz w:val="15"/>
          <w:szCs w:val="15"/>
          <w:color w:val="auto"/>
        </w:rPr>
        <w:t>. The maximum individual EIP Award permitted for a 12-month Performance Period, is $5,000,000. If the Performance Period is not twelve (12) months, the $ 5,000,000 limitation shall be adjusted on a pro-rata basis (downward if the Performance Period is less than 12 months and upward if the Performance Period is more than 12 months) to reflect the length of the Performance Period.</w:t>
      </w:r>
    </w:p>
    <w:p>
      <w:pPr>
        <w:spacing w:after="0" w:line="148" w:lineRule="exact"/>
        <w:rPr>
          <w:sz w:val="20"/>
          <w:szCs w:val="20"/>
          <w:color w:val="auto"/>
        </w:rPr>
      </w:pPr>
    </w:p>
    <w:p>
      <w:pPr>
        <w:jc w:val="center"/>
        <w:ind w:right="-144"/>
        <w:spacing w:after="0"/>
        <w:rPr>
          <w:sz w:val="20"/>
          <w:szCs w:val="20"/>
          <w:color w:val="auto"/>
        </w:rPr>
      </w:pPr>
      <w:r>
        <w:rPr>
          <w:rFonts w:ascii="Arial" w:cs="Arial" w:eastAsia="Arial" w:hAnsi="Arial"/>
          <w:sz w:val="15"/>
          <w:szCs w:val="15"/>
          <w:b w:val="1"/>
          <w:bCs w:val="1"/>
          <w:color w:val="auto"/>
        </w:rPr>
        <w:t>ARTICLE 12</w:t>
      </w:r>
    </w:p>
    <w:p>
      <w:pPr>
        <w:spacing w:after="0" w:line="14" w:lineRule="exact"/>
        <w:rPr>
          <w:sz w:val="20"/>
          <w:szCs w:val="20"/>
          <w:color w:val="auto"/>
        </w:rPr>
      </w:pPr>
    </w:p>
    <w:p>
      <w:pPr>
        <w:jc w:val="center"/>
        <w:ind w:right="-144"/>
        <w:spacing w:after="0"/>
        <w:rPr>
          <w:sz w:val="20"/>
          <w:szCs w:val="20"/>
          <w:color w:val="auto"/>
        </w:rPr>
      </w:pPr>
      <w:r>
        <w:rPr>
          <w:rFonts w:ascii="Arial" w:cs="Arial" w:eastAsia="Arial" w:hAnsi="Arial"/>
          <w:sz w:val="15"/>
          <w:szCs w:val="15"/>
          <w:b w:val="1"/>
          <w:bCs w:val="1"/>
          <w:color w:val="auto"/>
        </w:rPr>
        <w:t>ADDITIONAL TERMS AND PROVISIONS</w:t>
      </w:r>
    </w:p>
    <w:p>
      <w:pPr>
        <w:spacing w:after="0" w:line="239" w:lineRule="exact"/>
        <w:rPr>
          <w:sz w:val="20"/>
          <w:szCs w:val="20"/>
          <w:color w:val="auto"/>
        </w:rPr>
      </w:pPr>
    </w:p>
    <w:p>
      <w:pPr>
        <w:jc w:val="both"/>
        <w:ind w:left="4" w:right="79" w:firstLine="540"/>
        <w:spacing w:after="0" w:line="242"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i w:val="1"/>
          <w:iCs w:val="1"/>
          <w:color w:val="auto"/>
        </w:rPr>
        <w:t>Agreements</w:t>
      </w:r>
      <w:r>
        <w:rPr>
          <w:rFonts w:ascii="Arial" w:cs="Arial" w:eastAsia="Arial" w:hAnsi="Arial"/>
          <w:sz w:val="15"/>
          <w:szCs w:val="15"/>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Award so granted or modified and the terms and conditions thereof.</w:t>
      </w:r>
    </w:p>
    <w:p>
      <w:pPr>
        <w:spacing w:after="0" w:line="154" w:lineRule="exact"/>
        <w:rPr>
          <w:sz w:val="20"/>
          <w:szCs w:val="20"/>
          <w:color w:val="auto"/>
        </w:rPr>
      </w:pPr>
    </w:p>
    <w:p>
      <w:pPr>
        <w:jc w:val="both"/>
        <w:ind w:left="4" w:right="79" w:firstLine="540"/>
        <w:spacing w:after="0" w:line="237"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i w:val="1"/>
          <w:iCs w:val="1"/>
          <w:color w:val="auto"/>
        </w:rPr>
        <w:t>Acceleration of Vesting and Cancellation of Options and SARs</w:t>
      </w:r>
      <w:r>
        <w:rPr>
          <w:rFonts w:ascii="Arial" w:cs="Arial" w:eastAsia="Arial" w:hAnsi="Arial"/>
          <w:sz w:val="15"/>
          <w:szCs w:val="15"/>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 the avoidance of doubt, no payment shall be required with respect to any Option or SAR for which the exercise price exceeds the fair market value of the Stock at the time of the cancellation (</w:t>
      </w:r>
      <w:r>
        <w:rPr>
          <w:rFonts w:ascii="Arial" w:cs="Arial" w:eastAsia="Arial" w:hAnsi="Arial"/>
          <w:sz w:val="15"/>
          <w:szCs w:val="15"/>
          <w:i w:val="1"/>
          <w:iCs w:val="1"/>
          <w:color w:val="auto"/>
        </w:rPr>
        <w:t>i.e.</w:t>
      </w:r>
      <w:r>
        <w:rPr>
          <w:rFonts w:ascii="Arial" w:cs="Arial" w:eastAsia="Arial" w:hAnsi="Arial"/>
          <w:sz w:val="15"/>
          <w:szCs w:val="15"/>
          <w:color w:val="auto"/>
        </w:rPr>
        <w:t>, an “under water” option or SAR).</w:t>
      </w:r>
    </w:p>
    <w:p>
      <w:pPr>
        <w:spacing w:after="0" w:line="157" w:lineRule="exact"/>
        <w:rPr>
          <w:sz w:val="20"/>
          <w:szCs w:val="20"/>
          <w:color w:val="auto"/>
        </w:rPr>
      </w:pPr>
    </w:p>
    <w:p>
      <w:pPr>
        <w:jc w:val="both"/>
        <w:ind w:left="4" w:right="79" w:firstLine="540"/>
        <w:spacing w:after="0" w:line="239" w:lineRule="auto"/>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i w:val="1"/>
          <w:iCs w:val="1"/>
          <w:color w:val="auto"/>
        </w:rPr>
        <w:t>Tax Withholding</w:t>
      </w:r>
      <w:r>
        <w:rPr>
          <w:rFonts w:ascii="Arial" w:cs="Arial" w:eastAsia="Arial" w:hAnsi="Arial"/>
          <w:sz w:val="15"/>
          <w:szCs w:val="15"/>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w:t>
      </w:r>
    </w:p>
    <w:p>
      <w:pPr>
        <w:spacing w:after="0" w:line="1" w:lineRule="exact"/>
        <w:rPr>
          <w:sz w:val="20"/>
          <w:szCs w:val="20"/>
          <w:color w:val="auto"/>
        </w:rPr>
      </w:pPr>
    </w:p>
    <w:p>
      <w:pPr>
        <w:jc w:val="both"/>
        <w:ind w:left="4" w:right="79" w:hanging="4"/>
        <w:spacing w:after="0" w:line="236" w:lineRule="auto"/>
        <w:tabs>
          <w:tab w:leader="none" w:pos="264"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44"/>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497840</wp:posOffset>
            </wp:positionV>
            <wp:extent cx="631253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63"/>
          </w:cols>
          <w:pgMar w:left="1296" w:top="476"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5"/>
          <w:szCs w:val="15"/>
          <w:color w:val="auto"/>
        </w:rPr>
        <w:t>shall not be responsible for any interest or penalty that a Participant incurs by failing to make timely payments of tax.</w:t>
      </w:r>
    </w:p>
    <w:p>
      <w:pPr>
        <w:spacing w:after="0" w:line="160" w:lineRule="exact"/>
        <w:rPr>
          <w:sz w:val="20"/>
          <w:szCs w:val="20"/>
          <w:color w:val="auto"/>
        </w:rPr>
      </w:pPr>
    </w:p>
    <w:p>
      <w:pPr>
        <w:jc w:val="both"/>
        <w:ind w:left="60" w:right="540" w:firstLine="540"/>
        <w:spacing w:after="0" w:line="245"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i w:val="1"/>
          <w:iCs w:val="1"/>
          <w:color w:val="auto"/>
        </w:rPr>
        <w:t>No Right to Employment; No Right to Award</w:t>
      </w:r>
      <w:r>
        <w:rPr>
          <w:rFonts w:ascii="Arial" w:cs="Arial" w:eastAsia="Arial" w:hAnsi="Arial"/>
          <w:sz w:val="15"/>
          <w:szCs w:val="15"/>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 No provision of the Plan shall be construed to give any Eligible Employee or Non-Employee Director a right to receive an Award.</w:t>
      </w:r>
    </w:p>
    <w:p>
      <w:pPr>
        <w:spacing w:after="0" w:line="150" w:lineRule="exact"/>
        <w:rPr>
          <w:sz w:val="20"/>
          <w:szCs w:val="20"/>
          <w:color w:val="auto"/>
        </w:rPr>
      </w:pPr>
    </w:p>
    <w:p>
      <w:pPr>
        <w:jc w:val="both"/>
        <w:ind w:left="60" w:right="540" w:firstLine="540"/>
        <w:spacing w:after="0" w:line="245"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i w:val="1"/>
          <w:iCs w:val="1"/>
          <w:color w:val="auto"/>
        </w:rPr>
        <w:t>Shareholder Rights</w:t>
      </w:r>
      <w:r>
        <w:rPr>
          <w:rFonts w:ascii="Arial" w:cs="Arial" w:eastAsia="Arial" w:hAnsi="Arial"/>
          <w:sz w:val="15"/>
          <w:szCs w:val="15"/>
          <w:color w:val="auto"/>
        </w:rPr>
        <w:t>.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Subsequent to such recordation in the books and records of Avnet, the recipient of shares of Stock shall have the full rights of a holder of such Stock.</w:t>
      </w:r>
    </w:p>
    <w:p>
      <w:pPr>
        <w:spacing w:after="0" w:line="150" w:lineRule="exact"/>
        <w:rPr>
          <w:sz w:val="20"/>
          <w:szCs w:val="20"/>
          <w:color w:val="auto"/>
        </w:rPr>
      </w:pPr>
    </w:p>
    <w:p>
      <w:pPr>
        <w:jc w:val="both"/>
        <w:ind w:left="60" w:right="540" w:firstLine="540"/>
        <w:spacing w:after="0" w:line="250"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i w:val="1"/>
          <w:iCs w:val="1"/>
          <w:color w:val="auto"/>
        </w:rPr>
        <w:t>Registration of Shares</w:t>
      </w:r>
      <w:r>
        <w:rPr>
          <w:rFonts w:ascii="Arial" w:cs="Arial" w:eastAsia="Arial" w:hAnsi="Arial"/>
          <w:sz w:val="15"/>
          <w:szCs w:val="15"/>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w:t>
      </w:r>
    </w:p>
    <w:p>
      <w:pPr>
        <w:spacing w:after="0" w:line="163" w:lineRule="exact"/>
        <w:rPr>
          <w:sz w:val="20"/>
          <w:szCs w:val="20"/>
          <w:color w:val="auto"/>
        </w:rPr>
      </w:pPr>
    </w:p>
    <w:p>
      <w:pPr>
        <w:jc w:val="both"/>
        <w:ind w:left="600" w:right="540" w:firstLine="536"/>
        <w:spacing w:after="0" w:line="237" w:lineRule="auto"/>
        <w:tabs>
          <w:tab w:leader="none" w:pos="1376" w:val="left"/>
        </w:tabs>
        <w:numPr>
          <w:ilvl w:val="0"/>
          <w:numId w:val="27"/>
        </w:numPr>
        <w:rPr>
          <w:rFonts w:ascii="Arial" w:cs="Arial" w:eastAsia="Arial" w:hAnsi="Arial"/>
          <w:sz w:val="15"/>
          <w:szCs w:val="15"/>
          <w:color w:val="auto"/>
        </w:rPr>
      </w:pPr>
      <w:r>
        <w:rPr>
          <w:rFonts w:ascii="Arial" w:cs="Arial" w:eastAsia="Arial" w:hAnsi="Arial"/>
          <w:sz w:val="15"/>
          <w:szCs w:val="15"/>
          <w:color w:val="auto"/>
        </w:rPr>
        <w:t>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 (C) there is available at the time of such grant, vesting event, or exercise (as applicable) a prospectus containing certified financial statements and other information meeting the requirements of Section 10(a)(3) of the Securities Act;</w:t>
      </w:r>
    </w:p>
    <w:p>
      <w:pPr>
        <w:spacing w:after="0" w:line="170" w:lineRule="exact"/>
        <w:rPr>
          <w:rFonts w:ascii="Arial" w:cs="Arial" w:eastAsia="Arial" w:hAnsi="Arial"/>
          <w:sz w:val="15"/>
          <w:szCs w:val="15"/>
          <w:color w:val="auto"/>
        </w:rPr>
      </w:pPr>
    </w:p>
    <w:p>
      <w:pPr>
        <w:ind w:left="600" w:right="540" w:firstLine="536"/>
        <w:spacing w:after="0" w:line="244" w:lineRule="auto"/>
        <w:tabs>
          <w:tab w:leader="none" w:pos="1365"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such shares are (or upon official notice of issuance will be) listed on each national securities exchange on which the class of Stock is then listed;</w:t>
      </w:r>
    </w:p>
    <w:p>
      <w:pPr>
        <w:spacing w:after="0" w:line="166" w:lineRule="exact"/>
        <w:rPr>
          <w:rFonts w:ascii="Arial" w:cs="Arial" w:eastAsia="Arial" w:hAnsi="Arial"/>
          <w:sz w:val="15"/>
          <w:szCs w:val="15"/>
          <w:color w:val="auto"/>
        </w:rPr>
      </w:pPr>
    </w:p>
    <w:p>
      <w:pPr>
        <w:jc w:val="both"/>
        <w:ind w:left="600" w:right="540" w:firstLine="536"/>
        <w:spacing w:after="0" w:line="238" w:lineRule="auto"/>
        <w:tabs>
          <w:tab w:leader="none" w:pos="1356"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w:t>
      </w:r>
    </w:p>
    <w:p>
      <w:pPr>
        <w:spacing w:after="0" w:line="170" w:lineRule="exact"/>
        <w:rPr>
          <w:rFonts w:ascii="Arial" w:cs="Arial" w:eastAsia="Arial" w:hAnsi="Arial"/>
          <w:sz w:val="15"/>
          <w:szCs w:val="15"/>
          <w:color w:val="auto"/>
        </w:rPr>
      </w:pPr>
    </w:p>
    <w:p>
      <w:pPr>
        <w:ind w:left="600" w:right="560" w:firstLine="536"/>
        <w:spacing w:after="0" w:line="244" w:lineRule="auto"/>
        <w:tabs>
          <w:tab w:leader="none" w:pos="1376"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the Committee so requires, Avnet has received an opinion from its counsel with respect to compliance with the matters set forth in subsections (a), (b), and/or (c) of this Section 12.6.</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155" w:lineRule="exact"/>
        <w:rPr>
          <w:sz w:val="20"/>
          <w:szCs w:val="20"/>
          <w:color w:val="auto"/>
        </w:rPr>
      </w:pPr>
    </w:p>
    <w:p>
      <w:pPr>
        <w:jc w:val="both"/>
        <w:ind w:left="60" w:right="540" w:firstLine="540"/>
        <w:spacing w:after="0" w:line="250"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i w:val="1"/>
          <w:iCs w:val="1"/>
          <w:color w:val="auto"/>
        </w:rPr>
        <w:t>Document Requirements</w:t>
      </w:r>
      <w:r>
        <w:rPr>
          <w:rFonts w:ascii="Arial" w:cs="Arial" w:eastAsia="Arial" w:hAnsi="Arial"/>
          <w:sz w:val="15"/>
          <w:szCs w:val="15"/>
          <w:color w:val="auto"/>
        </w:rPr>
        <w:t>.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147" w:lineRule="exact"/>
        <w:rPr>
          <w:sz w:val="20"/>
          <w:szCs w:val="20"/>
          <w:color w:val="auto"/>
        </w:rPr>
      </w:pPr>
    </w:p>
    <w:p>
      <w:pPr>
        <w:jc w:val="both"/>
        <w:ind w:left="60" w:right="540" w:firstLine="540"/>
        <w:spacing w:after="0" w:line="241" w:lineRule="auto"/>
        <w:rPr>
          <w:sz w:val="20"/>
          <w:szCs w:val="20"/>
          <w:color w:val="auto"/>
        </w:rPr>
      </w:pPr>
      <w:r>
        <w:rPr>
          <w:rFonts w:ascii="Arial" w:cs="Arial" w:eastAsia="Arial" w:hAnsi="Arial"/>
          <w:sz w:val="15"/>
          <w:szCs w:val="15"/>
          <w:color w:val="auto"/>
        </w:rPr>
        <w:t xml:space="preserve">12.8. </w:t>
      </w:r>
      <w:r>
        <w:rPr>
          <w:rFonts w:ascii="Arial" w:cs="Arial" w:eastAsia="Arial" w:hAnsi="Arial"/>
          <w:sz w:val="15"/>
          <w:szCs w:val="15"/>
          <w:i w:val="1"/>
          <w:iCs w:val="1"/>
          <w:color w:val="auto"/>
        </w:rPr>
        <w:t>Deferrals</w:t>
      </w:r>
      <w:r>
        <w:rPr>
          <w:rFonts w:ascii="Arial" w:cs="Arial" w:eastAsia="Arial" w:hAnsi="Arial"/>
          <w:sz w:val="15"/>
          <w:szCs w:val="15"/>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497840</wp:posOffset>
            </wp:positionV>
            <wp:extent cx="631253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680"/>
          </w:cols>
          <w:pgMar w:left="1240" w:top="476" w:right="979" w:bottom="1440" w:gutter="0" w:footer="0" w:header="0"/>
        </w:sectPr>
      </w:pPr>
    </w:p>
    <w:bookmarkStart w:id="54" w:name="page55"/>
    <w:bookmarkEnd w:id="54"/>
    <w:p>
      <w:pPr>
        <w:jc w:val="both"/>
        <w:ind w:right="79" w:firstLine="540"/>
        <w:spacing w:after="0" w:line="250" w:lineRule="auto"/>
        <w:rPr>
          <w:sz w:val="20"/>
          <w:szCs w:val="20"/>
          <w:color w:val="auto"/>
        </w:rPr>
      </w:pPr>
      <w:r>
        <w:rPr>
          <w:rFonts w:ascii="Arial" w:cs="Arial" w:eastAsia="Arial" w:hAnsi="Arial"/>
          <w:sz w:val="15"/>
          <w:szCs w:val="15"/>
          <w:color w:val="auto"/>
        </w:rPr>
        <w:t xml:space="preserve">12.9. </w:t>
      </w:r>
      <w:r>
        <w:rPr>
          <w:rFonts w:ascii="Arial" w:cs="Arial" w:eastAsia="Arial" w:hAnsi="Arial"/>
          <w:sz w:val="15"/>
          <w:szCs w:val="15"/>
          <w:i w:val="1"/>
          <w:iCs w:val="1"/>
          <w:color w:val="auto"/>
        </w:rPr>
        <w:t>Recoupment/Clawback</w:t>
      </w:r>
      <w:r>
        <w:rPr>
          <w:rFonts w:ascii="Arial" w:cs="Arial" w:eastAsia="Arial" w:hAnsi="Arial"/>
          <w:sz w:val="15"/>
          <w:szCs w:val="15"/>
          <w:color w:val="auto"/>
        </w:rPr>
        <w:t>.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147"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12.10. </w:t>
      </w:r>
      <w:r>
        <w:rPr>
          <w:rFonts w:ascii="Arial" w:cs="Arial" w:eastAsia="Arial" w:hAnsi="Arial"/>
          <w:sz w:val="15"/>
          <w:szCs w:val="15"/>
          <w:i w:val="1"/>
          <w:iCs w:val="1"/>
          <w:color w:val="auto"/>
        </w:rPr>
        <w:t>Nontransferability</w:t>
      </w:r>
      <w:r>
        <w:rPr>
          <w:rFonts w:ascii="Arial" w:cs="Arial" w:eastAsia="Arial" w:hAnsi="Arial"/>
          <w:sz w:val="15"/>
          <w:szCs w:val="15"/>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166" w:lineRule="exact"/>
        <w:rPr>
          <w:sz w:val="20"/>
          <w:szCs w:val="20"/>
          <w:color w:val="auto"/>
        </w:rPr>
      </w:pPr>
    </w:p>
    <w:p>
      <w:pPr>
        <w:ind w:left="1300" w:hanging="224"/>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Award may be transferred by testamentary disposition or the laws of descent and distribution.</w:t>
      </w:r>
    </w:p>
    <w:p>
      <w:pPr>
        <w:spacing w:after="0" w:line="176" w:lineRule="exact"/>
        <w:rPr>
          <w:rFonts w:ascii="Arial" w:cs="Arial" w:eastAsia="Arial" w:hAnsi="Arial"/>
          <w:sz w:val="15"/>
          <w:szCs w:val="15"/>
          <w:color w:val="auto"/>
        </w:rPr>
      </w:pPr>
    </w:p>
    <w:p>
      <w:pPr>
        <w:jc w:val="both"/>
        <w:ind w:left="540" w:right="79" w:firstLine="536"/>
        <w:spacing w:after="0" w:line="235" w:lineRule="auto"/>
        <w:tabs>
          <w:tab w:leader="none" w:pos="13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177" w:lineRule="exact"/>
        <w:rPr>
          <w:rFonts w:ascii="Arial" w:cs="Arial" w:eastAsia="Arial" w:hAnsi="Arial"/>
          <w:sz w:val="15"/>
          <w:szCs w:val="15"/>
          <w:color w:val="auto"/>
        </w:rPr>
      </w:pPr>
    </w:p>
    <w:p>
      <w:pPr>
        <w:jc w:val="both"/>
        <w:ind w:left="540" w:right="79" w:firstLine="536"/>
        <w:spacing w:after="0" w:line="239" w:lineRule="auto"/>
        <w:tabs>
          <w:tab w:leader="none" w:pos="13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170" w:lineRule="exact"/>
        <w:rPr>
          <w:rFonts w:ascii="Arial" w:cs="Arial" w:eastAsia="Arial" w:hAnsi="Arial"/>
          <w:sz w:val="15"/>
          <w:szCs w:val="15"/>
          <w:color w:val="auto"/>
        </w:rPr>
      </w:pPr>
    </w:p>
    <w:p>
      <w:pPr>
        <w:ind w:left="540" w:right="79" w:firstLine="536"/>
        <w:spacing w:after="0" w:line="244" w:lineRule="auto"/>
        <w:tabs>
          <w:tab w:leader="none" w:pos="1305"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Award may be forfeited or transferred to the extent required to satisfy a tax levy or judgment under the Mandatory Victims Restitution Act or similar federal or state law.</w:t>
      </w:r>
    </w:p>
    <w:p>
      <w:pPr>
        <w:spacing w:after="0" w:line="151" w:lineRule="exact"/>
        <w:rPr>
          <w:sz w:val="20"/>
          <w:szCs w:val="20"/>
          <w:color w:val="auto"/>
        </w:rPr>
      </w:pPr>
    </w:p>
    <w:p>
      <w:pPr>
        <w:jc w:val="both"/>
        <w:ind w:right="79" w:firstLine="540"/>
        <w:spacing w:after="0" w:line="241" w:lineRule="auto"/>
        <w:rPr>
          <w:sz w:val="20"/>
          <w:szCs w:val="20"/>
          <w:color w:val="auto"/>
        </w:rPr>
      </w:pPr>
      <w:r>
        <w:rPr>
          <w:rFonts w:ascii="Arial" w:cs="Arial" w:eastAsia="Arial" w:hAnsi="Arial"/>
          <w:sz w:val="15"/>
          <w:szCs w:val="15"/>
          <w:color w:val="auto"/>
        </w:rPr>
        <w:t xml:space="preserve">12.11. </w:t>
      </w:r>
      <w:r>
        <w:rPr>
          <w:rFonts w:ascii="Arial" w:cs="Arial" w:eastAsia="Arial" w:hAnsi="Arial"/>
          <w:sz w:val="15"/>
          <w:szCs w:val="15"/>
          <w:i w:val="1"/>
          <w:iCs w:val="1"/>
          <w:color w:val="auto"/>
        </w:rPr>
        <w:t>Applicable Law and Severability</w:t>
      </w:r>
      <w:r>
        <w:rPr>
          <w:rFonts w:ascii="Arial" w:cs="Arial" w:eastAsia="Arial" w:hAnsi="Arial"/>
          <w:sz w:val="15"/>
          <w:szCs w:val="15"/>
          <w:color w:val="auto"/>
        </w:rPr>
        <w:t>.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153"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i w:val="1"/>
          <w:iCs w:val="1"/>
          <w:color w:val="auto"/>
        </w:rPr>
        <w:t>Special Incentive Compensation</w:t>
      </w:r>
      <w:r>
        <w:rPr>
          <w:rFonts w:ascii="Arial" w:cs="Arial" w:eastAsia="Arial" w:hAnsi="Arial"/>
          <w:sz w:val="15"/>
          <w:szCs w:val="15"/>
          <w:color w:val="auto"/>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60" w:right="1440" w:bottom="1440" w:gutter="0" w:footer="0" w:header="0"/>
        </w:sectPr>
      </w:pPr>
    </w:p>
    <w:bookmarkStart w:id="55" w:name="page56"/>
    <w:bookmarkEnd w:id="55"/>
    <w:p>
      <w:pPr>
        <w:jc w:val="both"/>
        <w:ind w:left="4" w:right="79" w:firstLine="540"/>
        <w:spacing w:after="0" w:line="241" w:lineRule="auto"/>
        <w:rPr>
          <w:sz w:val="20"/>
          <w:szCs w:val="20"/>
          <w:color w:val="auto"/>
        </w:rPr>
      </w:pPr>
      <w:r>
        <w:rPr>
          <w:rFonts w:ascii="Arial" w:cs="Arial" w:eastAsia="Arial" w:hAnsi="Arial"/>
          <w:sz w:val="15"/>
          <w:szCs w:val="15"/>
          <w:color w:val="auto"/>
        </w:rPr>
        <w:t xml:space="preserve">12.13. </w:t>
      </w:r>
      <w:r>
        <w:rPr>
          <w:rFonts w:ascii="Arial" w:cs="Arial" w:eastAsia="Arial" w:hAnsi="Arial"/>
          <w:sz w:val="15"/>
          <w:szCs w:val="15"/>
          <w:i w:val="1"/>
          <w:iCs w:val="1"/>
          <w:color w:val="auto"/>
        </w:rPr>
        <w:t>Section 16(b) of the Exchange Act</w:t>
      </w:r>
      <w:r>
        <w:rPr>
          <w:rFonts w:ascii="Arial" w:cs="Arial" w:eastAsia="Arial" w:hAnsi="Arial"/>
          <w:sz w:val="15"/>
          <w:szCs w:val="15"/>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153" w:lineRule="exact"/>
        <w:rPr>
          <w:sz w:val="20"/>
          <w:szCs w:val="20"/>
          <w:color w:val="auto"/>
        </w:rPr>
      </w:pPr>
    </w:p>
    <w:p>
      <w:pPr>
        <w:jc w:val="both"/>
        <w:ind w:left="4" w:right="79" w:firstLine="540"/>
        <w:spacing w:after="0" w:line="242" w:lineRule="auto"/>
        <w:rPr>
          <w:sz w:val="20"/>
          <w:szCs w:val="20"/>
          <w:color w:val="auto"/>
        </w:rPr>
      </w:pPr>
      <w:r>
        <w:rPr>
          <w:rFonts w:ascii="Arial" w:cs="Arial" w:eastAsia="Arial" w:hAnsi="Arial"/>
          <w:sz w:val="15"/>
          <w:szCs w:val="15"/>
          <w:color w:val="auto"/>
        </w:rPr>
        <w:t xml:space="preserve">12.14. </w:t>
      </w:r>
      <w:r>
        <w:rPr>
          <w:rFonts w:ascii="Arial" w:cs="Arial" w:eastAsia="Arial" w:hAnsi="Arial"/>
          <w:sz w:val="15"/>
          <w:szCs w:val="15"/>
          <w:i w:val="1"/>
          <w:iCs w:val="1"/>
          <w:color w:val="auto"/>
        </w:rPr>
        <w:t>Section 409A of the Code</w:t>
      </w:r>
      <w:r>
        <w:rPr>
          <w:rFonts w:ascii="Arial" w:cs="Arial" w:eastAsia="Arial" w:hAnsi="Arial"/>
          <w:sz w:val="15"/>
          <w:szCs w:val="15"/>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1.409A-1(b)(5);</w:t>
      </w:r>
    </w:p>
    <w:p>
      <w:pPr>
        <w:jc w:val="both"/>
        <w:ind w:left="4" w:right="79" w:hanging="4"/>
        <w:spacing w:after="0" w:line="237" w:lineRule="auto"/>
        <w:tabs>
          <w:tab w:leader="none" w:pos="24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 Section 409A of the Code by reason of the “short-term deferral rule” set forth in Treas. Reg. § 1.409A-1(b)(4).</w:t>
      </w:r>
    </w:p>
    <w:p>
      <w:pPr>
        <w:spacing w:after="0" w:line="156" w:lineRule="exact"/>
        <w:rPr>
          <w:sz w:val="20"/>
          <w:szCs w:val="20"/>
          <w:color w:val="auto"/>
        </w:rPr>
      </w:pPr>
    </w:p>
    <w:p>
      <w:pPr>
        <w:jc w:val="both"/>
        <w:ind w:left="4" w:right="99" w:firstLine="540"/>
        <w:spacing w:after="0" w:line="266" w:lineRule="auto"/>
        <w:rPr>
          <w:sz w:val="20"/>
          <w:szCs w:val="20"/>
          <w:color w:val="auto"/>
        </w:rPr>
      </w:pPr>
      <w:r>
        <w:rPr>
          <w:rFonts w:ascii="Arial" w:cs="Arial" w:eastAsia="Arial" w:hAnsi="Arial"/>
          <w:sz w:val="15"/>
          <w:szCs w:val="15"/>
          <w:color w:val="auto"/>
        </w:rPr>
        <w:t xml:space="preserve">12.15. </w:t>
      </w:r>
      <w:r>
        <w:rPr>
          <w:rFonts w:ascii="Arial" w:cs="Arial" w:eastAsia="Arial" w:hAnsi="Arial"/>
          <w:sz w:val="15"/>
          <w:szCs w:val="15"/>
          <w:i w:val="1"/>
          <w:iCs w:val="1"/>
          <w:color w:val="auto"/>
        </w:rPr>
        <w:t>Application of Proceeds.</w:t>
      </w:r>
      <w:r>
        <w:rPr>
          <w:rFonts w:ascii="Arial" w:cs="Arial" w:eastAsia="Arial" w:hAnsi="Arial"/>
          <w:sz w:val="15"/>
          <w:szCs w:val="15"/>
          <w:color w:val="auto"/>
        </w:rPr>
        <w:t xml:space="preserve"> The proceeds received by the Company from the sale of Stock under the Plan shall be used for general corporate purposes.</w:t>
      </w:r>
    </w:p>
    <w:p>
      <w:pPr>
        <w:spacing w:after="0" w:line="135" w:lineRule="exact"/>
        <w:rPr>
          <w:sz w:val="20"/>
          <w:szCs w:val="20"/>
          <w:color w:val="auto"/>
        </w:rPr>
      </w:pPr>
    </w:p>
    <w:p>
      <w:pPr>
        <w:jc w:val="both"/>
        <w:ind w:left="4" w:right="79" w:firstLine="540"/>
        <w:spacing w:after="0"/>
        <w:rPr>
          <w:sz w:val="20"/>
          <w:szCs w:val="20"/>
          <w:color w:val="auto"/>
        </w:rPr>
      </w:pPr>
      <w:r>
        <w:rPr>
          <w:rFonts w:ascii="Arial" w:cs="Arial" w:eastAsia="Arial" w:hAnsi="Arial"/>
          <w:sz w:val="15"/>
          <w:szCs w:val="15"/>
          <w:color w:val="auto"/>
        </w:rPr>
        <w:t xml:space="preserve">12.16. </w:t>
      </w:r>
      <w:r>
        <w:rPr>
          <w:rFonts w:ascii="Arial" w:cs="Arial" w:eastAsia="Arial" w:hAnsi="Arial"/>
          <w:sz w:val="15"/>
          <w:szCs w:val="15"/>
          <w:i w:val="1"/>
          <w:iCs w:val="1"/>
          <w:color w:val="auto"/>
        </w:rPr>
        <w:t>Rules of Construction.</w:t>
      </w:r>
      <w:r>
        <w:rPr>
          <w:rFonts w:ascii="Arial" w:cs="Arial" w:eastAsia="Arial" w:hAnsi="Arial"/>
          <w:sz w:val="15"/>
          <w:szCs w:val="15"/>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153" w:lineRule="exact"/>
        <w:rPr>
          <w:sz w:val="20"/>
          <w:szCs w:val="20"/>
          <w:color w:val="auto"/>
        </w:rPr>
      </w:pPr>
    </w:p>
    <w:p>
      <w:pPr>
        <w:jc w:val="both"/>
        <w:ind w:left="4" w:right="79" w:firstLine="540"/>
        <w:spacing w:after="0" w:line="266" w:lineRule="auto"/>
        <w:rPr>
          <w:sz w:val="20"/>
          <w:szCs w:val="20"/>
          <w:color w:val="auto"/>
        </w:rPr>
      </w:pPr>
      <w:r>
        <w:rPr>
          <w:rFonts w:ascii="Arial" w:cs="Arial" w:eastAsia="Arial" w:hAnsi="Arial"/>
          <w:sz w:val="15"/>
          <w:szCs w:val="15"/>
          <w:color w:val="auto"/>
        </w:rPr>
        <w:t xml:space="preserve">12.17. </w:t>
      </w:r>
      <w:r>
        <w:rPr>
          <w:rFonts w:ascii="Arial" w:cs="Arial" w:eastAsia="Arial" w:hAnsi="Arial"/>
          <w:sz w:val="15"/>
          <w:szCs w:val="15"/>
          <w:i w:val="1"/>
          <w:iCs w:val="1"/>
          <w:color w:val="auto"/>
        </w:rPr>
        <w:t>Headings and Captions.</w:t>
      </w:r>
      <w:r>
        <w:rPr>
          <w:rFonts w:ascii="Arial" w:cs="Arial" w:eastAsia="Arial" w:hAnsi="Arial"/>
          <w:sz w:val="15"/>
          <w:szCs w:val="15"/>
          <w:color w:val="auto"/>
        </w:rPr>
        <w:t xml:space="preserve"> The headings and captions in this Plan document are provided for reference and convenience only, shall not be considered part of the Plan, and shall not be employed in the construction of the Plan.</w:t>
      </w:r>
    </w:p>
    <w:p>
      <w:pPr>
        <w:spacing w:after="0" w:line="135" w:lineRule="exact"/>
        <w:rPr>
          <w:sz w:val="20"/>
          <w:szCs w:val="20"/>
          <w:color w:val="auto"/>
        </w:rPr>
      </w:pPr>
    </w:p>
    <w:p>
      <w:pPr>
        <w:ind w:left="544"/>
        <w:spacing w:after="0"/>
        <w:rPr>
          <w:sz w:val="20"/>
          <w:szCs w:val="20"/>
          <w:color w:val="auto"/>
        </w:rPr>
      </w:pPr>
      <w:r>
        <w:rPr>
          <w:rFonts w:ascii="Arial" w:cs="Arial" w:eastAsia="Arial" w:hAnsi="Arial"/>
          <w:sz w:val="15"/>
          <w:szCs w:val="15"/>
          <w:color w:val="auto"/>
        </w:rPr>
        <w:t xml:space="preserve">12.18. </w:t>
      </w:r>
      <w:r>
        <w:rPr>
          <w:rFonts w:ascii="Arial" w:cs="Arial" w:eastAsia="Arial" w:hAnsi="Arial"/>
          <w:sz w:val="15"/>
          <w:szCs w:val="15"/>
          <w:i w:val="1"/>
          <w:iCs w:val="1"/>
          <w:color w:val="auto"/>
        </w:rPr>
        <w:t>Effective Date.</w:t>
      </w:r>
      <w:r>
        <w:rPr>
          <w:rFonts w:ascii="Arial" w:cs="Arial" w:eastAsia="Arial" w:hAnsi="Arial"/>
          <w:sz w:val="15"/>
          <w:szCs w:val="15"/>
          <w:color w:val="auto"/>
        </w:rPr>
        <w:t xml:space="preserve"> The Plan shall become effective on the date the Plan is approved by Avnet’s shareholders.</w:t>
      </w:r>
    </w:p>
    <w:p>
      <w:pPr>
        <w:spacing w:after="0" w:line="174" w:lineRule="exact"/>
        <w:rPr>
          <w:sz w:val="20"/>
          <w:szCs w:val="20"/>
          <w:color w:val="auto"/>
        </w:rPr>
      </w:pPr>
    </w:p>
    <w:p>
      <w:pPr>
        <w:jc w:val="center"/>
        <w:ind w:right="-144"/>
        <w:spacing w:after="0"/>
        <w:rPr>
          <w:sz w:val="20"/>
          <w:szCs w:val="20"/>
          <w:color w:val="auto"/>
        </w:rPr>
      </w:pPr>
      <w:r>
        <w:rPr>
          <w:rFonts w:ascii="Arial" w:cs="Arial" w:eastAsia="Arial" w:hAnsi="Arial"/>
          <w:sz w:val="15"/>
          <w:szCs w:val="15"/>
          <w:b w:val="1"/>
          <w:bCs w:val="1"/>
          <w:color w:val="auto"/>
        </w:rPr>
        <w:t>ARTICLE 13</w:t>
      </w:r>
    </w:p>
    <w:p>
      <w:pPr>
        <w:spacing w:after="0" w:line="14" w:lineRule="exact"/>
        <w:rPr>
          <w:sz w:val="20"/>
          <w:szCs w:val="20"/>
          <w:color w:val="auto"/>
        </w:rPr>
      </w:pPr>
    </w:p>
    <w:p>
      <w:pPr>
        <w:jc w:val="center"/>
        <w:ind w:right="-144"/>
        <w:spacing w:after="0"/>
        <w:rPr>
          <w:sz w:val="20"/>
          <w:szCs w:val="20"/>
          <w:color w:val="auto"/>
        </w:rPr>
      </w:pPr>
      <w:r>
        <w:rPr>
          <w:rFonts w:ascii="Arial" w:cs="Arial" w:eastAsia="Arial" w:hAnsi="Arial"/>
          <w:sz w:val="15"/>
          <w:szCs w:val="15"/>
          <w:b w:val="1"/>
          <w:bCs w:val="1"/>
          <w:color w:val="auto"/>
        </w:rPr>
        <w:t>ADJUSTMENTS UPON CHANGES IN CAPITALIZATION</w:t>
      </w:r>
    </w:p>
    <w:p>
      <w:pPr>
        <w:spacing w:after="0" w:line="160" w:lineRule="exact"/>
        <w:rPr>
          <w:sz w:val="20"/>
          <w:szCs w:val="20"/>
          <w:color w:val="auto"/>
        </w:rPr>
      </w:pPr>
    </w:p>
    <w:p>
      <w:pPr>
        <w:jc w:val="both"/>
        <w:ind w:left="4" w:right="79" w:firstLine="540"/>
        <w:spacing w:after="0" w:line="237"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i w:val="1"/>
          <w:iCs w:val="1"/>
          <w:color w:val="auto"/>
        </w:rPr>
        <w:t>Share Adjustments</w:t>
      </w:r>
      <w:r>
        <w:rPr>
          <w:rFonts w:ascii="Arial" w:cs="Arial" w:eastAsia="Arial" w:hAnsi="Arial"/>
          <w:sz w:val="15"/>
          <w:szCs w:val="15"/>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44"/>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497840</wp:posOffset>
            </wp:positionV>
            <wp:extent cx="631253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63"/>
          </w:cols>
          <w:pgMar w:left="1296" w:top="460" w:right="1440" w:bottom="1440" w:gutter="0" w:footer="0" w:header="0"/>
        </w:sectPr>
      </w:pPr>
    </w:p>
    <w:bookmarkStart w:id="56" w:name="page57"/>
    <w:bookmarkEnd w:id="56"/>
    <w:p>
      <w:pPr>
        <w:jc w:val="both"/>
        <w:ind w:right="99"/>
        <w:spacing w:after="0" w:line="244" w:lineRule="auto"/>
        <w:rPr>
          <w:sz w:val="20"/>
          <w:szCs w:val="20"/>
          <w:color w:val="auto"/>
        </w:rPr>
      </w:pPr>
      <w:r>
        <w:rPr>
          <w:rFonts w:ascii="Arial" w:cs="Arial" w:eastAsia="Arial" w:hAnsi="Arial"/>
          <w:sz w:val="15"/>
          <w:szCs w:val="15"/>
          <w:color w:val="auto"/>
        </w:rPr>
        <w:t>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151" w:lineRule="exact"/>
        <w:rPr>
          <w:sz w:val="20"/>
          <w:szCs w:val="20"/>
          <w:color w:val="auto"/>
        </w:rPr>
      </w:pPr>
    </w:p>
    <w:p>
      <w:pPr>
        <w:jc w:val="both"/>
        <w:ind w:right="79" w:firstLine="540"/>
        <w:spacing w:after="0" w:line="245"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i w:val="1"/>
          <w:iCs w:val="1"/>
          <w:color w:val="auto"/>
        </w:rPr>
        <w:t>Exercise Price Adjustments</w:t>
      </w:r>
      <w:r>
        <w:rPr>
          <w:rFonts w:ascii="Arial" w:cs="Arial" w:eastAsia="Arial" w:hAnsi="Arial"/>
          <w:sz w:val="15"/>
          <w:szCs w:val="15"/>
          <w:color w:val="auto"/>
        </w:rPr>
        <w:t>. If the Stock is split, divided or otherwise reclassified or exchanged, or if any dividend payable in shares of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150" w:lineRule="exact"/>
        <w:rPr>
          <w:sz w:val="20"/>
          <w:szCs w:val="20"/>
          <w:color w:val="auto"/>
        </w:rPr>
      </w:pPr>
    </w:p>
    <w:p>
      <w:pPr>
        <w:jc w:val="both"/>
        <w:ind w:right="79" w:firstLine="540"/>
        <w:spacing w:after="0" w:line="242" w:lineRule="auto"/>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i w:val="1"/>
          <w:iCs w:val="1"/>
          <w:color w:val="auto"/>
        </w:rPr>
        <w:t>Fractional Shares</w:t>
      </w:r>
      <w:r>
        <w:rPr>
          <w:rFonts w:ascii="Arial" w:cs="Arial" w:eastAsia="Arial" w:hAnsi="Arial"/>
          <w:sz w:val="15"/>
          <w:szCs w:val="15"/>
          <w:color w:val="auto"/>
        </w:rPr>
        <w:t>.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52"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14</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AMENDMENT OR TERMINATION OF THE PLAN</w:t>
      </w:r>
    </w:p>
    <w:p>
      <w:pPr>
        <w:spacing w:after="0" w:line="176" w:lineRule="exact"/>
        <w:rPr>
          <w:sz w:val="20"/>
          <w:szCs w:val="20"/>
          <w:color w:val="auto"/>
        </w:rPr>
      </w:pPr>
    </w:p>
    <w:p>
      <w:pPr>
        <w:jc w:val="both"/>
        <w:ind w:right="79" w:firstLine="540"/>
        <w:spacing w:after="0" w:line="239" w:lineRule="auto"/>
        <w:rPr>
          <w:sz w:val="20"/>
          <w:szCs w:val="20"/>
          <w:color w:val="auto"/>
        </w:rPr>
      </w:pPr>
      <w:r>
        <w:rPr>
          <w:rFonts w:ascii="Arial" w:cs="Arial" w:eastAsia="Arial" w:hAnsi="Arial"/>
          <w:sz w:val="15"/>
          <w:szCs w:val="15"/>
          <w:color w:val="auto"/>
        </w:rPr>
        <w:t>14.1. The Plan shall automatically terminate on November 17, 2031,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155" w:lineRule="exact"/>
        <w:rPr>
          <w:sz w:val="20"/>
          <w:szCs w:val="20"/>
          <w:color w:val="auto"/>
        </w:rPr>
      </w:pPr>
    </w:p>
    <w:p>
      <w:pPr>
        <w:jc w:val="both"/>
        <w:ind w:right="99" w:firstLine="540"/>
        <w:spacing w:after="0" w:line="266"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i w:val="1"/>
          <w:iCs w:val="1"/>
          <w:color w:val="auto"/>
        </w:rPr>
        <w:t>Reservation of Rights</w:t>
      </w:r>
      <w:r>
        <w:rPr>
          <w:rFonts w:ascii="Arial" w:cs="Arial" w:eastAsia="Arial" w:hAnsi="Arial"/>
          <w:sz w:val="15"/>
          <w:szCs w:val="15"/>
          <w:color w:val="auto"/>
        </w:rPr>
        <w:t>. The Board of Directors may amend or terminate the Plan and/or any Award thereunder at any time as the Board of Directors may deem advisable and in the best interests of Avnet; provided, however, that--</w:t>
      </w:r>
    </w:p>
    <w:p>
      <w:pPr>
        <w:spacing w:after="0" w:line="151" w:lineRule="exact"/>
        <w:rPr>
          <w:sz w:val="20"/>
          <w:szCs w:val="20"/>
          <w:color w:val="auto"/>
        </w:rPr>
      </w:pPr>
    </w:p>
    <w:p>
      <w:pPr>
        <w:jc w:val="both"/>
        <w:ind w:left="540" w:right="79" w:firstLine="536"/>
        <w:spacing w:after="0" w:line="237" w:lineRule="auto"/>
        <w:tabs>
          <w:tab w:leader="none" w:pos="13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spacing w:after="0" w:line="171" w:lineRule="exact"/>
        <w:rPr>
          <w:rFonts w:ascii="Arial" w:cs="Arial" w:eastAsia="Arial" w:hAnsi="Arial"/>
          <w:sz w:val="15"/>
          <w:szCs w:val="15"/>
          <w:color w:val="auto"/>
        </w:rPr>
      </w:pPr>
    </w:p>
    <w:p>
      <w:pPr>
        <w:jc w:val="both"/>
        <w:ind w:left="540" w:right="79" w:firstLine="536"/>
        <w:spacing w:after="0" w:line="236" w:lineRule="auto"/>
        <w:tabs>
          <w:tab w:leader="none" w:pos="1305"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affirmative vote of a majority of the votes cast at a meeting of the shareholders of Avnet duly called and held for that purpose, shall be required for any change that (i) affects the composition or functioning of the Committee; (ii) materially increases the aggregate number of shares of Stock that may be delivered pursuant to the exercise of Awards; (iii) materially increases the aggregate number of shares of Stock with respect to which Options or other Awards may be granted to any Participant during any calendar year; (iv) materially decreases the minimum purchase price per share of Stock (in relation to the Fair Market Value thereof at the respective dates of grant) upon the exercise of Options; (v) extends the ten-year maximum period within which an Award is exercisable or the termination date of the Plan; or (vi) otherwise triggers a shareholder approval requirement under an applicable law or listing standard.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497840</wp:posOffset>
            </wp:positionV>
            <wp:extent cx="631253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2535" cy="21590"/>
                    </a:xfrm>
                    <a:prstGeom prst="rect">
                      <a:avLst/>
                    </a:prstGeom>
                    <a:noFill/>
                  </pic:spPr>
                </pic:pic>
              </a:graphicData>
            </a:graphic>
          </wp:anchor>
        </w:drawing>
      </w:r>
    </w:p>
    <w:p>
      <w:pPr>
        <w:sectPr>
          <w:pgSz w:w="11900" w:h="16838" w:orient="portrait"/>
          <w:cols w:equalWidth="0" w:num="1">
            <w:col w:w="9159"/>
          </w:cols>
          <w:pgMar w:left="1300" w:top="476" w:right="1440" w:bottom="1440" w:gutter="0" w:footer="0" w:header="0"/>
        </w:sectPr>
      </w:pPr>
    </w:p>
    <w:bookmarkStart w:id="57" w:name="page58"/>
    <w:bookmarkEnd w:id="57"/>
    <w:p>
      <w:pPr>
        <w:jc w:val="right"/>
        <w:ind w:right="199"/>
        <w:spacing w:after="0"/>
        <w:rPr>
          <w:sz w:val="20"/>
          <w:szCs w:val="20"/>
          <w:color w:val="auto"/>
        </w:rPr>
      </w:pPr>
      <w:r>
        <w:rPr>
          <w:rFonts w:ascii="Arial" w:cs="Arial" w:eastAsia="Arial" w:hAnsi="Arial"/>
          <w:sz w:val="18"/>
          <w:szCs w:val="18"/>
          <w:b w:val="1"/>
          <w:bCs w:val="1"/>
          <w:color w:val="auto"/>
        </w:rPr>
        <w:t>Exhibit 10.3(a)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LETTER FOR RESTRICTED STOCK UNITS AWARD</w:t>
      </w:r>
    </w:p>
    <w:p>
      <w:pPr>
        <w:jc w:val="center"/>
        <w:spacing w:after="0" w:line="234" w:lineRule="auto"/>
        <w:rPr>
          <w:sz w:val="20"/>
          <w:szCs w:val="20"/>
          <w:color w:val="auto"/>
        </w:rPr>
      </w:pPr>
      <w:r>
        <w:rPr>
          <w:rFonts w:ascii="Arial" w:cs="Arial" w:eastAsia="Arial" w:hAnsi="Arial"/>
          <w:sz w:val="18"/>
          <w:szCs w:val="18"/>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212" w:lineRule="exact"/>
        <w:rPr>
          <w:sz w:val="20"/>
          <w:szCs w:val="20"/>
          <w:color w:val="auto"/>
        </w:rPr>
      </w:pPr>
    </w:p>
    <w:p>
      <w:pPr>
        <w:ind w:left="200" w:right="399"/>
        <w:spacing w:after="0" w:line="278" w:lineRule="auto"/>
        <w:rPr>
          <w:sz w:val="20"/>
          <w:szCs w:val="20"/>
          <w:color w:val="auto"/>
        </w:rPr>
      </w:pPr>
      <w:r>
        <w:rPr>
          <w:rFonts w:ascii="Arial" w:cs="Arial" w:eastAsia="Arial" w:hAnsi="Arial"/>
          <w:sz w:val="17"/>
          <w:szCs w:val="17"/>
          <w:color w:val="auto"/>
        </w:rPr>
        <w:t>Avnet, Inc. hereby grants to the Grantee named below an award (“</w:t>
      </w:r>
      <w:r>
        <w:rPr>
          <w:rFonts w:ascii="Arial" w:cs="Arial" w:eastAsia="Arial" w:hAnsi="Arial"/>
          <w:sz w:val="17"/>
          <w:szCs w:val="17"/>
          <w:b w:val="1"/>
          <w:bCs w:val="1"/>
          <w:color w:val="auto"/>
        </w:rPr>
        <w:t>Award</w:t>
      </w:r>
      <w:r>
        <w:rPr>
          <w:rFonts w:ascii="Arial" w:cs="Arial" w:eastAsia="Arial" w:hAnsi="Arial"/>
          <w:sz w:val="17"/>
          <w:szCs w:val="17"/>
          <w:color w:val="auto"/>
        </w:rPr>
        <w:t>”) of restricted stock units specified below pursuant to the Avnet, Inc. 2021 Stock Compensation and Incentive Plan (“</w:t>
      </w:r>
      <w:r>
        <w:rPr>
          <w:rFonts w:ascii="Arial" w:cs="Arial" w:eastAsia="Arial" w:hAnsi="Arial"/>
          <w:sz w:val="17"/>
          <w:szCs w:val="17"/>
          <w:b w:val="1"/>
          <w:bCs w:val="1"/>
          <w:color w:val="auto"/>
        </w:rPr>
        <w:t>Plan</w:t>
      </w:r>
      <w:r>
        <w:rPr>
          <w:rFonts w:ascii="Arial" w:cs="Arial" w:eastAsia="Arial" w:hAnsi="Arial"/>
          <w:sz w:val="17"/>
          <w:szCs w:val="17"/>
          <w:color w:val="auto"/>
        </w:rPr>
        <w:t>”) and upon the terms and conditions set forth in this Award Letter, the Plan, and the Standard Terms and Conditions for Restricted Stock Unit Awards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 attached to this Award Letter:</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 Date: [__________]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Grantee: [__________] (“</w:t>
      </w: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Stock Units Granted: [ _____]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Vesting Schedule: As set forth in the Standard Terms and Conditions.</w:t>
      </w:r>
    </w:p>
    <w:p>
      <w:pPr>
        <w:spacing w:after="0" w:line="200" w:lineRule="exact"/>
        <w:rPr>
          <w:sz w:val="20"/>
          <w:szCs w:val="20"/>
          <w:color w:val="auto"/>
        </w:rPr>
      </w:pPr>
    </w:p>
    <w:p>
      <w:pPr>
        <w:spacing w:after="0" w:line="245" w:lineRule="exact"/>
        <w:rPr>
          <w:sz w:val="20"/>
          <w:szCs w:val="20"/>
          <w:color w:val="auto"/>
        </w:rPr>
      </w:pPr>
    </w:p>
    <w:p>
      <w:pPr>
        <w:ind w:left="200" w:right="419"/>
        <w:spacing w:after="0" w:line="324" w:lineRule="auto"/>
        <w:rPr>
          <w:sz w:val="20"/>
          <w:szCs w:val="20"/>
          <w:color w:val="auto"/>
        </w:rPr>
      </w:pPr>
      <w:r>
        <w:rPr>
          <w:rFonts w:ascii="Arial" w:cs="Arial" w:eastAsia="Arial" w:hAnsi="Arial"/>
          <w:sz w:val="16"/>
          <w:szCs w:val="16"/>
          <w:color w:val="auto"/>
        </w:rPr>
        <w:t>By accepting this Award, the Grantee acknowledges that he or she has received and read, and agrees that these RSUs shall be subject to the terms of the Plan, this Award Letter and the attached Standard Terms and Conditions.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Avnet, Inc.</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______________</w:t>
      </w:r>
    </w:p>
    <w:p>
      <w:pPr>
        <w:ind w:left="200"/>
        <w:spacing w:after="0"/>
        <w:rPr>
          <w:sz w:val="20"/>
          <w:szCs w:val="20"/>
          <w:color w:val="auto"/>
        </w:rPr>
      </w:pPr>
      <w:r>
        <w:rPr>
          <w:rFonts w:ascii="Arial" w:cs="Arial" w:eastAsia="Arial" w:hAnsi="Arial"/>
          <w:sz w:val="18"/>
          <w:szCs w:val="18"/>
          <w:color w:val="auto"/>
        </w:rPr>
        <w:t>Title: _____________</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w:t>
      </w:r>
    </w:p>
    <w:p>
      <w:pPr>
        <w:jc w:val="center"/>
        <w:spacing w:after="0" w:line="234" w:lineRule="auto"/>
        <w:rPr>
          <w:sz w:val="20"/>
          <w:szCs w:val="20"/>
          <w:color w:val="auto"/>
        </w:rPr>
      </w:pPr>
      <w:r>
        <w:rPr>
          <w:rFonts w:ascii="Arial" w:cs="Arial" w:eastAsia="Arial" w:hAnsi="Arial"/>
          <w:sz w:val="18"/>
          <w:szCs w:val="18"/>
          <w:b w:val="1"/>
          <w:bCs w:val="1"/>
          <w:color w:val="auto"/>
        </w:rPr>
        <w:t>FOR RESTRICTED STOCK UNIT AWARDS 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Standard Terms and Conditions for Restricted Stock Unit Awards (the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apply to the grant (“</w:t>
      </w:r>
      <w:r>
        <w:rPr>
          <w:rFonts w:ascii="Arial" w:cs="Arial" w:eastAsia="Arial" w:hAnsi="Arial"/>
          <w:sz w:val="17"/>
          <w:szCs w:val="17"/>
          <w:b w:val="1"/>
          <w:bCs w:val="1"/>
          <w:color w:val="auto"/>
        </w:rPr>
        <w:t>Award</w:t>
      </w:r>
      <w:r>
        <w:rPr>
          <w:rFonts w:ascii="Arial" w:cs="Arial" w:eastAsia="Arial" w:hAnsi="Arial"/>
          <w:sz w:val="17"/>
          <w:szCs w:val="17"/>
          <w:color w:val="auto"/>
        </w:rPr>
        <w:t>”) of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on the Grant Date by Avnet, Inc. (“</w:t>
      </w:r>
      <w:r>
        <w:rPr>
          <w:rFonts w:ascii="Arial" w:cs="Arial" w:eastAsia="Arial" w:hAnsi="Arial"/>
          <w:sz w:val="17"/>
          <w:szCs w:val="17"/>
          <w:b w:val="1"/>
          <w:bCs w:val="1"/>
          <w:color w:val="auto"/>
        </w:rPr>
        <w:t>Avnet</w:t>
      </w:r>
      <w:r>
        <w:rPr>
          <w:rFonts w:ascii="Arial" w:cs="Arial" w:eastAsia="Arial" w:hAnsi="Arial"/>
          <w:sz w:val="17"/>
          <w:szCs w:val="17"/>
          <w:color w:val="auto"/>
        </w:rPr>
        <w:t>” or the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to the Grantee pursuant to the Award Letter and Avnet, Inc. 2021 Stock Compensation and Incentive Plan</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These Standard Terms and Conditions apply to any restricted stock units granted under the Plan. For</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purposes of these Standard Terms and Conditions, the “Company” refers to Avnet and its subsidiaries.</w:t>
      </w:r>
    </w:p>
    <w:p>
      <w:pPr>
        <w:spacing w:after="0" w:line="178" w:lineRule="exact"/>
        <w:rPr>
          <w:sz w:val="20"/>
          <w:szCs w:val="20"/>
          <w:color w:val="auto"/>
        </w:rPr>
      </w:pPr>
    </w:p>
    <w:p>
      <w:pPr>
        <w:ind w:left="840" w:hanging="645"/>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RSUs</w:t>
      </w:r>
    </w:p>
    <w:p>
      <w:pPr>
        <w:spacing w:after="0" w:line="179" w:lineRule="exact"/>
        <w:rPr>
          <w:sz w:val="20"/>
          <w:szCs w:val="20"/>
          <w:color w:val="auto"/>
        </w:rPr>
      </w:pPr>
    </w:p>
    <w:p>
      <w:pPr>
        <w:ind w:left="800" w:right="319"/>
        <w:spacing w:after="0" w:line="261" w:lineRule="auto"/>
        <w:rPr>
          <w:sz w:val="20"/>
          <w:szCs w:val="20"/>
          <w:color w:val="auto"/>
        </w:rPr>
      </w:pPr>
      <w:r>
        <w:rPr>
          <w:rFonts w:ascii="Arial" w:cs="Arial" w:eastAsia="Arial" w:hAnsi="Arial"/>
          <w:sz w:val="18"/>
          <w:szCs w:val="18"/>
          <w:color w:val="auto"/>
        </w:rPr>
        <w:t>Provided that the Grantee has accepted these Standard Terms and Conditions on or before [Acceptance Date], the Company has granted to the Grantee an Award of RSUs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800" w:right="379"/>
        <w:spacing w:after="0" w:line="265" w:lineRule="auto"/>
        <w:rPr>
          <w:sz w:val="20"/>
          <w:szCs w:val="20"/>
          <w:color w:val="auto"/>
        </w:rPr>
      </w:pPr>
      <w:r>
        <w:rPr>
          <w:rFonts w:ascii="Arial" w:cs="Arial" w:eastAsia="Arial" w:hAnsi="Arial"/>
          <w:sz w:val="18"/>
          <w:szCs w:val="18"/>
          <w:color w:val="auto"/>
        </w:rPr>
        <w:t>covering the shares of Avnet’s common stock (“</w:t>
      </w:r>
      <w:r>
        <w:rPr>
          <w:rFonts w:ascii="Arial" w:cs="Arial" w:eastAsia="Arial" w:hAnsi="Arial"/>
          <w:sz w:val="18"/>
          <w:szCs w:val="18"/>
          <w:b w:val="1"/>
          <w:bCs w:val="1"/>
          <w:color w:val="auto"/>
        </w:rPr>
        <w:t>Stock</w:t>
      </w:r>
      <w:r>
        <w:rPr>
          <w:rFonts w:ascii="Arial" w:cs="Arial" w:eastAsia="Arial" w:hAnsi="Arial"/>
          <w:sz w:val="18"/>
          <w:szCs w:val="18"/>
          <w:color w:val="auto"/>
        </w:rPr>
        <w:t>”) as provided in the Award Letter, subject to the terms and conditions set forth in these Standard Terms and Conditions and the Plan.</w:t>
      </w:r>
    </w:p>
    <w:p>
      <w:pPr>
        <w:spacing w:after="0" w:line="127" w:lineRule="exact"/>
        <w:rPr>
          <w:sz w:val="20"/>
          <w:szCs w:val="20"/>
          <w:color w:val="auto"/>
        </w:rPr>
      </w:pPr>
    </w:p>
    <w:p>
      <w:pPr>
        <w:ind w:left="840" w:hanging="645"/>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PERFORMANCE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RSUs shall vest in accordance with the vesting schedule set forth in [________________] and are subject</w:t>
      </w:r>
    </w:p>
    <w:p>
      <w:pPr>
        <w:spacing w:after="0" w:line="34" w:lineRule="exact"/>
        <w:rPr>
          <w:sz w:val="20"/>
          <w:szCs w:val="20"/>
          <w:color w:val="auto"/>
        </w:rPr>
      </w:pPr>
    </w:p>
    <w:p>
      <w:pPr>
        <w:ind w:left="800" w:right="299"/>
        <w:spacing w:after="0" w:line="237" w:lineRule="auto"/>
        <w:rPr>
          <w:sz w:val="20"/>
          <w:szCs w:val="20"/>
          <w:color w:val="auto"/>
        </w:rPr>
      </w:pPr>
      <w:r>
        <w:rPr>
          <w:rFonts w:ascii="Arial" w:cs="Arial" w:eastAsia="Arial" w:hAnsi="Arial"/>
          <w:sz w:val="18"/>
          <w:szCs w:val="18"/>
          <w:color w:val="auto"/>
        </w:rPr>
        <w:t>to the provisions of these Standard Terms and Conditions and the Plan. Upon vesting, one share of Stock shall be issuable for each RSU that vests. Thereafter, the Company shall transfer such Stock to the Grantee during the Grantee’s tax year in which vesting occurs, as soon as practicable after the satisfaction of all required tax withholding obligations, securities law registration and other requirements, and applicable stock exchange listing.</w:t>
      </w:r>
    </w:p>
    <w:p>
      <w:pPr>
        <w:spacing w:after="0" w:line="154" w:lineRule="exact"/>
        <w:rPr>
          <w:sz w:val="20"/>
          <w:szCs w:val="20"/>
          <w:color w:val="auto"/>
        </w:rPr>
      </w:pPr>
    </w:p>
    <w:p>
      <w:pPr>
        <w:ind w:left="800" w:right="219"/>
        <w:spacing w:after="0" w:line="243" w:lineRule="auto"/>
        <w:rPr>
          <w:sz w:val="20"/>
          <w:szCs w:val="20"/>
          <w:color w:val="auto"/>
        </w:rPr>
      </w:pPr>
      <w:r>
        <w:rPr>
          <w:rFonts w:ascii="Arial" w:cs="Arial" w:eastAsia="Arial" w:hAnsi="Arial"/>
          <w:sz w:val="18"/>
          <w:szCs w:val="18"/>
          <w:color w:val="auto"/>
        </w:rPr>
        <w:t>The Grantee shall not acquire or have any rights as a shareholder of Avnet by virtue of the Award evidenced by the Award Letter or these Standard Terms and Conditions until the Stock issuable pursuant to this Award are actually issued and delivered to the Grantee in accordance with the terms of the Plan, the Award Letter and these Standard Terms and Conditions.</w:t>
      </w:r>
    </w:p>
    <w:p>
      <w:pPr>
        <w:spacing w:after="0" w:line="147" w:lineRule="exact"/>
        <w:rPr>
          <w:sz w:val="20"/>
          <w:szCs w:val="20"/>
          <w:color w:val="auto"/>
        </w:rPr>
      </w:pPr>
    </w:p>
    <w:p>
      <w:pPr>
        <w:ind w:left="840" w:hanging="645"/>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w:t>
      </w:r>
    </w:p>
    <w:p>
      <w:pPr>
        <w:spacing w:after="0" w:line="179" w:lineRule="exact"/>
        <w:rPr>
          <w:sz w:val="20"/>
          <w:szCs w:val="20"/>
          <w:color w:val="auto"/>
        </w:rPr>
      </w:pPr>
    </w:p>
    <w:p>
      <w:pPr>
        <w:ind w:left="740" w:right="479"/>
        <w:spacing w:after="0" w:line="259" w:lineRule="auto"/>
        <w:rPr>
          <w:sz w:val="20"/>
          <w:szCs w:val="20"/>
          <w:color w:val="auto"/>
        </w:rPr>
      </w:pPr>
      <w:r>
        <w:rPr>
          <w:rFonts w:ascii="Arial" w:cs="Arial" w:eastAsia="Arial" w:hAnsi="Arial"/>
          <w:sz w:val="17"/>
          <w:szCs w:val="17"/>
          <w:color w:val="auto"/>
        </w:rPr>
        <w:t>Except as provided below with respect to death or Retirement (as defined below), if the Grantee ceases to be employed by, or ceases providing services to, the Company for any reason before the RSUs have vested pursuant to Paragraph 2, the Grantee shall immediately forfeit all of the RSUs without consideration therefor. This Section 3 shall apply to a Grantee who has not provided services to the Company for twelve consecutive months due to long-term disability leave.</w:t>
      </w:r>
    </w:p>
    <w:p>
      <w:pPr>
        <w:spacing w:after="0" w:line="133" w:lineRule="exact"/>
        <w:rPr>
          <w:sz w:val="20"/>
          <w:szCs w:val="20"/>
          <w:color w:val="auto"/>
        </w:rPr>
      </w:pPr>
    </w:p>
    <w:p>
      <w:pPr>
        <w:ind w:left="840" w:hanging="645"/>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p>
    <w:p>
      <w:pPr>
        <w:spacing w:after="0" w:line="179" w:lineRule="exact"/>
        <w:rPr>
          <w:sz w:val="20"/>
          <w:szCs w:val="20"/>
          <w:color w:val="auto"/>
        </w:rPr>
      </w:pPr>
    </w:p>
    <w:p>
      <w:pPr>
        <w:ind w:left="740" w:right="259"/>
        <w:spacing w:after="0" w:line="243" w:lineRule="auto"/>
        <w:rPr>
          <w:sz w:val="20"/>
          <w:szCs w:val="20"/>
          <w:color w:val="auto"/>
        </w:rPr>
      </w:pPr>
      <w:r>
        <w:rPr>
          <w:rFonts w:ascii="Arial" w:cs="Arial" w:eastAsia="Arial" w:hAnsi="Arial"/>
          <w:sz w:val="18"/>
          <w:szCs w:val="18"/>
          <w:color w:val="auto"/>
        </w:rPr>
        <w:t>If the Grantee’s employment with or service to the Company terminates or ceases by reason of the Grantee’s death, the RSUs shall become immediately and fully vested and payable, and one share of Stock shall be issued for each RSU on a date determined by the Company, which date shall be no later than 90 days after the Grantee’s death.</w:t>
      </w:r>
    </w:p>
    <w:p>
      <w:pPr>
        <w:spacing w:after="0" w:line="147" w:lineRule="exact"/>
        <w:rPr>
          <w:sz w:val="20"/>
          <w:szCs w:val="20"/>
          <w:color w:val="auto"/>
        </w:rPr>
      </w:pPr>
    </w:p>
    <w:p>
      <w:pPr>
        <w:ind w:left="840" w:hanging="645"/>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p>
    <w:p>
      <w:pPr>
        <w:spacing w:after="0" w:line="179" w:lineRule="exact"/>
        <w:rPr>
          <w:sz w:val="20"/>
          <w:szCs w:val="20"/>
          <w:color w:val="auto"/>
        </w:rPr>
      </w:pPr>
    </w:p>
    <w:p>
      <w:pPr>
        <w:ind w:left="740" w:right="219"/>
        <w:spacing w:after="0" w:line="274" w:lineRule="auto"/>
        <w:rPr>
          <w:sz w:val="20"/>
          <w:szCs w:val="20"/>
          <w:color w:val="auto"/>
        </w:rPr>
      </w:pPr>
      <w:r>
        <w:rPr>
          <w:rFonts w:ascii="Arial" w:cs="Arial" w:eastAsia="Arial" w:hAnsi="Arial"/>
          <w:sz w:val="16"/>
          <w:szCs w:val="16"/>
          <w:color w:val="auto"/>
        </w:rPr>
        <w:t>If the Grantee’s employment with or service to the Company terminates or ceases by reason of Retirement on or after the one-year anniversary of the Grant Date and before the Award has become fully vested, the RSUs shall continue to vest in accordance with the schedule prescribed by Paragraph 2 (subject to acceleration in the event of death pursuant to Paragraph 4). One share of Stock shall be delivered with respect to each vested RSU at the time prescribed by Paragraph 2 or Paragraph 4, as applicable. For purposes hereof, a cessation of employment will be treated as a “Retirement” if (and only if) (a) the cessation of employment occurs after (I) the Grantee has attained at least age 55 and been credited with at least five years of service with the Company and (II)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740" w:right="780"/>
        <w:spacing w:after="0" w:line="260" w:lineRule="auto"/>
        <w:rPr>
          <w:sz w:val="20"/>
          <w:szCs w:val="20"/>
          <w:color w:val="auto"/>
        </w:rPr>
      </w:pPr>
      <w:r>
        <w:rPr>
          <w:rFonts w:ascii="Arial" w:cs="Arial" w:eastAsia="Arial" w:hAnsi="Arial"/>
          <w:sz w:val="18"/>
          <w:szCs w:val="18"/>
          <w:color w:val="auto"/>
        </w:rPr>
        <w:t>combination of the Grantee’s age plus years of service is no less than 65; and (b) the Grantee has signed a non-competition agreement in a form acceptable to the Company.</w:t>
      </w:r>
    </w:p>
    <w:p>
      <w:pPr>
        <w:spacing w:after="0" w:line="131" w:lineRule="exact"/>
        <w:rPr>
          <w:sz w:val="20"/>
          <w:szCs w:val="20"/>
          <w:color w:val="auto"/>
        </w:rPr>
      </w:pPr>
    </w:p>
    <w:p>
      <w:pPr>
        <w:ind w:left="840" w:hanging="645"/>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79" w:lineRule="exact"/>
        <w:rPr>
          <w:sz w:val="20"/>
          <w:szCs w:val="20"/>
          <w:color w:val="auto"/>
        </w:rPr>
      </w:pPr>
    </w:p>
    <w:p>
      <w:pPr>
        <w:ind w:left="740" w:right="720"/>
        <w:spacing w:after="0" w:line="253" w:lineRule="auto"/>
        <w:rPr>
          <w:sz w:val="20"/>
          <w:szCs w:val="20"/>
          <w:color w:val="auto"/>
        </w:rPr>
      </w:pPr>
      <w:r>
        <w:rPr>
          <w:rFonts w:ascii="Arial" w:cs="Arial" w:eastAsia="Arial" w:hAnsi="Arial"/>
          <w:sz w:val="17"/>
          <w:szCs w:val="17"/>
          <w:color w:val="auto"/>
        </w:rPr>
        <w:t xml:space="preserve">The Grantee acknowledges that the delivery of Stock following vesting of the RSUs are subject to income and employment tax withholding obligations and that, in some cases, withholding obligations will arise before Stock is deliverable. The Grantee shall make arrangements satisfactory to the Company for satisfying such withholding obligations. For Grantees residing in the United States, Canada, </w:t>
      </w:r>
      <w:r>
        <w:rPr>
          <w:rFonts w:ascii="Arial" w:cs="Arial" w:eastAsia="Arial" w:hAnsi="Arial"/>
          <w:sz w:val="15"/>
          <w:szCs w:val="15"/>
          <w:color w:val="auto"/>
        </w:rPr>
        <w:t>Austria, Ireland, Italy,</w:t>
      </w:r>
      <w:r>
        <w:rPr>
          <w:rFonts w:ascii="Arial" w:cs="Arial" w:eastAsia="Arial" w:hAnsi="Arial"/>
          <w:sz w:val="17"/>
          <w:szCs w:val="17"/>
          <w:color w:val="auto"/>
        </w:rPr>
        <w:t xml:space="preserve"> Germany, Spain and the United Kingdom, the Company will issue “net shares,” meaning that Stock will be withheld to cover estimated withholding tax liability. Grantees residing in other countries are subject to the laws of the appropriate tax jurisdiction. No provision of the Plan, Award Letter, or these Standard Terms and Conditions shall be construed to transfer to the Company or any of its affiliates any responsibility of the Grantee to pay any income, employment, excise, or other taxes attributable to a RSU.</w:t>
      </w:r>
    </w:p>
    <w:p>
      <w:pPr>
        <w:spacing w:after="0" w:line="143" w:lineRule="exact"/>
        <w:rPr>
          <w:sz w:val="20"/>
          <w:szCs w:val="20"/>
          <w:color w:val="auto"/>
        </w:rPr>
      </w:pPr>
    </w:p>
    <w:p>
      <w:pPr>
        <w:ind w:left="840" w:hanging="645"/>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THE PLAN; DEFINED TERMS; ENTIRE AGREEMENT</w:t>
      </w:r>
    </w:p>
    <w:p>
      <w:pPr>
        <w:spacing w:after="0" w:line="179" w:lineRule="exact"/>
        <w:rPr>
          <w:sz w:val="20"/>
          <w:szCs w:val="20"/>
          <w:color w:val="auto"/>
        </w:rPr>
      </w:pPr>
    </w:p>
    <w:p>
      <w:pPr>
        <w:ind w:left="740" w:right="820"/>
        <w:spacing w:after="0" w:line="284" w:lineRule="auto"/>
        <w:rPr>
          <w:sz w:val="20"/>
          <w:szCs w:val="20"/>
          <w:color w:val="auto"/>
        </w:rPr>
      </w:pPr>
      <w:r>
        <w:rPr>
          <w:rFonts w:ascii="Arial" w:cs="Arial" w:eastAsia="Arial" w:hAnsi="Arial"/>
          <w:sz w:val="16"/>
          <w:szCs w:val="16"/>
          <w:color w:val="auto"/>
        </w:rPr>
        <w:t>In addition to these Standard Terms and Conditions, the RSUs shall be subject to the terms of the Plan and the Award Letter, which are incorporated into these Standard Terms and Conditions by this reference. Capitalized terms not otherwise defined herein shall have the meaning set forth in the Plan and the Award Letter, and the rules of construction set forth in the Plan shall also apply to these Standard Terms and Conditions.</w:t>
      </w:r>
    </w:p>
    <w:p>
      <w:pPr>
        <w:spacing w:after="0" w:line="119" w:lineRule="exact"/>
        <w:rPr>
          <w:sz w:val="20"/>
          <w:szCs w:val="20"/>
          <w:color w:val="auto"/>
        </w:rPr>
      </w:pPr>
    </w:p>
    <w:p>
      <w:pPr>
        <w:ind w:left="740" w:right="1220"/>
        <w:spacing w:after="0" w:line="248" w:lineRule="auto"/>
        <w:rPr>
          <w:sz w:val="20"/>
          <w:szCs w:val="20"/>
          <w:color w:val="auto"/>
        </w:rPr>
      </w:pPr>
      <w:r>
        <w:rPr>
          <w:rFonts w:ascii="Arial" w:cs="Arial" w:eastAsia="Arial" w:hAnsi="Arial"/>
          <w:sz w:val="18"/>
          <w:szCs w:val="18"/>
          <w:color w:val="auto"/>
        </w:rPr>
        <w:t>The Award Letter, these Standard Terms and Conditions, and the Plan constitute the entire understanding between the Grantee and the Company regarding the RSUs. Any prior agreements, commitments or negotiations concerning the RSUs are superseded.</w:t>
      </w:r>
    </w:p>
    <w:p>
      <w:pPr>
        <w:spacing w:after="0" w:line="142" w:lineRule="exact"/>
        <w:rPr>
          <w:sz w:val="20"/>
          <w:szCs w:val="20"/>
          <w:color w:val="auto"/>
        </w:rPr>
      </w:pPr>
    </w:p>
    <w:p>
      <w:pPr>
        <w:ind w:left="840" w:hanging="645"/>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w:t>
      </w:r>
    </w:p>
    <w:p>
      <w:pPr>
        <w:spacing w:after="0" w:line="179" w:lineRule="exact"/>
        <w:rPr>
          <w:sz w:val="20"/>
          <w:szCs w:val="20"/>
          <w:color w:val="auto"/>
        </w:rPr>
      </w:pPr>
    </w:p>
    <w:p>
      <w:pPr>
        <w:ind w:left="740" w:right="780"/>
        <w:spacing w:after="0" w:line="276" w:lineRule="auto"/>
        <w:rPr>
          <w:sz w:val="20"/>
          <w:szCs w:val="20"/>
          <w:color w:val="auto"/>
        </w:rPr>
      </w:pPr>
      <w:r>
        <w:rPr>
          <w:rFonts w:ascii="Arial" w:cs="Arial" w:eastAsia="Arial" w:hAnsi="Arial"/>
          <w:sz w:val="16"/>
          <w:szCs w:val="16"/>
          <w:color w:val="auto"/>
        </w:rPr>
        <w:t>The Company may impose such restrictions, conditions and limitations as it determines appropriate as to the timing and manner of any resales by the Grantee or other subsequent transfers by the Grantee of any Stock issued pursuant to the RSUs, including (a) restrictions under an insider trading policy, (b) restrictions designed to delay and/or coordinate the timing and manner of sales by the Grantee and other holders of awards granted under the Plan, (c) requiring acknowledgment and acceptance of these Standard Terms and Conditions, and (d) restrictions as to the use of a specified brokerage firm for such resales or other transfers.</w:t>
      </w:r>
    </w:p>
    <w:p>
      <w:pPr>
        <w:spacing w:after="0" w:line="121" w:lineRule="exact"/>
        <w:rPr>
          <w:sz w:val="20"/>
          <w:szCs w:val="20"/>
          <w:color w:val="auto"/>
        </w:rPr>
      </w:pPr>
    </w:p>
    <w:p>
      <w:pPr>
        <w:ind w:left="860" w:hanging="665"/>
        <w:spacing w:after="0"/>
        <w:tabs>
          <w:tab w:leader="none" w:pos="8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179" w:lineRule="exact"/>
        <w:rPr>
          <w:rFonts w:ascii="Arial" w:cs="Arial" w:eastAsia="Arial" w:hAnsi="Arial"/>
          <w:sz w:val="18"/>
          <w:szCs w:val="18"/>
          <w:b w:val="1"/>
          <w:bCs w:val="1"/>
          <w:color w:val="auto"/>
        </w:rPr>
      </w:pPr>
    </w:p>
    <w:p>
      <w:pPr>
        <w:jc w:val="both"/>
        <w:ind w:left="8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These Standard Terms and Conditions shall be interpreted consistent with the intent to comply with, or be exempt from, the requirements of Section 409A of the Internal Revenue Code of 1986, as amended, such that there are no adverse tax consequences, interest or penalties as a result of any amount paid or payable as a result of the Award of</w:t>
      </w:r>
    </w:p>
    <w:p>
      <w:pPr>
        <w:spacing w:after="0" w:line="284"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500"/>
          </w:cols>
          <w:pgMar w:left="1440" w:top="122" w:right="959" w:bottom="1440" w:gutter="0" w:footer="0" w:header="0"/>
        </w:sectPr>
      </w:pPr>
    </w:p>
    <w:bookmarkStart w:id="60" w:name="page61"/>
    <w:bookmarkEnd w:id="60"/>
    <w:p>
      <w:pPr>
        <w:ind w:left="860"/>
        <w:spacing w:after="0" w:line="260" w:lineRule="auto"/>
        <w:rPr>
          <w:sz w:val="20"/>
          <w:szCs w:val="20"/>
          <w:color w:val="auto"/>
        </w:rPr>
      </w:pPr>
      <w:r>
        <w:rPr>
          <w:rFonts w:ascii="Arial" w:cs="Arial" w:eastAsia="Arial" w:hAnsi="Arial"/>
          <w:sz w:val="18"/>
          <w:szCs w:val="18"/>
          <w:color w:val="auto"/>
        </w:rPr>
        <w:t>the RSUs. Any ambiguity or inconsistency in the provisions of these Standard Terms and Conditions shall be resolved consistent with such intent.</w:t>
      </w:r>
    </w:p>
    <w:p>
      <w:pPr>
        <w:spacing w:after="0" w:line="200" w:lineRule="exact"/>
        <w:rPr>
          <w:sz w:val="20"/>
          <w:szCs w:val="20"/>
          <w:color w:val="auto"/>
        </w:rPr>
      </w:pPr>
    </w:p>
    <w:p>
      <w:pPr>
        <w:spacing w:after="0" w:line="336" w:lineRule="exact"/>
        <w:rPr>
          <w:sz w:val="20"/>
          <w:szCs w:val="20"/>
          <w:color w:val="auto"/>
        </w:rPr>
      </w:pPr>
    </w:p>
    <w:p>
      <w:pPr>
        <w:ind w:left="860" w:hanging="665"/>
        <w:spacing w:after="0"/>
        <w:tabs>
          <w:tab w:leader="none" w:pos="8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w:t>
      </w:r>
    </w:p>
    <w:p>
      <w:pPr>
        <w:spacing w:after="0" w:line="179" w:lineRule="exact"/>
        <w:rPr>
          <w:sz w:val="20"/>
          <w:szCs w:val="20"/>
          <w:color w:val="auto"/>
        </w:rPr>
      </w:pPr>
    </w:p>
    <w:p>
      <w:pPr>
        <w:ind w:left="740" w:right="640"/>
        <w:spacing w:after="0" w:line="294" w:lineRule="auto"/>
        <w:rPr>
          <w:sz w:val="20"/>
          <w:szCs w:val="20"/>
          <w:color w:val="auto"/>
        </w:rPr>
      </w:pPr>
      <w:r>
        <w:rPr>
          <w:rFonts w:ascii="Arial" w:cs="Arial" w:eastAsia="Arial" w:hAnsi="Arial"/>
          <w:sz w:val="16"/>
          <w:szCs w:val="16"/>
          <w:color w:val="auto"/>
        </w:rPr>
        <w:t>RSUs granted under the Plan may not be sold, transferred, pledged, assigned, exchanged, encumbered or otherwise alienated or hypothecated until the RSUs have vested and the corresponding Stock have been issued, except to the limited extent permitted by the Plan and approved by the Administrator in its sole discretion.</w:t>
      </w:r>
    </w:p>
    <w:p>
      <w:pPr>
        <w:spacing w:after="0" w:line="107" w:lineRule="exact"/>
        <w:rPr>
          <w:sz w:val="20"/>
          <w:szCs w:val="20"/>
          <w:color w:val="auto"/>
        </w:rPr>
      </w:pPr>
    </w:p>
    <w:p>
      <w:pPr>
        <w:ind w:left="840" w:hanging="645"/>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9" w:lineRule="exact"/>
        <w:rPr>
          <w:sz w:val="20"/>
          <w:szCs w:val="20"/>
          <w:color w:val="auto"/>
        </w:rPr>
      </w:pPr>
    </w:p>
    <w:p>
      <w:pPr>
        <w:ind w:left="740" w:right="740"/>
        <w:spacing w:after="0" w:line="241" w:lineRule="auto"/>
        <w:rPr>
          <w:sz w:val="20"/>
          <w:szCs w:val="20"/>
          <w:color w:val="auto"/>
        </w:rPr>
      </w:pPr>
      <w:r>
        <w:rPr>
          <w:rFonts w:ascii="Arial" w:cs="Arial" w:eastAsia="Arial" w:hAnsi="Arial"/>
          <w:sz w:val="18"/>
          <w:szCs w:val="18"/>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53" w:lineRule="exact"/>
        <w:rPr>
          <w:sz w:val="20"/>
          <w:szCs w:val="20"/>
          <w:color w:val="auto"/>
        </w:rPr>
      </w:pPr>
    </w:p>
    <w:p>
      <w:pPr>
        <w:ind w:left="740" w:right="940"/>
        <w:spacing w:after="0" w:line="248" w:lineRule="auto"/>
        <w:rPr>
          <w:sz w:val="20"/>
          <w:szCs w:val="20"/>
          <w:color w:val="auto"/>
        </w:rPr>
      </w:pPr>
      <w:r>
        <w:rPr>
          <w:rFonts w:ascii="Arial" w:cs="Arial" w:eastAsia="Arial" w:hAnsi="Arial"/>
          <w:sz w:val="18"/>
          <w:szCs w:val="18"/>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46" w:lineRule="exact"/>
        <w:rPr>
          <w:sz w:val="20"/>
          <w:szCs w:val="20"/>
          <w:color w:val="auto"/>
        </w:rPr>
      </w:pPr>
    </w:p>
    <w:p>
      <w:pPr>
        <w:ind w:left="740" w:right="800"/>
        <w:spacing w:after="0" w:line="261" w:lineRule="auto"/>
        <w:rPr>
          <w:sz w:val="20"/>
          <w:szCs w:val="20"/>
          <w:color w:val="auto"/>
        </w:rPr>
      </w:pPr>
      <w:r>
        <w:rPr>
          <w:rFonts w:ascii="Arial" w:cs="Arial" w:eastAsia="Arial" w:hAnsi="Arial"/>
          <w:sz w:val="18"/>
          <w:szCs w:val="18"/>
          <w:color w:val="auto"/>
        </w:rPr>
        <w:t>These Standard Terms and Conditions shall inure to the benefit of and be binding upon the parties hereto and their respective permitted heirs, beneficiaries, successors and assigns.</w:t>
      </w:r>
    </w:p>
    <w:p>
      <w:pPr>
        <w:spacing w:after="0" w:line="135" w:lineRule="exact"/>
        <w:rPr>
          <w:sz w:val="20"/>
          <w:szCs w:val="20"/>
          <w:color w:val="auto"/>
        </w:rPr>
      </w:pPr>
    </w:p>
    <w:p>
      <w:pPr>
        <w:ind w:left="740" w:right="720"/>
        <w:spacing w:after="0" w:line="261" w:lineRule="auto"/>
        <w:rPr>
          <w:sz w:val="20"/>
          <w:szCs w:val="20"/>
          <w:color w:val="auto"/>
        </w:rPr>
      </w:pPr>
      <w:r>
        <w:rPr>
          <w:rFonts w:ascii="Arial" w:cs="Arial" w:eastAsia="Arial" w:hAnsi="Arial"/>
          <w:sz w:val="18"/>
          <w:szCs w:val="18"/>
          <w:color w:val="auto"/>
        </w:rPr>
        <w:t>The Grantee acknowledges that a copy of the Plan, the Plan prospectus, and Avnet’s most recent annual report to its shareholders has been delivered or made available to the Grantee.</w:t>
      </w:r>
    </w:p>
    <w:p>
      <w:pPr>
        <w:spacing w:after="0" w:line="135" w:lineRule="exact"/>
        <w:rPr>
          <w:sz w:val="20"/>
          <w:szCs w:val="20"/>
          <w:color w:val="auto"/>
        </w:rPr>
      </w:pPr>
    </w:p>
    <w:p>
      <w:pPr>
        <w:jc w:val="both"/>
        <w:ind w:left="740" w:right="640"/>
        <w:spacing w:after="0"/>
        <w:rPr>
          <w:sz w:val="20"/>
          <w:szCs w:val="20"/>
          <w:color w:val="auto"/>
        </w:rPr>
      </w:pPr>
      <w:r>
        <w:rPr>
          <w:rFonts w:ascii="Arial" w:cs="Arial" w:eastAsia="Arial" w:hAnsi="Arial"/>
          <w:sz w:val="18"/>
          <w:szCs w:val="18"/>
          <w:color w:val="auto"/>
        </w:rPr>
        <w:t>Nothing in the Plan, the Award Letter, these Standard Terms and Conditions, or any other instrument executed pursuant to the Plan shall confer upon the Grantee any right to continue in the Company’s employ or service or limit in any way the Company’s right to terminate the Grantee’s employment or service at any time and for any reason. As this grant was made in the absolute discretion of management and the Administrator, receipt of this Award does not confer upon the Grantee any right to future awards or participation in any equity compensation program.</w:t>
      </w:r>
    </w:p>
    <w:p>
      <w:pPr>
        <w:spacing w:after="0" w:line="153" w:lineRule="exact"/>
        <w:rPr>
          <w:sz w:val="20"/>
          <w:szCs w:val="20"/>
          <w:color w:val="auto"/>
        </w:rPr>
      </w:pPr>
    </w:p>
    <w:p>
      <w:pPr>
        <w:ind w:left="740" w:right="960"/>
        <w:spacing w:after="0" w:line="243" w:lineRule="auto"/>
        <w:rPr>
          <w:sz w:val="20"/>
          <w:szCs w:val="20"/>
          <w:color w:val="auto"/>
        </w:rPr>
      </w:pPr>
      <w:r>
        <w:rPr>
          <w:rFonts w:ascii="Arial" w:cs="Arial" w:eastAsia="Arial" w:hAnsi="Arial"/>
          <w:sz w:val="18"/>
          <w:szCs w:val="18"/>
          <w:color w:val="auto"/>
        </w:rPr>
        <w:t>Neither this Award nor any Stock issuable hereunder shall be included in compensation for purposes of determining the amount payable to or on behalf of the Grantee under any pension, savings, retirement, life insurance, severance or other employee or director benefits arrangement of the Company, unless otherwise determined by the plan sponsor.</w:t>
      </w:r>
    </w:p>
    <w:p>
      <w:pPr>
        <w:spacing w:after="0" w:line="151" w:lineRule="exact"/>
        <w:rPr>
          <w:sz w:val="20"/>
          <w:szCs w:val="20"/>
          <w:color w:val="auto"/>
        </w:rPr>
      </w:pPr>
    </w:p>
    <w:p>
      <w:pPr>
        <w:ind w:left="740" w:right="660"/>
        <w:spacing w:after="0" w:line="248" w:lineRule="auto"/>
        <w:rPr>
          <w:sz w:val="20"/>
          <w:szCs w:val="20"/>
          <w:color w:val="auto"/>
        </w:rPr>
      </w:pPr>
      <w:r>
        <w:rPr>
          <w:rFonts w:ascii="Arial" w:cs="Arial" w:eastAsia="Arial" w:hAnsi="Arial"/>
          <w:sz w:val="18"/>
          <w:szCs w:val="18"/>
          <w:color w:val="auto"/>
        </w:rPr>
        <w:t>The Plan, the Award Letter, and these Standard Terms and Conditions shall be governed, construed, interpreted and administered solely in accordance with the laws of the state of New York, without regard to principles of conflicts of law.</w:t>
      </w:r>
    </w:p>
    <w:p>
      <w:pPr>
        <w:spacing w:after="0" w:line="31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380"/>
          </w:cols>
          <w:pgMar w:left="1440" w:top="122" w:right="1079" w:bottom="1440" w:gutter="0" w:footer="0" w:header="0"/>
        </w:sectPr>
      </w:pPr>
    </w:p>
    <w:bookmarkStart w:id="61" w:name="page62"/>
    <w:bookmarkEnd w:id="61"/>
    <w:p>
      <w:pPr>
        <w:ind w:left="740" w:right="279"/>
        <w:spacing w:after="0" w:line="241" w:lineRule="auto"/>
        <w:rPr>
          <w:sz w:val="20"/>
          <w:szCs w:val="20"/>
          <w:color w:val="auto"/>
        </w:rPr>
      </w:pPr>
      <w:r>
        <w:rPr>
          <w:rFonts w:ascii="Arial" w:cs="Arial" w:eastAsia="Arial" w:hAnsi="Arial"/>
          <w:sz w:val="18"/>
          <w:szCs w:val="18"/>
          <w:color w:val="auto"/>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Award Letter and these Standard Terms and Conditions. All such determinations shall be binding upon the Grantee.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10.3(b)</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LETTER FOR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UNITS AWARD UNDER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20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Avnet, Inc. hereby grants to the Grantee named below an award (“</w:t>
      </w:r>
      <w:r>
        <w:rPr>
          <w:rFonts w:ascii="Arial" w:cs="Arial" w:eastAsia="Arial" w:hAnsi="Arial"/>
          <w:sz w:val="18"/>
          <w:szCs w:val="18"/>
          <w:b w:val="1"/>
          <w:bCs w:val="1"/>
          <w:color w:val="auto"/>
        </w:rPr>
        <w:t>Award</w:t>
      </w:r>
      <w:r>
        <w:rPr>
          <w:rFonts w:ascii="Arial" w:cs="Arial" w:eastAsia="Arial" w:hAnsi="Arial"/>
          <w:sz w:val="18"/>
          <w:szCs w:val="18"/>
          <w:color w:val="auto"/>
        </w:rPr>
        <w:t>”) of performance stock units (“</w:t>
      </w:r>
      <w:r>
        <w:rPr>
          <w:rFonts w:ascii="Arial" w:cs="Arial" w:eastAsia="Arial" w:hAnsi="Arial"/>
          <w:sz w:val="18"/>
          <w:szCs w:val="18"/>
          <w:b w:val="1"/>
          <w:bCs w:val="1"/>
          <w:color w:val="auto"/>
        </w:rPr>
        <w:t>PSUs</w:t>
      </w:r>
      <w:r>
        <w:rPr>
          <w:rFonts w:ascii="Arial" w:cs="Arial" w:eastAsia="Arial" w:hAnsi="Arial"/>
          <w:sz w:val="18"/>
          <w:szCs w:val="18"/>
          <w:color w:val="auto"/>
        </w:rPr>
        <w:t>”) specified below pursuant to the Avnet, Inc. 2021 Stock Compensation and Incentive Plan (“</w:t>
      </w:r>
      <w:r>
        <w:rPr>
          <w:rFonts w:ascii="Arial" w:cs="Arial" w:eastAsia="Arial" w:hAnsi="Arial"/>
          <w:sz w:val="18"/>
          <w:szCs w:val="18"/>
          <w:b w:val="1"/>
          <w:bCs w:val="1"/>
          <w:color w:val="auto"/>
        </w:rPr>
        <w:t>Plan</w:t>
      </w:r>
      <w:r>
        <w:rPr>
          <w:rFonts w:ascii="Arial" w:cs="Arial" w:eastAsia="Arial" w:hAnsi="Arial"/>
          <w:sz w:val="18"/>
          <w:szCs w:val="18"/>
          <w:color w:val="auto"/>
        </w:rPr>
        <w:t>”) and upon the terms and conditions set forth in this Award Letter, the Plan and the Standard Terms and Conditions for Performance Stock Unit Awards (“</w:t>
      </w:r>
      <w:r>
        <w:rPr>
          <w:rFonts w:ascii="Arial" w:cs="Arial" w:eastAsia="Arial" w:hAnsi="Arial"/>
          <w:sz w:val="18"/>
          <w:szCs w:val="18"/>
          <w:b w:val="1"/>
          <w:bCs w:val="1"/>
          <w:color w:val="auto"/>
        </w:rPr>
        <w:t>Standard</w:t>
      </w:r>
      <w:r>
        <w:rPr>
          <w:rFonts w:ascii="Arial" w:cs="Arial" w:eastAsia="Arial" w:hAnsi="Arial"/>
          <w:sz w:val="18"/>
          <w:szCs w:val="18"/>
          <w:color w:val="auto"/>
        </w:rPr>
        <w:t xml:space="preserve"> </w:t>
      </w:r>
      <w:r>
        <w:rPr>
          <w:rFonts w:ascii="Arial" w:cs="Arial" w:eastAsia="Arial" w:hAnsi="Arial"/>
          <w:sz w:val="18"/>
          <w:szCs w:val="18"/>
          <w:b w:val="1"/>
          <w:bCs w:val="1"/>
          <w:color w:val="auto"/>
        </w:rPr>
        <w:t>Terms and Conditions</w:t>
      </w:r>
      <w:r>
        <w:rPr>
          <w:rFonts w:ascii="Arial" w:cs="Arial" w:eastAsia="Arial" w:hAnsi="Arial"/>
          <w:sz w:val="18"/>
          <w:szCs w:val="18"/>
          <w:color w:val="auto"/>
        </w:rPr>
        <w:t>”) attached to this Award Letter.</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PSUs shall entitle the Grantee to earn a number of shares of Avnet’s common stock (“</w:t>
      </w:r>
      <w:r>
        <w:rPr>
          <w:rFonts w:ascii="Arial" w:cs="Arial" w:eastAsia="Arial" w:hAnsi="Arial"/>
          <w:sz w:val="18"/>
          <w:szCs w:val="18"/>
          <w:b w:val="1"/>
          <w:bCs w:val="1"/>
          <w:color w:val="auto"/>
        </w:rPr>
        <w:t>Stock</w:t>
      </w:r>
      <w:r>
        <w:rPr>
          <w:rFonts w:ascii="Arial" w:cs="Arial" w:eastAsia="Arial" w:hAnsi="Arial"/>
          <w:sz w:val="18"/>
          <w:szCs w:val="18"/>
          <w:color w:val="auto"/>
        </w:rPr>
        <w:t>”) ranging from 0% - 200% of the Target Number of PSUs set forth below, based on the attainment of performance goals and subject to the satisfaction of continued employment requirements, each as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Grant Date: [__________]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Grantee: [__________] (“</w:t>
      </w: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Target Number of PSUs: [______] (“</w:t>
      </w:r>
      <w:r>
        <w:rPr>
          <w:rFonts w:ascii="Arial" w:cs="Arial" w:eastAsia="Arial" w:hAnsi="Arial"/>
          <w:sz w:val="18"/>
          <w:szCs w:val="18"/>
          <w:b w:val="1"/>
          <w:bCs w:val="1"/>
          <w:color w:val="auto"/>
        </w:rPr>
        <w:t>Target Award</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PSUs: 200% of Target Award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 [_________ through _______] (“</w:t>
      </w:r>
      <w:r>
        <w:rPr>
          <w:rFonts w:ascii="Arial" w:cs="Arial" w:eastAsia="Arial" w:hAnsi="Arial"/>
          <w:sz w:val="18"/>
          <w:szCs w:val="18"/>
          <w:b w:val="1"/>
          <w:bCs w:val="1"/>
          <w:color w:val="auto"/>
        </w:rPr>
        <w:t>Performance Period</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 As set forth in the Standard Terms and Conditions.</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By accepting this Award, the Grantee acknowledges that he or she has received and read, and agrees that these PSUs shall be subject to the terms of the Plan, this Award Letter and the attached Standard Terms and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w:t>
      </w:r>
    </w:p>
    <w:p>
      <w:pPr>
        <w:spacing w:after="0"/>
        <w:rPr>
          <w:sz w:val="20"/>
          <w:szCs w:val="20"/>
          <w:color w:val="auto"/>
        </w:rPr>
      </w:pPr>
      <w:r>
        <w:rPr>
          <w:rFonts w:ascii="Arial" w:cs="Arial" w:eastAsia="Arial" w:hAnsi="Arial"/>
          <w:sz w:val="18"/>
          <w:szCs w:val="18"/>
          <w:color w:val="auto"/>
        </w:rPr>
        <w:t>Title: 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PERFORMANCE STOCK UNIT AWARDS UNDER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FISCAL 20[__] - FISCAL 20[__] PERFORMANCE PERIOD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423545</wp:posOffset>
            </wp:positionV>
            <wp:extent cx="589851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8515" cy="21590"/>
                    </a:xfrm>
                    <a:prstGeom prst="rect">
                      <a:avLst/>
                    </a:prstGeom>
                    <a:noFill/>
                  </pic:spPr>
                </pic:pic>
              </a:graphicData>
            </a:graphic>
          </wp:anchor>
        </w:drawing>
      </w:r>
    </w:p>
    <w:p>
      <w:pPr>
        <w:sectPr>
          <w:pgSz w:w="11900" w:h="16838" w:orient="portrait"/>
          <w:cols w:equalWidth="0" w:num="1">
            <w:col w:w="9280"/>
          </w:cols>
          <w:pgMar w:left="1300" w:top="555" w:right="1319" w:bottom="1440" w:gutter="0" w:footer="0" w:header="0"/>
        </w:sectPr>
      </w:pPr>
    </w:p>
    <w:bookmarkStart w:id="63" w:name="page64"/>
    <w:bookmarkEnd w:id="63"/>
    <w:p>
      <w:pPr>
        <w:ind w:right="60"/>
        <w:spacing w:after="0" w:line="274" w:lineRule="auto"/>
        <w:rPr>
          <w:sz w:val="20"/>
          <w:szCs w:val="20"/>
          <w:color w:val="auto"/>
        </w:rPr>
      </w:pPr>
      <w:r>
        <w:rPr>
          <w:rFonts w:ascii="Arial" w:cs="Arial" w:eastAsia="Arial" w:hAnsi="Arial"/>
          <w:sz w:val="17"/>
          <w:szCs w:val="17"/>
          <w:color w:val="auto"/>
        </w:rPr>
        <w:t>These Standard Terms and Conditions for Performance Stock Unit Awards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 apply to the grant (“</w:t>
      </w:r>
      <w:r>
        <w:rPr>
          <w:rFonts w:ascii="Arial" w:cs="Arial" w:eastAsia="Arial" w:hAnsi="Arial"/>
          <w:sz w:val="17"/>
          <w:szCs w:val="17"/>
          <w:b w:val="1"/>
          <w:bCs w:val="1"/>
          <w:color w:val="auto"/>
        </w:rPr>
        <w:t>Award</w:t>
      </w:r>
      <w:r>
        <w:rPr>
          <w:rFonts w:ascii="Arial" w:cs="Arial" w:eastAsia="Arial" w:hAnsi="Arial"/>
          <w:sz w:val="17"/>
          <w:szCs w:val="17"/>
          <w:color w:val="auto"/>
        </w:rPr>
        <w:t>”) of the performance stock units (“</w:t>
      </w:r>
      <w:r>
        <w:rPr>
          <w:rFonts w:ascii="Arial" w:cs="Arial" w:eastAsia="Arial" w:hAnsi="Arial"/>
          <w:sz w:val="17"/>
          <w:szCs w:val="17"/>
          <w:b w:val="1"/>
          <w:bCs w:val="1"/>
          <w:color w:val="auto"/>
        </w:rPr>
        <w:t>PSUs</w:t>
      </w:r>
      <w:r>
        <w:rPr>
          <w:rFonts w:ascii="Arial" w:cs="Arial" w:eastAsia="Arial" w:hAnsi="Arial"/>
          <w:sz w:val="17"/>
          <w:szCs w:val="17"/>
          <w:color w:val="auto"/>
        </w:rPr>
        <w:t>”) on the Grant Date by Avnet, Inc. (“</w:t>
      </w:r>
      <w:r>
        <w:rPr>
          <w:rFonts w:ascii="Arial" w:cs="Arial" w:eastAsia="Arial" w:hAnsi="Arial"/>
          <w:sz w:val="17"/>
          <w:szCs w:val="17"/>
          <w:b w:val="1"/>
          <w:bCs w:val="1"/>
          <w:color w:val="auto"/>
        </w:rPr>
        <w:t>Avnet</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to the Grantee pursuant to the Award Letter and Avnet, Inc. 2021 Stock Compensation and Incentive Plan (“</w:t>
      </w:r>
      <w:r>
        <w:rPr>
          <w:rFonts w:ascii="Arial" w:cs="Arial" w:eastAsia="Arial" w:hAnsi="Arial"/>
          <w:sz w:val="17"/>
          <w:szCs w:val="17"/>
          <w:b w:val="1"/>
          <w:bCs w:val="1"/>
          <w:color w:val="auto"/>
        </w:rPr>
        <w:t>Plan</w:t>
      </w:r>
      <w:r>
        <w:rPr>
          <w:rFonts w:ascii="Arial" w:cs="Arial" w:eastAsia="Arial" w:hAnsi="Arial"/>
          <w:sz w:val="17"/>
          <w:szCs w:val="17"/>
          <w:color w:val="auto"/>
        </w:rPr>
        <w:t>”). These Standard Terms and Conditions apply to any performance stock units granted under the Plan. For purposes of these Standard Terms and Conditions, the term “Company” refers to Avnet and its subsidiaries.</w:t>
      </w:r>
    </w:p>
    <w:p>
      <w:pPr>
        <w:spacing w:after="0" w:line="166" w:lineRule="exact"/>
        <w:rPr>
          <w:sz w:val="20"/>
          <w:szCs w:val="20"/>
          <w:color w:val="auto"/>
        </w:rPr>
      </w:pPr>
    </w:p>
    <w:p>
      <w:pPr>
        <w:ind w:left="540" w:hanging="536"/>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PSUs</w:t>
      </w:r>
    </w:p>
    <w:p>
      <w:pPr>
        <w:spacing w:after="0" w:line="190" w:lineRule="exact"/>
        <w:rPr>
          <w:rFonts w:ascii="Arial" w:cs="Arial" w:eastAsia="Arial" w:hAnsi="Arial"/>
          <w:sz w:val="18"/>
          <w:szCs w:val="18"/>
          <w:b w:val="1"/>
          <w:bCs w:val="1"/>
          <w:color w:val="auto"/>
        </w:rPr>
      </w:pPr>
    </w:p>
    <w:p>
      <w:pPr>
        <w:ind w:left="54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Provided that the Grantee has accepted these Standard Terms and Conditions on or before [Acceptance Date], the Company has granted to the Grantee an Award of PSUs covering the shares of Avnet’s common stock (“</w:t>
      </w:r>
      <w:r>
        <w:rPr>
          <w:rFonts w:ascii="Arial" w:cs="Arial" w:eastAsia="Arial" w:hAnsi="Arial"/>
          <w:sz w:val="18"/>
          <w:szCs w:val="18"/>
          <w:b w:val="1"/>
          <w:bCs w:val="1"/>
          <w:color w:val="auto"/>
        </w:rPr>
        <w:t>Stock</w:t>
      </w:r>
      <w:r>
        <w:rPr>
          <w:rFonts w:ascii="Arial" w:cs="Arial" w:eastAsia="Arial" w:hAnsi="Arial"/>
          <w:sz w:val="18"/>
          <w:szCs w:val="18"/>
          <w:color w:val="auto"/>
        </w:rPr>
        <w:t>”) as provided in the Award Letter, subject to the terms and conditions set forth in these Standard Terms and Conditions and the Plan.</w:t>
      </w:r>
    </w:p>
    <w:p>
      <w:pPr>
        <w:spacing w:after="0" w:line="147" w:lineRule="exact"/>
        <w:rPr>
          <w:rFonts w:ascii="Arial" w:cs="Arial" w:eastAsia="Arial" w:hAnsi="Arial"/>
          <w:sz w:val="18"/>
          <w:szCs w:val="18"/>
          <w:b w:val="1"/>
          <w:bCs w:val="1"/>
          <w:color w:val="auto"/>
        </w:rPr>
      </w:pPr>
    </w:p>
    <w:p>
      <w:pPr>
        <w:ind w:left="540" w:hanging="536"/>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PERFORMANCE</w:t>
      </w:r>
    </w:p>
    <w:p>
      <w:pPr>
        <w:spacing w:after="0" w:line="190" w:lineRule="exact"/>
        <w:rPr>
          <w:rFonts w:ascii="Arial" w:cs="Arial" w:eastAsia="Arial" w:hAnsi="Arial"/>
          <w:sz w:val="18"/>
          <w:szCs w:val="18"/>
          <w:b w:val="1"/>
          <w:bCs w:val="1"/>
          <w:color w:val="auto"/>
        </w:rPr>
      </w:pPr>
    </w:p>
    <w:p>
      <w:pPr>
        <w:ind w:left="5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number of PSUs that become vested shall be determined based upon the achievement of performance goals over the 3-year Performance Period as set forth below and are subject to the provisions of these Standard Terms and Conditions and the Plan. Except as set forth elsewhere in these Standard Terms and Conditions, the vesting of the PSUs is subject to</w:t>
      </w:r>
    </w:p>
    <w:p>
      <w:pPr>
        <w:spacing w:after="0" w:line="1" w:lineRule="exact"/>
        <w:rPr>
          <w:rFonts w:ascii="Arial" w:cs="Arial" w:eastAsia="Arial" w:hAnsi="Arial"/>
          <w:sz w:val="18"/>
          <w:szCs w:val="18"/>
          <w:b w:val="1"/>
          <w:bCs w:val="1"/>
          <w:color w:val="auto"/>
        </w:rPr>
      </w:pPr>
    </w:p>
    <w:p>
      <w:pPr>
        <w:jc w:val="both"/>
        <w:ind w:left="54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 the Grantee remaining continuously employed by, or in the service of, the Company from the Grant Date through the last day of the Performance Period (as described in Section 3, below), and (b) Avnet achieving the performance goals as set forth below.</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[Performance goals]</w:t>
      </w:r>
    </w:p>
    <w:p>
      <w:pPr>
        <w:spacing w:after="0" w:line="187" w:lineRule="exact"/>
        <w:rPr>
          <w:sz w:val="20"/>
          <w:szCs w:val="20"/>
          <w:color w:val="auto"/>
        </w:rPr>
      </w:pPr>
    </w:p>
    <w:p>
      <w:pPr>
        <w:ind w:left="540" w:right="140"/>
        <w:spacing w:after="0" w:line="274" w:lineRule="auto"/>
        <w:rPr>
          <w:sz w:val="20"/>
          <w:szCs w:val="20"/>
          <w:color w:val="auto"/>
        </w:rPr>
      </w:pPr>
      <w:r>
        <w:rPr>
          <w:rFonts w:ascii="Arial" w:cs="Arial" w:eastAsia="Arial" w:hAnsi="Arial"/>
          <w:sz w:val="18"/>
          <w:szCs w:val="18"/>
          <w:color w:val="auto"/>
        </w:rPr>
        <w:t>Except as expressly provided otherwise in Sections 4 and 5 herein below, any PSUs that do not vest in accordance with the foregoing shall be forfeited without consideration.</w:t>
      </w:r>
    </w:p>
    <w:p>
      <w:pPr>
        <w:spacing w:after="0" w:line="135"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Following the vesting of all or a portion of the PSUs, one share of Stock shall be issuable for each PSU that vests (the “</w:t>
      </w:r>
      <w:r>
        <w:rPr>
          <w:rFonts w:ascii="Arial" w:cs="Arial" w:eastAsia="Arial" w:hAnsi="Arial"/>
          <w:sz w:val="18"/>
          <w:szCs w:val="18"/>
          <w:b w:val="1"/>
          <w:bCs w:val="1"/>
          <w:color w:val="auto"/>
        </w:rPr>
        <w:t>PSU Shares</w:t>
      </w:r>
      <w:r>
        <w:rPr>
          <w:rFonts w:ascii="Arial" w:cs="Arial" w:eastAsia="Arial" w:hAnsi="Arial"/>
          <w:sz w:val="18"/>
          <w:szCs w:val="18"/>
          <w:color w:val="auto"/>
        </w:rPr>
        <w:t>”). Thereafter, Avnet shall transfer such PSU Shares to the Grantee as soon as practicable after the end of the Performance Period and satisfaction of all required tax withholding obligations, securities law registration and other requirements, and applicable stock exchange listing, and in any event no later than December 31st of the calendar year in which the Performance Period ends.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fractional shares shall be issued with respect to vesting of PSUs.</w:t>
      </w:r>
    </w:p>
    <w:p>
      <w:pPr>
        <w:spacing w:after="0" w:line="18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The Grantee shall not acquire or have any rights as a shareholder of Avnet by virtue of the Award evidenced by the Award Letter or these Standard Terms and Conditions until the PSU Shares issuable pursuant to this Award are actually issued and delivered to the Grantee in accordance with the terms of the Plan, the Award Letter and these Standard Terms and Conditions.</w:t>
      </w:r>
    </w:p>
    <w:p>
      <w:pPr>
        <w:spacing w:after="0" w:line="147" w:lineRule="exact"/>
        <w:rPr>
          <w:sz w:val="20"/>
          <w:szCs w:val="20"/>
          <w:color w:val="auto"/>
        </w:rPr>
      </w:pPr>
    </w:p>
    <w:p>
      <w:pPr>
        <w:ind w:left="540" w:hanging="536"/>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w:t>
      </w:r>
    </w:p>
    <w:p>
      <w:pPr>
        <w:spacing w:after="0" w:line="190" w:lineRule="exact"/>
        <w:rPr>
          <w:rFonts w:ascii="Arial" w:cs="Arial" w:eastAsia="Arial" w:hAnsi="Arial"/>
          <w:sz w:val="18"/>
          <w:szCs w:val="18"/>
          <w:b w:val="1"/>
          <w:bCs w:val="1"/>
          <w:color w:val="auto"/>
        </w:rPr>
      </w:pPr>
    </w:p>
    <w:p>
      <w:pPr>
        <w:ind w:left="54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below with respect to death, disability, or Retirement (as defined below), if the Grantee ceases to be employed by, or ceases providing services to, the Company for any</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589851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98515" cy="21590"/>
                    </a:xfrm>
                    <a:prstGeom prst="rect">
                      <a:avLst/>
                    </a:prstGeom>
                    <a:noFill/>
                  </pic:spPr>
                </pic:pic>
              </a:graphicData>
            </a:graphic>
          </wp:anchor>
        </w:drawing>
      </w:r>
    </w:p>
    <w:p>
      <w:pPr>
        <w:sectPr>
          <w:pgSz w:w="11900" w:h="16838" w:orient="portrait"/>
          <w:cols w:equalWidth="0" w:num="1">
            <w:col w:w="9260"/>
          </w:cols>
          <w:pgMar w:left="1300" w:top="1219" w:right="1339" w:bottom="1440" w:gutter="0" w:footer="0" w:header="0"/>
        </w:sectPr>
      </w:pPr>
    </w:p>
    <w:bookmarkStart w:id="64" w:name="page65"/>
    <w:bookmarkEnd w:id="64"/>
    <w:p>
      <w:pPr>
        <w:ind w:left="536" w:right="760"/>
        <w:spacing w:after="0" w:line="274" w:lineRule="auto"/>
        <w:rPr>
          <w:sz w:val="20"/>
          <w:szCs w:val="20"/>
          <w:color w:val="auto"/>
        </w:rPr>
      </w:pPr>
      <w:r>
        <w:rPr>
          <w:rFonts w:ascii="Arial" w:cs="Arial" w:eastAsia="Arial" w:hAnsi="Arial"/>
          <w:sz w:val="18"/>
          <w:szCs w:val="18"/>
          <w:color w:val="auto"/>
        </w:rPr>
        <w:t>reason before the end of the Performance Period, the Grantee shall immediately forfeit all of the PSUs without consideration.</w:t>
      </w:r>
    </w:p>
    <w:p>
      <w:pPr>
        <w:spacing w:after="0" w:line="131" w:lineRule="exact"/>
        <w:rPr>
          <w:sz w:val="20"/>
          <w:szCs w:val="20"/>
          <w:color w:val="auto"/>
        </w:rPr>
      </w:pPr>
    </w:p>
    <w:p>
      <w:pPr>
        <w:ind w:left="536" w:hanging="536"/>
        <w:spacing w:after="0"/>
        <w:tabs>
          <w:tab w:leader="none" w:pos="53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DEATH OR DISABILITY OF GRANTEE</w:t>
      </w:r>
    </w:p>
    <w:p>
      <w:pPr>
        <w:spacing w:after="0" w:line="190" w:lineRule="exact"/>
        <w:rPr>
          <w:rFonts w:ascii="Arial" w:cs="Arial" w:eastAsia="Arial" w:hAnsi="Arial"/>
          <w:sz w:val="18"/>
          <w:szCs w:val="18"/>
          <w:b w:val="1"/>
          <w:bCs w:val="1"/>
          <w:color w:val="auto"/>
        </w:rPr>
      </w:pPr>
    </w:p>
    <w:p>
      <w:pPr>
        <w:ind w:left="536"/>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If the Grantee’s employment with or service to the Company terminates or ceases by reason of the Grantee’s death or disability (as determined by the Administrator in its sole discretion), the Grantee shall vest in a pro-rata share of the PSUs equal to the number of PSUs that would have become vested had the Grantee remained continuously employed by, or provided services to, the Company through the end of the Performance Period (based on Avnet’s performance through the end of the Performance Period), multiplied by a fraction, the numerator of which is the number of full calendar quarters in the Performance Period that have been completed as of the date of death or disability, and the denominator of which is 12. If a Grantee on long-term disability leave does not provide services to the Company for 12 consecutive months, the pro-ration described in this Section 4 shall apply as if such Grantee terminated employment on the first anniversary of such long-term disability leave; provided that if the Grantee qualifies for Retirement (as described in Section 5 below) before the end of such 12 consecutive month period, vesting shall be determined in accordance with Section 5 below. The number of PSU Shares payable (before application of the pro-ration rule set forth in this Section 4) and the timing of the transfer of such PSU Shares shall be determined in accordance with Section 2 above without regard to the service requirement set forth therein. All non-vested PSUs shall be forfeited.</w:t>
      </w:r>
    </w:p>
    <w:p>
      <w:pPr>
        <w:spacing w:after="0" w:line="133" w:lineRule="exact"/>
        <w:rPr>
          <w:rFonts w:ascii="Arial" w:cs="Arial" w:eastAsia="Arial" w:hAnsi="Arial"/>
          <w:sz w:val="18"/>
          <w:szCs w:val="18"/>
          <w:b w:val="1"/>
          <w:bCs w:val="1"/>
          <w:color w:val="auto"/>
        </w:rPr>
      </w:pPr>
    </w:p>
    <w:p>
      <w:pPr>
        <w:ind w:left="536" w:hanging="536"/>
        <w:spacing w:after="0"/>
        <w:tabs>
          <w:tab w:leader="none" w:pos="53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p>
    <w:p>
      <w:pPr>
        <w:spacing w:after="0" w:line="190" w:lineRule="exact"/>
        <w:rPr>
          <w:rFonts w:ascii="Arial" w:cs="Arial" w:eastAsia="Arial" w:hAnsi="Arial"/>
          <w:sz w:val="18"/>
          <w:szCs w:val="18"/>
          <w:b w:val="1"/>
          <w:bCs w:val="1"/>
          <w:color w:val="auto"/>
        </w:rPr>
      </w:pPr>
    </w:p>
    <w:p>
      <w:pPr>
        <w:ind w:left="536"/>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If the Grantee’s employment with or service to the Company terminates or ceases by reason of the Grantee’s Retirement (as defined herein) on or after the one-year anniversary of the Grant Date and before the Award has become fully vested, the Grantee shall vest in the PSUs equal to the number of PSUs that would have become vested had the Grantee remained continuously employed by the Company through the end of the Performance Period (based on Avnet’s performance through the end of the Performance Period). For purposes hereof, a cessation of employment will be treated as a “Retirement” if (and only if) (a) the cessation of employment occurs after (I) the Grantee has attained at least age 55 and been credited with at least five years of service with the Company and (II) the combination of the Grantee’s age plus years of service is no less than 65; and (b) the Grantee has signed a non-competition agreement in a form acceptable to the Company. The number of PSU Shares payable and the timing of the transfer of such PSU Shares shall be determined in accordance with Section 2 above without regard to the service requirement set forth therein. All non-vested PSUs shall be forfeited.</w:t>
      </w:r>
    </w:p>
    <w:p>
      <w:pPr>
        <w:spacing w:after="0" w:line="176" w:lineRule="exact"/>
        <w:rPr>
          <w:rFonts w:ascii="Arial" w:cs="Arial" w:eastAsia="Arial" w:hAnsi="Arial"/>
          <w:sz w:val="18"/>
          <w:szCs w:val="18"/>
          <w:b w:val="1"/>
          <w:bCs w:val="1"/>
          <w:color w:val="auto"/>
        </w:rPr>
      </w:pPr>
    </w:p>
    <w:p>
      <w:pPr>
        <w:ind w:left="536" w:hanging="536"/>
        <w:spacing w:after="0"/>
        <w:tabs>
          <w:tab w:leader="none" w:pos="53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90" w:lineRule="exact"/>
        <w:rPr>
          <w:rFonts w:ascii="Arial" w:cs="Arial" w:eastAsia="Arial" w:hAnsi="Arial"/>
          <w:sz w:val="18"/>
          <w:szCs w:val="18"/>
          <w:b w:val="1"/>
          <w:bCs w:val="1"/>
          <w:color w:val="auto"/>
        </w:rPr>
      </w:pPr>
    </w:p>
    <w:p>
      <w:pPr>
        <w:ind w:left="536" w:right="40"/>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The Grantee acknowledges that the delivery of PSU Shares will generally give rise to a withholding tax obligation, and that the issuance of PSU Shares hereunder is conditioned on timely satisfying such withholding obligation. The Grantee shall make arrangements satisfactory to the Company for satisfying such withholding obligations. For Grantees residing in the United States, Canada, Austria, Ireland, Italy, Germany, Spain and the United Kingdom, the Company will issue “net shares,” meaning that PSU Shares will be withheld to cover the estimated withholding tax liability. Grantees residing in other countries are subject to the laws of the appropriate tax jurisdiction. No provision of the Plan, the Award</w:t>
      </w:r>
    </w:p>
    <w:p>
      <w:pPr>
        <w:spacing w:after="0" w:line="1" w:lineRule="exact"/>
        <w:rPr>
          <w:sz w:val="20"/>
          <w:szCs w:val="20"/>
          <w:color w:val="auto"/>
        </w:rPr>
      </w:pPr>
    </w:p>
    <w:p>
      <w:pPr>
        <w:ind w:left="536"/>
        <w:spacing w:after="0"/>
        <w:rPr>
          <w:sz w:val="20"/>
          <w:szCs w:val="20"/>
          <w:color w:val="auto"/>
        </w:rPr>
      </w:pPr>
      <w:r>
        <w:rPr>
          <w:rFonts w:ascii="Arial" w:cs="Arial" w:eastAsia="Arial" w:hAnsi="Arial"/>
          <w:sz w:val="18"/>
          <w:szCs w:val="18"/>
          <w:color w:val="auto"/>
        </w:rPr>
        <w:t>Letter or these Standard Terms</w:t>
      </w:r>
    </w:p>
    <w:p>
      <w:pPr>
        <w:spacing w:after="0" w:line="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589851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98515" cy="21590"/>
                    </a:xfrm>
                    <a:prstGeom prst="rect">
                      <a:avLst/>
                    </a:prstGeom>
                    <a:noFill/>
                  </pic:spPr>
                </pic:pic>
              </a:graphicData>
            </a:graphic>
          </wp:anchor>
        </w:drawing>
      </w:r>
    </w:p>
    <w:p>
      <w:pPr>
        <w:sectPr>
          <w:pgSz w:w="11900" w:h="16838" w:orient="portrait"/>
          <w:cols w:equalWidth="0" w:num="1">
            <w:col w:w="9256"/>
          </w:cols>
          <w:pgMar w:left="1304" w:top="1009" w:right="1339" w:bottom="1440" w:gutter="0" w:footer="0" w:header="0"/>
        </w:sectPr>
      </w:pPr>
    </w:p>
    <w:bookmarkStart w:id="65" w:name="page66"/>
    <w:bookmarkEnd w:id="65"/>
    <w:p>
      <w:pPr>
        <w:ind w:left="536" w:right="100"/>
        <w:spacing w:after="0" w:line="274" w:lineRule="auto"/>
        <w:rPr>
          <w:sz w:val="20"/>
          <w:szCs w:val="20"/>
          <w:color w:val="auto"/>
        </w:rPr>
      </w:pPr>
      <w:r>
        <w:rPr>
          <w:rFonts w:ascii="Arial" w:cs="Arial" w:eastAsia="Arial" w:hAnsi="Arial"/>
          <w:sz w:val="18"/>
          <w:szCs w:val="18"/>
          <w:color w:val="auto"/>
        </w:rPr>
        <w:t>and Conditions shall be construed to transfer to the Company or any of its affiliates any responsibility of the Grantee to pay any income, employment, excise, or other taxes attributable to a PSU.</w:t>
      </w:r>
    </w:p>
    <w:p>
      <w:pPr>
        <w:spacing w:after="0" w:line="135" w:lineRule="exact"/>
        <w:rPr>
          <w:sz w:val="20"/>
          <w:szCs w:val="20"/>
          <w:color w:val="auto"/>
        </w:rPr>
      </w:pPr>
    </w:p>
    <w:p>
      <w:pPr>
        <w:ind w:left="536" w:right="80"/>
        <w:spacing w:after="0" w:line="254" w:lineRule="auto"/>
        <w:rPr>
          <w:sz w:val="20"/>
          <w:szCs w:val="20"/>
          <w:color w:val="auto"/>
        </w:rPr>
      </w:pPr>
      <w:r>
        <w:rPr>
          <w:rFonts w:ascii="Arial" w:cs="Arial" w:eastAsia="Arial" w:hAnsi="Arial"/>
          <w:sz w:val="18"/>
          <w:szCs w:val="18"/>
          <w:color w:val="auto"/>
        </w:rPr>
        <w:t>These Standard Terms and Conditions shall be interpreted consistently with the intent to comply with, or be exempt from, the requirements of Section 409A of the Internal Revenue Code of 1986, as amended, such that there are no adverse tax consequences, interest, or penalties as a result of any amount paid or payable as a result of the Award of the PSUs. Any ambiguity or inconsistency in the provisions of these Standard Terms and Conditions shall be resolved consistent with such intent.</w:t>
      </w:r>
    </w:p>
    <w:p>
      <w:pPr>
        <w:spacing w:after="0" w:line="149" w:lineRule="exact"/>
        <w:rPr>
          <w:sz w:val="20"/>
          <w:szCs w:val="20"/>
          <w:color w:val="auto"/>
        </w:rPr>
      </w:pPr>
    </w:p>
    <w:p>
      <w:pPr>
        <w:ind w:left="536" w:hanging="536"/>
        <w:spacing w:after="0"/>
        <w:tabs>
          <w:tab w:leader="none" w:pos="5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THE PLAN; DEFINED TERMS; ENTIRE AGREEMENT</w:t>
      </w:r>
    </w:p>
    <w:p>
      <w:pPr>
        <w:spacing w:after="0" w:line="190" w:lineRule="exact"/>
        <w:rPr>
          <w:rFonts w:ascii="Arial" w:cs="Arial" w:eastAsia="Arial" w:hAnsi="Arial"/>
          <w:sz w:val="18"/>
          <w:szCs w:val="18"/>
          <w:b w:val="1"/>
          <w:bCs w:val="1"/>
          <w:color w:val="auto"/>
        </w:rPr>
      </w:pPr>
    </w:p>
    <w:p>
      <w:pPr>
        <w:ind w:left="536"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addition to these Standard Terms and Conditions, the PSUs shall be subject to the terms of the Plan and the Award Letter, which are incorporated into these Standard Terms and Conditions by this reference. Capitalized terms not otherwise defined herein shall have the meaning set forth in the Plan and Award Letter, and the rules of construction set forth in the Plan shall also apply to these Standard Terms and Conditions.</w:t>
      </w:r>
    </w:p>
    <w:p>
      <w:pPr>
        <w:spacing w:after="0" w:line="135" w:lineRule="exact"/>
        <w:rPr>
          <w:rFonts w:ascii="Arial" w:cs="Arial" w:eastAsia="Arial" w:hAnsi="Arial"/>
          <w:sz w:val="18"/>
          <w:szCs w:val="18"/>
          <w:b w:val="1"/>
          <w:bCs w:val="1"/>
          <w:color w:val="auto"/>
        </w:rPr>
      </w:pPr>
    </w:p>
    <w:p>
      <w:pPr>
        <w:ind w:left="536"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Award Letter, these Standard Terms and Conditions, and the Plan constitute the entire understanding between the Grantee and the Company regarding the PSUs. Any prior agreements, commitments, or negotiations concerning the PSUs are superseded.</w:t>
      </w:r>
    </w:p>
    <w:p>
      <w:pPr>
        <w:spacing w:after="0" w:line="141" w:lineRule="exact"/>
        <w:rPr>
          <w:rFonts w:ascii="Arial" w:cs="Arial" w:eastAsia="Arial" w:hAnsi="Arial"/>
          <w:sz w:val="18"/>
          <w:szCs w:val="18"/>
          <w:b w:val="1"/>
          <w:bCs w:val="1"/>
          <w:color w:val="auto"/>
        </w:rPr>
      </w:pPr>
    </w:p>
    <w:p>
      <w:pPr>
        <w:ind w:left="536" w:hanging="536"/>
        <w:spacing w:after="0"/>
        <w:tabs>
          <w:tab w:leader="none" w:pos="5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w:t>
      </w:r>
    </w:p>
    <w:p>
      <w:pPr>
        <w:spacing w:after="0" w:line="190" w:lineRule="exact"/>
        <w:rPr>
          <w:rFonts w:ascii="Arial" w:cs="Arial" w:eastAsia="Arial" w:hAnsi="Arial"/>
          <w:sz w:val="18"/>
          <w:szCs w:val="18"/>
          <w:b w:val="1"/>
          <w:bCs w:val="1"/>
          <w:color w:val="auto"/>
        </w:rPr>
      </w:pPr>
    </w:p>
    <w:p>
      <w:pPr>
        <w:ind w:left="536"/>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may impose such restrictions, conditions, and limitations as it determines appropriate as to the timing and manner of any resales by the Grantee or other subsequent transfers by the Grantee of any PSU Shares, including (a) restrictions under an insider trading policy, (b) restrictions designed to delay and/or coordinate the timing and manner of sales by the Grantee and other holders of awards granted under the Plan, (c) requiring acknowledgment and acceptance of these Standard Terms and Conditions, and (d) restrictions as to the use of a specified brokerage firm for such resales or other transfers.</w:t>
      </w:r>
    </w:p>
    <w:p>
      <w:pPr>
        <w:spacing w:after="0" w:line="148" w:lineRule="exact"/>
        <w:rPr>
          <w:rFonts w:ascii="Arial" w:cs="Arial" w:eastAsia="Arial" w:hAnsi="Arial"/>
          <w:sz w:val="18"/>
          <w:szCs w:val="18"/>
          <w:b w:val="1"/>
          <w:bCs w:val="1"/>
          <w:color w:val="auto"/>
        </w:rPr>
      </w:pPr>
    </w:p>
    <w:p>
      <w:pPr>
        <w:ind w:left="536" w:hanging="536"/>
        <w:spacing w:after="0"/>
        <w:tabs>
          <w:tab w:leader="none" w:pos="5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w:t>
      </w:r>
    </w:p>
    <w:p>
      <w:pPr>
        <w:spacing w:after="0" w:line="190" w:lineRule="exact"/>
        <w:rPr>
          <w:rFonts w:ascii="Arial" w:cs="Arial" w:eastAsia="Arial" w:hAnsi="Arial"/>
          <w:sz w:val="18"/>
          <w:szCs w:val="18"/>
          <w:b w:val="1"/>
          <w:bCs w:val="1"/>
          <w:color w:val="auto"/>
        </w:rPr>
      </w:pPr>
    </w:p>
    <w:p>
      <w:pPr>
        <w:ind w:left="536" w:right="120"/>
        <w:spacing w:after="0" w:line="308" w:lineRule="auto"/>
        <w:rPr>
          <w:rFonts w:ascii="Arial" w:cs="Arial" w:eastAsia="Arial" w:hAnsi="Arial"/>
          <w:sz w:val="18"/>
          <w:szCs w:val="18"/>
          <w:b w:val="1"/>
          <w:bCs w:val="1"/>
          <w:color w:val="auto"/>
        </w:rPr>
      </w:pPr>
      <w:r>
        <w:rPr>
          <w:rFonts w:ascii="Arial" w:cs="Arial" w:eastAsia="Arial" w:hAnsi="Arial"/>
          <w:sz w:val="16"/>
          <w:szCs w:val="16"/>
          <w:color w:val="auto"/>
        </w:rPr>
        <w:t>PSUs granted under the Plan may not be sold, transferred, pledged, assigned, exchanged, encumbered, or otherwise alienated or hypothecated until after the PSUs have vested and the corresponding PSU Shares have been issued, except to the limited extent, if at all, permitted by the Plan and approved by the Administrator in its sole discretion.</w:t>
      </w:r>
    </w:p>
    <w:p>
      <w:pPr>
        <w:spacing w:after="0" w:line="108" w:lineRule="exact"/>
        <w:rPr>
          <w:rFonts w:ascii="Arial" w:cs="Arial" w:eastAsia="Arial" w:hAnsi="Arial"/>
          <w:sz w:val="18"/>
          <w:szCs w:val="18"/>
          <w:b w:val="1"/>
          <w:bCs w:val="1"/>
          <w:color w:val="auto"/>
        </w:rPr>
      </w:pPr>
    </w:p>
    <w:p>
      <w:pPr>
        <w:ind w:left="536" w:hanging="536"/>
        <w:spacing w:after="0"/>
        <w:tabs>
          <w:tab w:leader="none" w:pos="5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90" w:lineRule="exact"/>
        <w:rPr>
          <w:rFonts w:ascii="Arial" w:cs="Arial" w:eastAsia="Arial" w:hAnsi="Arial"/>
          <w:sz w:val="18"/>
          <w:szCs w:val="18"/>
          <w:b w:val="1"/>
          <w:bCs w:val="1"/>
          <w:color w:val="auto"/>
        </w:rPr>
      </w:pPr>
    </w:p>
    <w:p>
      <w:pPr>
        <w:ind w:left="536"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21"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589851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98515" cy="21590"/>
                    </a:xfrm>
                    <a:prstGeom prst="rect">
                      <a:avLst/>
                    </a:prstGeom>
                    <a:noFill/>
                  </pic:spPr>
                </pic:pic>
              </a:graphicData>
            </a:graphic>
          </wp:anchor>
        </w:drawing>
      </w:r>
    </w:p>
    <w:p>
      <w:pPr>
        <w:sectPr>
          <w:pgSz w:w="11900" w:h="16838" w:orient="portrait"/>
          <w:cols w:equalWidth="0" w:num="1">
            <w:col w:w="9216"/>
          </w:cols>
          <w:pgMar w:left="1304" w:top="1009" w:right="1379" w:bottom="1440" w:gutter="0" w:footer="0" w:header="0"/>
        </w:sectPr>
      </w:pPr>
    </w:p>
    <w:bookmarkStart w:id="66" w:name="page67"/>
    <w:bookmarkEnd w:id="66"/>
    <w:p>
      <w:pPr>
        <w:ind w:left="400" w:right="380"/>
        <w:spacing w:after="0" w:line="339" w:lineRule="auto"/>
        <w:rPr>
          <w:sz w:val="20"/>
          <w:szCs w:val="20"/>
          <w:color w:val="auto"/>
        </w:rPr>
      </w:pPr>
      <w:r>
        <w:rPr>
          <w:rFonts w:ascii="Arial" w:cs="Arial" w:eastAsia="Arial" w:hAnsi="Arial"/>
          <w:sz w:val="16"/>
          <w:szCs w:val="16"/>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88" w:lineRule="exact"/>
        <w:rPr>
          <w:sz w:val="20"/>
          <w:szCs w:val="20"/>
          <w:color w:val="auto"/>
        </w:rPr>
      </w:pPr>
    </w:p>
    <w:p>
      <w:pPr>
        <w:ind w:left="400" w:right="520"/>
        <w:spacing w:after="0" w:line="274" w:lineRule="auto"/>
        <w:rPr>
          <w:sz w:val="20"/>
          <w:szCs w:val="20"/>
          <w:color w:val="auto"/>
        </w:rPr>
      </w:pPr>
      <w:r>
        <w:rPr>
          <w:rFonts w:ascii="Arial" w:cs="Arial" w:eastAsia="Arial" w:hAnsi="Arial"/>
          <w:sz w:val="18"/>
          <w:szCs w:val="18"/>
          <w:color w:val="auto"/>
        </w:rPr>
        <w:t>These Standard Terms and Conditions shall inure to the benefit of and be binding upon the parties hereto and their respective permitted heirs, beneficiaries, successors, and assigns.</w:t>
      </w:r>
    </w:p>
    <w:p>
      <w:pPr>
        <w:spacing w:after="0" w:line="135" w:lineRule="exact"/>
        <w:rPr>
          <w:sz w:val="20"/>
          <w:szCs w:val="20"/>
          <w:color w:val="auto"/>
        </w:rPr>
      </w:pPr>
    </w:p>
    <w:p>
      <w:pPr>
        <w:ind w:left="400" w:right="420"/>
        <w:spacing w:after="0" w:line="274" w:lineRule="auto"/>
        <w:rPr>
          <w:sz w:val="20"/>
          <w:szCs w:val="20"/>
          <w:color w:val="auto"/>
        </w:rPr>
      </w:pPr>
      <w:r>
        <w:rPr>
          <w:rFonts w:ascii="Arial" w:cs="Arial" w:eastAsia="Arial" w:hAnsi="Arial"/>
          <w:sz w:val="18"/>
          <w:szCs w:val="18"/>
          <w:color w:val="auto"/>
        </w:rPr>
        <w:t>The Grantee acknowledges that a copy of the Plan, the Plan prospectus, and Avnet’s most recent annual report to its shareholders has been delivered or made available to the Grantee.</w:t>
      </w:r>
    </w:p>
    <w:p>
      <w:pPr>
        <w:spacing w:after="0" w:line="135" w:lineRule="exact"/>
        <w:rPr>
          <w:sz w:val="20"/>
          <w:szCs w:val="20"/>
          <w:color w:val="auto"/>
        </w:rPr>
      </w:pPr>
    </w:p>
    <w:p>
      <w:pPr>
        <w:ind w:left="400" w:right="60"/>
        <w:spacing w:after="0" w:line="273" w:lineRule="auto"/>
        <w:rPr>
          <w:sz w:val="20"/>
          <w:szCs w:val="20"/>
          <w:color w:val="auto"/>
        </w:rPr>
      </w:pPr>
      <w:r>
        <w:rPr>
          <w:rFonts w:ascii="Arial" w:cs="Arial" w:eastAsia="Arial" w:hAnsi="Arial"/>
          <w:sz w:val="17"/>
          <w:szCs w:val="17"/>
          <w:color w:val="auto"/>
        </w:rPr>
        <w:t>Nothing in the Plan, the Award Letter, these Standard Terms and Conditions, or any other instrument executed pursuant to the Plan shall confer upon the Grantee any right to continue in the Company’s employ or service or limit in any way the Company’s right to terminate the Grantee’s employment or service at any time and for any reason. As this grant was made in the absolute discretion of management and the Administrator, receipt of this Award does not confer upon the Grantee any right to future awards or participation in any equity compensation program.</w:t>
      </w:r>
    </w:p>
    <w:p>
      <w:pPr>
        <w:spacing w:after="0" w:line="137" w:lineRule="exact"/>
        <w:rPr>
          <w:sz w:val="20"/>
          <w:szCs w:val="20"/>
          <w:color w:val="auto"/>
        </w:rPr>
      </w:pPr>
    </w:p>
    <w:p>
      <w:pPr>
        <w:ind w:left="400" w:right="100"/>
        <w:spacing w:after="0" w:line="256" w:lineRule="auto"/>
        <w:rPr>
          <w:sz w:val="20"/>
          <w:szCs w:val="20"/>
          <w:color w:val="auto"/>
        </w:rPr>
      </w:pPr>
      <w:r>
        <w:rPr>
          <w:rFonts w:ascii="Arial" w:cs="Arial" w:eastAsia="Arial" w:hAnsi="Arial"/>
          <w:sz w:val="18"/>
          <w:szCs w:val="18"/>
          <w:color w:val="auto"/>
        </w:rPr>
        <w:t>Neither this Award nor any PSU Shares issuable hereunder shall be included in compensation for purposes of determining the amount payable to or on behalf of the Grantee under any pension, savings, retirement, life insurance, severance, or other employee or director benefits arrangement of the Company, unless otherwise determined by the plan sponsor.</w:t>
      </w:r>
    </w:p>
    <w:p>
      <w:pPr>
        <w:spacing w:after="0" w:line="151" w:lineRule="exact"/>
        <w:rPr>
          <w:sz w:val="20"/>
          <w:szCs w:val="20"/>
          <w:color w:val="auto"/>
        </w:rPr>
      </w:pPr>
    </w:p>
    <w:p>
      <w:pPr>
        <w:ind w:left="400"/>
        <w:spacing w:after="0" w:line="339" w:lineRule="auto"/>
        <w:rPr>
          <w:sz w:val="20"/>
          <w:szCs w:val="20"/>
          <w:color w:val="auto"/>
        </w:rPr>
      </w:pPr>
      <w:r>
        <w:rPr>
          <w:rFonts w:ascii="Arial" w:cs="Arial" w:eastAsia="Arial" w:hAnsi="Arial"/>
          <w:sz w:val="16"/>
          <w:szCs w:val="16"/>
          <w:color w:val="auto"/>
        </w:rPr>
        <w:t>The Plan, the Award Letter and these Standard Terms and Conditions shall be governed, construed, interpreted, and administered solely in accordance with the laws of the state of New York, without regard to principles of conflicts of law.</w:t>
      </w:r>
    </w:p>
    <w:p>
      <w:pPr>
        <w:spacing w:after="0" w:line="88" w:lineRule="exact"/>
        <w:rPr>
          <w:sz w:val="20"/>
          <w:szCs w:val="20"/>
          <w:color w:val="auto"/>
        </w:rPr>
      </w:pPr>
    </w:p>
    <w:p>
      <w:pPr>
        <w:ind w:left="400" w:right="140"/>
        <w:spacing w:after="0" w:line="298" w:lineRule="auto"/>
        <w:rPr>
          <w:sz w:val="20"/>
          <w:szCs w:val="20"/>
          <w:color w:val="auto"/>
        </w:rPr>
      </w:pPr>
      <w:r>
        <w:rPr>
          <w:rFonts w:ascii="Arial" w:cs="Arial" w:eastAsia="Arial" w:hAnsi="Arial"/>
          <w:sz w:val="16"/>
          <w:szCs w:val="16"/>
          <w:color w:val="auto"/>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Award Letter and these Standard Terms and Conditions. All such determinations shall be binding upon the Grantee.</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430530</wp:posOffset>
            </wp:positionV>
            <wp:extent cx="589851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98515" cy="21590"/>
                    </a:xfrm>
                    <a:prstGeom prst="rect">
                      <a:avLst/>
                    </a:prstGeom>
                    <a:noFill/>
                  </pic:spPr>
                </pic:pic>
              </a:graphicData>
            </a:graphic>
          </wp:anchor>
        </w:drawing>
      </w:r>
    </w:p>
    <w:p>
      <w:pPr>
        <w:sectPr>
          <w:pgSz w:w="11900" w:h="16838" w:orient="portrait"/>
          <w:cols w:equalWidth="0" w:num="1">
            <w:col w:w="9140"/>
          </w:cols>
          <w:pgMar w:left="1440" w:top="1009" w:right="1319" w:bottom="1440" w:gutter="0" w:footer="0" w:header="0"/>
        </w:sectPr>
      </w:pPr>
    </w:p>
    <w:bookmarkStart w:id="67" w:name="page68"/>
    <w:bookmarkEnd w:id="67"/>
    <w:p>
      <w:pPr>
        <w:jc w:val="right"/>
        <w:ind w:right="199"/>
        <w:spacing w:after="0"/>
        <w:rPr>
          <w:sz w:val="20"/>
          <w:szCs w:val="20"/>
          <w:color w:val="auto"/>
        </w:rPr>
      </w:pPr>
      <w:r>
        <w:rPr>
          <w:rFonts w:ascii="Arial" w:cs="Arial" w:eastAsia="Arial" w:hAnsi="Arial"/>
          <w:sz w:val="18"/>
          <w:szCs w:val="18"/>
          <w:b w:val="1"/>
          <w:bCs w:val="1"/>
          <w:color w:val="auto"/>
        </w:rPr>
        <w:t>Exhibit 10.3(c)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LETTER FOR NONQUALIFIED STOCK OPTION AWARD</w:t>
      </w:r>
    </w:p>
    <w:p>
      <w:pPr>
        <w:jc w:val="center"/>
        <w:spacing w:after="0" w:line="234" w:lineRule="auto"/>
        <w:rPr>
          <w:sz w:val="20"/>
          <w:szCs w:val="20"/>
          <w:color w:val="auto"/>
        </w:rPr>
      </w:pPr>
      <w:r>
        <w:rPr>
          <w:rFonts w:ascii="Arial" w:cs="Arial" w:eastAsia="Arial" w:hAnsi="Arial"/>
          <w:sz w:val="18"/>
          <w:szCs w:val="18"/>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212" w:lineRule="exact"/>
        <w:rPr>
          <w:sz w:val="20"/>
          <w:szCs w:val="20"/>
          <w:color w:val="auto"/>
        </w:rPr>
      </w:pPr>
    </w:p>
    <w:p>
      <w:pPr>
        <w:ind w:left="200" w:right="499"/>
        <w:spacing w:after="0" w:line="278" w:lineRule="auto"/>
        <w:rPr>
          <w:sz w:val="20"/>
          <w:szCs w:val="20"/>
          <w:color w:val="auto"/>
        </w:rPr>
      </w:pPr>
      <w:r>
        <w:rPr>
          <w:rFonts w:ascii="Arial" w:cs="Arial" w:eastAsia="Arial" w:hAnsi="Arial"/>
          <w:sz w:val="17"/>
          <w:szCs w:val="17"/>
          <w:color w:val="auto"/>
        </w:rPr>
        <w:t>Avnet, Inc. hereby grants to the Grantee named below an award (“</w:t>
      </w:r>
      <w:r>
        <w:rPr>
          <w:rFonts w:ascii="Arial" w:cs="Arial" w:eastAsia="Arial" w:hAnsi="Arial"/>
          <w:sz w:val="17"/>
          <w:szCs w:val="17"/>
          <w:b w:val="1"/>
          <w:bCs w:val="1"/>
          <w:color w:val="auto"/>
        </w:rPr>
        <w:t>Award</w:t>
      </w:r>
      <w:r>
        <w:rPr>
          <w:rFonts w:ascii="Arial" w:cs="Arial" w:eastAsia="Arial" w:hAnsi="Arial"/>
          <w:sz w:val="17"/>
          <w:szCs w:val="17"/>
          <w:color w:val="auto"/>
        </w:rPr>
        <w:t>”) of a nonqualified stock option specified below pursuant to the Avnet, Inc. 2021 Stock Compensation and Incentive Plan (“</w:t>
      </w:r>
      <w:r>
        <w:rPr>
          <w:rFonts w:ascii="Arial" w:cs="Arial" w:eastAsia="Arial" w:hAnsi="Arial"/>
          <w:sz w:val="17"/>
          <w:szCs w:val="17"/>
          <w:b w:val="1"/>
          <w:bCs w:val="1"/>
          <w:color w:val="auto"/>
        </w:rPr>
        <w:t>Plan</w:t>
      </w:r>
      <w:r>
        <w:rPr>
          <w:rFonts w:ascii="Arial" w:cs="Arial" w:eastAsia="Arial" w:hAnsi="Arial"/>
          <w:sz w:val="17"/>
          <w:szCs w:val="17"/>
          <w:color w:val="auto"/>
        </w:rPr>
        <w:t>”) and upon the terms and conditions set forth in this Award Letter, the Plan, and the Standard Terms and Conditions for Nonqualified Stock Option Awards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 attached to this Award Letter:</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 Date: [__________]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Grantee: [__________] (“</w:t>
      </w: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Underlying Nonqualified Stock Option: [ _____]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 per Share: [$____]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Vesting Schedule: As set forth in the Standard Terms and Conditions.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Expiration Date: [_____________]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00" w:right="439"/>
        <w:spacing w:after="0" w:line="324" w:lineRule="auto"/>
        <w:rPr>
          <w:sz w:val="20"/>
          <w:szCs w:val="20"/>
          <w:color w:val="auto"/>
        </w:rPr>
      </w:pPr>
      <w:r>
        <w:rPr>
          <w:rFonts w:ascii="Arial" w:cs="Arial" w:eastAsia="Arial" w:hAnsi="Arial"/>
          <w:sz w:val="16"/>
          <w:szCs w:val="16"/>
          <w:color w:val="auto"/>
        </w:rPr>
        <w:t>By accepting this Award, the Grantee acknowledges that he or she has received and read, and agrees that this Option shall be subject to the terms of the Plan, this Award Letter and the attached Standard Terms and Conditions.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Avnet, Inc.</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______________</w:t>
      </w:r>
    </w:p>
    <w:p>
      <w:pPr>
        <w:ind w:left="200"/>
        <w:spacing w:after="0"/>
        <w:rPr>
          <w:sz w:val="20"/>
          <w:szCs w:val="20"/>
          <w:color w:val="auto"/>
        </w:rPr>
      </w:pPr>
      <w:r>
        <w:rPr>
          <w:rFonts w:ascii="Arial" w:cs="Arial" w:eastAsia="Arial" w:hAnsi="Arial"/>
          <w:sz w:val="18"/>
          <w:szCs w:val="18"/>
          <w:color w:val="auto"/>
        </w:rPr>
        <w:t>Title: _____________</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line="234" w:lineRule="auto"/>
        <w:rPr>
          <w:sz w:val="20"/>
          <w:szCs w:val="20"/>
          <w:color w:val="auto"/>
        </w:rPr>
      </w:pPr>
      <w:r>
        <w:rPr>
          <w:rFonts w:ascii="Arial" w:cs="Arial" w:eastAsia="Arial" w:hAnsi="Arial"/>
          <w:sz w:val="18"/>
          <w:szCs w:val="18"/>
          <w:b w:val="1"/>
          <w:bCs w:val="1"/>
          <w:color w:val="auto"/>
        </w:rPr>
        <w:t>NONQUALIFIED STOCK OPTION AWARDS UNDER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2021 STOCK COMPENSATION AND INCENTIVE PLAN</w:t>
      </w:r>
    </w:p>
    <w:p>
      <w:pPr>
        <w:spacing w:after="0" w:line="200" w:lineRule="exact"/>
        <w:rPr>
          <w:sz w:val="20"/>
          <w:szCs w:val="20"/>
          <w:color w:val="auto"/>
        </w:rPr>
      </w:pPr>
    </w:p>
    <w:p>
      <w:pPr>
        <w:spacing w:after="0" w:line="203" w:lineRule="exact"/>
        <w:rPr>
          <w:sz w:val="20"/>
          <w:szCs w:val="20"/>
          <w:color w:val="auto"/>
        </w:rPr>
      </w:pPr>
    </w:p>
    <w:p>
      <w:pPr>
        <w:ind w:left="200" w:right="259"/>
        <w:spacing w:after="0" w:line="260" w:lineRule="auto"/>
        <w:rPr>
          <w:sz w:val="20"/>
          <w:szCs w:val="20"/>
          <w:color w:val="auto"/>
        </w:rPr>
      </w:pPr>
      <w:r>
        <w:rPr>
          <w:rFonts w:ascii="Arial" w:cs="Arial" w:eastAsia="Arial" w:hAnsi="Arial"/>
          <w:sz w:val="17"/>
          <w:szCs w:val="17"/>
          <w:color w:val="auto"/>
        </w:rPr>
        <w:t>These Standard Terms and Conditions for Nonqualified Stock Options (the “</w:t>
      </w:r>
      <w:r>
        <w:rPr>
          <w:rFonts w:ascii="Arial" w:cs="Arial" w:eastAsia="Arial" w:hAnsi="Arial"/>
          <w:sz w:val="17"/>
          <w:szCs w:val="17"/>
          <w:b w:val="1"/>
          <w:bCs w:val="1"/>
          <w:color w:val="auto"/>
        </w:rPr>
        <w:t>Standard Terms and Conditions</w:t>
      </w:r>
      <w:r>
        <w:rPr>
          <w:rFonts w:ascii="Arial" w:cs="Arial" w:eastAsia="Arial" w:hAnsi="Arial"/>
          <w:sz w:val="17"/>
          <w:szCs w:val="17"/>
          <w:color w:val="auto"/>
        </w:rPr>
        <w:t>”) apply to the grant (“</w:t>
      </w:r>
      <w:r>
        <w:rPr>
          <w:rFonts w:ascii="Arial" w:cs="Arial" w:eastAsia="Arial" w:hAnsi="Arial"/>
          <w:sz w:val="17"/>
          <w:szCs w:val="17"/>
          <w:b w:val="1"/>
          <w:bCs w:val="1"/>
          <w:color w:val="auto"/>
        </w:rPr>
        <w:t>Award</w:t>
      </w:r>
      <w:r>
        <w:rPr>
          <w:rFonts w:ascii="Arial" w:cs="Arial" w:eastAsia="Arial" w:hAnsi="Arial"/>
          <w:sz w:val="17"/>
          <w:szCs w:val="17"/>
          <w:color w:val="auto"/>
        </w:rPr>
        <w:t>”) of the Option on the Grant Date by Avnet, Inc. (“</w:t>
      </w:r>
      <w:r>
        <w:rPr>
          <w:rFonts w:ascii="Arial" w:cs="Arial" w:eastAsia="Arial" w:hAnsi="Arial"/>
          <w:sz w:val="17"/>
          <w:szCs w:val="17"/>
          <w:b w:val="1"/>
          <w:bCs w:val="1"/>
          <w:color w:val="auto"/>
        </w:rPr>
        <w:t>Avnet</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to the Grantee pursuant to the Award Letter and the Avnet, Inc. 2021 Stock Compensation and Incentive Plan (“</w:t>
      </w:r>
      <w:r>
        <w:rPr>
          <w:rFonts w:ascii="Arial" w:cs="Arial" w:eastAsia="Arial" w:hAnsi="Arial"/>
          <w:sz w:val="17"/>
          <w:szCs w:val="17"/>
          <w:b w:val="1"/>
          <w:bCs w:val="1"/>
          <w:color w:val="auto"/>
        </w:rPr>
        <w:t>Plan</w:t>
      </w:r>
      <w:r>
        <w:rPr>
          <w:rFonts w:ascii="Arial" w:cs="Arial" w:eastAsia="Arial" w:hAnsi="Arial"/>
          <w:sz w:val="17"/>
          <w:szCs w:val="17"/>
          <w:color w:val="auto"/>
        </w:rPr>
        <w:t>”). These Standard Terms and Conditions apply to any nonqualified stock options granted under the Plan. For purposes of these Standard Terms and Conditions, the “Company” refers to Avnet and its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ind w:left="840" w:hanging="645"/>
        <w:spacing w:after="0"/>
        <w:tabs>
          <w:tab w:leader="none" w:pos="8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TERMS OF OPTIONS</w:t>
      </w:r>
    </w:p>
    <w:p>
      <w:pPr>
        <w:spacing w:after="0" w:line="179" w:lineRule="exact"/>
        <w:rPr>
          <w:sz w:val="20"/>
          <w:szCs w:val="20"/>
          <w:color w:val="auto"/>
        </w:rPr>
      </w:pPr>
    </w:p>
    <w:p>
      <w:pPr>
        <w:ind w:left="740" w:right="339"/>
        <w:spacing w:after="0" w:line="241" w:lineRule="auto"/>
        <w:rPr>
          <w:sz w:val="20"/>
          <w:szCs w:val="20"/>
          <w:color w:val="auto"/>
        </w:rPr>
      </w:pPr>
      <w:r>
        <w:rPr>
          <w:rFonts w:ascii="Arial" w:cs="Arial" w:eastAsia="Arial" w:hAnsi="Arial"/>
          <w:sz w:val="18"/>
          <w:szCs w:val="18"/>
          <w:color w:val="auto"/>
        </w:rPr>
        <w:t>Provided that the Grantee has accepted these Standard Terms and Conditions on or before [Acceptance Date], the Company has granted to the Grantee an Award of an Option to purchase up to the number of shares of Avnet’s common stock (the “</w:t>
      </w:r>
      <w:r>
        <w:rPr>
          <w:rFonts w:ascii="Arial" w:cs="Arial" w:eastAsia="Arial" w:hAnsi="Arial"/>
          <w:sz w:val="18"/>
          <w:szCs w:val="18"/>
          <w:b w:val="1"/>
          <w:bCs w:val="1"/>
          <w:color w:val="auto"/>
        </w:rPr>
        <w:t>Stock</w:t>
      </w:r>
      <w:r>
        <w:rPr>
          <w:rFonts w:ascii="Arial" w:cs="Arial" w:eastAsia="Arial" w:hAnsi="Arial"/>
          <w:sz w:val="18"/>
          <w:szCs w:val="18"/>
          <w:color w:val="auto"/>
        </w:rPr>
        <w:t>”) underlying the Option, at the Exercise Price per share, as provided in the Award Letter, subject to the terms and conditions set forth in these Standard Terms and Conditions and the Plan.</w:t>
      </w:r>
    </w:p>
    <w:p>
      <w:pPr>
        <w:spacing w:after="0" w:line="149" w:lineRule="exact"/>
        <w:rPr>
          <w:sz w:val="20"/>
          <w:szCs w:val="20"/>
          <w:color w:val="auto"/>
        </w:rPr>
      </w:pPr>
    </w:p>
    <w:p>
      <w:pPr>
        <w:ind w:left="840" w:hanging="645"/>
        <w:spacing w:after="0"/>
        <w:tabs>
          <w:tab w:leader="none" w:pos="8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NON-QUALIFIED STOCK OPTION</w:t>
      </w:r>
    </w:p>
    <w:p>
      <w:pPr>
        <w:spacing w:after="0" w:line="179" w:lineRule="exact"/>
        <w:rPr>
          <w:sz w:val="20"/>
          <w:szCs w:val="20"/>
          <w:color w:val="auto"/>
        </w:rPr>
      </w:pPr>
    </w:p>
    <w:p>
      <w:pPr>
        <w:ind w:left="740" w:right="399"/>
        <w:spacing w:after="0" w:line="261" w:lineRule="auto"/>
        <w:rPr>
          <w:sz w:val="20"/>
          <w:szCs w:val="20"/>
          <w:color w:val="auto"/>
        </w:rPr>
      </w:pPr>
      <w:r>
        <w:rPr>
          <w:rFonts w:ascii="Arial" w:cs="Arial" w:eastAsia="Arial" w:hAnsi="Arial"/>
          <w:sz w:val="18"/>
          <w:szCs w:val="18"/>
          <w:color w:val="auto"/>
        </w:rPr>
        <w:t>The Option is not intended to be an incentive stock option under Section 422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31" w:lineRule="exact"/>
        <w:rPr>
          <w:sz w:val="20"/>
          <w:szCs w:val="20"/>
          <w:color w:val="auto"/>
        </w:rPr>
      </w:pPr>
    </w:p>
    <w:p>
      <w:pPr>
        <w:ind w:left="840" w:hanging="645"/>
        <w:spacing w:after="0"/>
        <w:tabs>
          <w:tab w:leader="none" w:pos="8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EXERCISE OF OPTION</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Option shall not be exercisable as of the Grant Date. After the Grant Date, the Option shall be exercisable</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only to the extent that it becomes vested in accordance with the vesting schedule set forth in</w:t>
      </w:r>
    </w:p>
    <w:p>
      <w:pPr>
        <w:ind w:left="800"/>
        <w:spacing w:after="0"/>
        <w:rPr>
          <w:sz w:val="20"/>
          <w:szCs w:val="20"/>
          <w:color w:val="auto"/>
        </w:rPr>
      </w:pPr>
      <w:r>
        <w:rPr>
          <w:rFonts w:ascii="Arial" w:cs="Arial" w:eastAsia="Arial" w:hAnsi="Arial"/>
          <w:sz w:val="16"/>
          <w:szCs w:val="16"/>
          <w:color w:val="auto"/>
        </w:rPr>
        <w:t>[________________] and subject to the provisions of these Standard Terms and Conditions and the Plan. If</w:t>
      </w:r>
    </w:p>
    <w:p>
      <w:pPr>
        <w:spacing w:after="0" w:line="18" w:lineRule="exact"/>
        <w:rPr>
          <w:sz w:val="20"/>
          <w:szCs w:val="20"/>
          <w:color w:val="auto"/>
        </w:rPr>
      </w:pPr>
    </w:p>
    <w:p>
      <w:pPr>
        <w:ind w:left="800" w:right="219"/>
        <w:spacing w:after="0" w:line="243" w:lineRule="auto"/>
        <w:rPr>
          <w:sz w:val="20"/>
          <w:szCs w:val="20"/>
          <w:color w:val="auto"/>
        </w:rPr>
      </w:pPr>
      <w:r>
        <w:rPr>
          <w:rFonts w:ascii="Arial" w:cs="Arial" w:eastAsia="Arial" w:hAnsi="Arial"/>
          <w:sz w:val="18"/>
          <w:szCs w:val="18"/>
          <w:color w:val="auto"/>
        </w:rPr>
        <w:t>the Grantee’s employment with the Company terminates, the Option shall cease to be exercisable, except to the extent set forth in Section 4 below.</w:t>
      </w:r>
    </w:p>
    <w:p>
      <w:pPr>
        <w:spacing w:after="0" w:line="150" w:lineRule="exact"/>
        <w:rPr>
          <w:sz w:val="20"/>
          <w:szCs w:val="20"/>
          <w:color w:val="auto"/>
        </w:rPr>
      </w:pPr>
    </w:p>
    <w:p>
      <w:pPr>
        <w:ind w:left="800" w:right="359"/>
        <w:spacing w:after="0" w:line="243" w:lineRule="auto"/>
        <w:rPr>
          <w:sz w:val="20"/>
          <w:szCs w:val="20"/>
          <w:color w:val="auto"/>
        </w:rPr>
      </w:pPr>
      <w:r>
        <w:rPr>
          <w:rFonts w:ascii="Arial" w:cs="Arial" w:eastAsia="Arial" w:hAnsi="Arial"/>
          <w:sz w:val="18"/>
          <w:szCs w:val="18"/>
          <w:color w:val="auto"/>
        </w:rPr>
        <w:t>The vesting period and/or exercisability of an Option may be adjusted by the Administrator to reflect the decreased level of employment during any period in which the Grantee is on an approved leave of absence or is employed on a less than full time basis, provided that the Administrator may take into consideration any accounting consequences to the Company.</w:t>
      </w:r>
    </w:p>
    <w:p>
      <w:pPr>
        <w:spacing w:after="0" w:line="151" w:lineRule="exact"/>
        <w:rPr>
          <w:sz w:val="20"/>
          <w:szCs w:val="20"/>
          <w:color w:val="auto"/>
        </w:rPr>
      </w:pPr>
    </w:p>
    <w:p>
      <w:pPr>
        <w:ind w:left="800" w:right="439"/>
        <w:spacing w:after="0" w:line="248" w:lineRule="auto"/>
        <w:rPr>
          <w:sz w:val="20"/>
          <w:szCs w:val="20"/>
          <w:color w:val="auto"/>
        </w:rPr>
      </w:pPr>
      <w:r>
        <w:rPr>
          <w:rFonts w:ascii="Arial" w:cs="Arial" w:eastAsia="Arial" w:hAnsi="Arial"/>
          <w:sz w:val="18"/>
          <w:szCs w:val="18"/>
          <w:color w:val="auto"/>
        </w:rPr>
        <w:t>To exercise the Option (or any part thereof), the Grantee shall provide notice to the Company, in a form approved by the Company, specifying the number of whole shares of Stock Grantee wishes to purchase, and shall pay the Exercise Price for such Stock.</w:t>
      </w:r>
    </w:p>
    <w:p>
      <w:pPr>
        <w:spacing w:after="0" w:line="146" w:lineRule="exact"/>
        <w:rPr>
          <w:sz w:val="20"/>
          <w:szCs w:val="20"/>
          <w:color w:val="auto"/>
        </w:rPr>
      </w:pPr>
    </w:p>
    <w:p>
      <w:pPr>
        <w:ind w:left="800" w:right="259"/>
        <w:spacing w:after="0" w:line="284" w:lineRule="auto"/>
        <w:rPr>
          <w:sz w:val="20"/>
          <w:szCs w:val="20"/>
          <w:color w:val="auto"/>
        </w:rPr>
      </w:pPr>
      <w:r>
        <w:rPr>
          <w:rFonts w:ascii="Arial" w:cs="Arial" w:eastAsia="Arial" w:hAnsi="Arial"/>
          <w:sz w:val="16"/>
          <w:szCs w:val="16"/>
          <w:color w:val="auto"/>
        </w:rPr>
        <w:t>The Exercise Price and/or any required tax withholding may be paid in cash or by certified or cashiers' check, by “cashless” exercise methods such as direct share withholding, or by such other method (including transfer of Stock previously owned by the Grantee, or broker-assisted Regulation T simultaneous exercise and sale), as the Administrator permits in its sole discretion. Fractional shares may not be exercised.</w:t>
      </w:r>
    </w:p>
    <w:p>
      <w:pPr>
        <w:spacing w:after="0" w:line="119" w:lineRule="exact"/>
        <w:rPr>
          <w:sz w:val="20"/>
          <w:szCs w:val="20"/>
          <w:color w:val="auto"/>
        </w:rPr>
      </w:pPr>
    </w:p>
    <w:p>
      <w:pPr>
        <w:ind w:left="800" w:right="279"/>
        <w:spacing w:after="0" w:line="254" w:lineRule="auto"/>
        <w:rPr>
          <w:sz w:val="20"/>
          <w:szCs w:val="20"/>
          <w:color w:val="auto"/>
        </w:rPr>
      </w:pPr>
      <w:r>
        <w:rPr>
          <w:rFonts w:ascii="Arial" w:cs="Arial" w:eastAsia="Arial" w:hAnsi="Arial"/>
          <w:sz w:val="17"/>
          <w:szCs w:val="17"/>
          <w:color w:val="auto"/>
        </w:rPr>
        <w:t>Stock will be issued as soon as practical after exercise; provided, however, that the Company shall not be obligated to deliver the Stock if (a) the Grantee has not satisfied all applicable tax withholding obligations, (b) the Stock is not properly registered or not subject to an applicable exemption therefrom, (c) the Stock is not listed on the stock exchanges on which the Stock is otherwise listed, or (d) the Company determines that the exercisability of the Option or the delivery of Stock hereunder would violate any federal or state securities or other applicable laws. The Option may be rescinded if necessary to ensure compliance with federal, state or other applicable laws. The Grantee shall not acquire or have any rights as a shareholder of Avnet until the Stock issuable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9" w:name="page70"/>
    <w:bookmarkEnd w:id="69"/>
    <w:p>
      <w:pPr>
        <w:ind w:left="800"/>
        <w:spacing w:after="0"/>
        <w:rPr>
          <w:sz w:val="20"/>
          <w:szCs w:val="20"/>
          <w:color w:val="auto"/>
        </w:rPr>
      </w:pPr>
      <w:r>
        <w:rPr>
          <w:rFonts w:ascii="Arial" w:cs="Arial" w:eastAsia="Arial" w:hAnsi="Arial"/>
          <w:sz w:val="17"/>
          <w:szCs w:val="17"/>
          <w:color w:val="auto"/>
        </w:rPr>
        <w:t>upon exercise of the Option are actually issued and delivered to the Grantee in accordance herewith.</w:t>
      </w:r>
    </w:p>
    <w:p>
      <w:pPr>
        <w:spacing w:after="0" w:line="182" w:lineRule="exact"/>
        <w:rPr>
          <w:sz w:val="20"/>
          <w:szCs w:val="20"/>
          <w:color w:val="auto"/>
        </w:rPr>
      </w:pPr>
    </w:p>
    <w:p>
      <w:pPr>
        <w:ind w:left="840" w:hanging="645"/>
        <w:spacing w:after="0"/>
        <w:tabs>
          <w:tab w:leader="none" w:pos="8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OPTION</w:t>
      </w:r>
    </w:p>
    <w:p>
      <w:pPr>
        <w:spacing w:after="0" w:line="179" w:lineRule="exact"/>
        <w:rPr>
          <w:sz w:val="20"/>
          <w:szCs w:val="20"/>
          <w:color w:val="auto"/>
        </w:rPr>
      </w:pPr>
    </w:p>
    <w:p>
      <w:pPr>
        <w:ind w:left="740" w:right="499"/>
        <w:spacing w:after="0" w:line="261" w:lineRule="auto"/>
        <w:rPr>
          <w:sz w:val="20"/>
          <w:szCs w:val="20"/>
          <w:color w:val="auto"/>
        </w:rPr>
      </w:pPr>
      <w:r>
        <w:rPr>
          <w:rFonts w:ascii="Arial" w:cs="Arial" w:eastAsia="Arial" w:hAnsi="Arial"/>
          <w:sz w:val="18"/>
          <w:szCs w:val="18"/>
          <w:color w:val="auto"/>
        </w:rPr>
        <w:t>Except as provided in this Section 4, the Option shall expire and cease to be exercisable as of the Expiration Date.</w:t>
      </w:r>
    </w:p>
    <w:p>
      <w:pPr>
        <w:spacing w:after="0" w:line="135" w:lineRule="exact"/>
        <w:rPr>
          <w:sz w:val="20"/>
          <w:szCs w:val="20"/>
          <w:color w:val="auto"/>
        </w:rPr>
      </w:pPr>
    </w:p>
    <w:p>
      <w:pPr>
        <w:ind w:left="1280" w:right="399" w:hanging="545"/>
        <w:spacing w:after="0" w:line="248"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Grantee’s employment or service with the Company terminates for any reason other than death, disability, or Retirement (as defined below), the Option shall immediately expire and cease to be exercisable.</w:t>
      </w:r>
    </w:p>
    <w:p>
      <w:pPr>
        <w:spacing w:after="0" w:line="145" w:lineRule="exact"/>
        <w:rPr>
          <w:rFonts w:ascii="Arial" w:cs="Arial" w:eastAsia="Arial" w:hAnsi="Arial"/>
          <w:sz w:val="18"/>
          <w:szCs w:val="18"/>
          <w:color w:val="auto"/>
        </w:rPr>
      </w:pPr>
    </w:p>
    <w:p>
      <w:pPr>
        <w:ind w:left="1280" w:right="219" w:hanging="545"/>
        <w:spacing w:after="0" w:line="252" w:lineRule="auto"/>
        <w:tabs>
          <w:tab w:leader="none" w:pos="12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the Grantee’s employment or service with the Company terminates by reason of Retirement (as defined below) on or after the one-year anniversary of the Grant Date and before the Option has become fully vested, the Option shall continue to vest as set forth in the Award Letter and these Standard Terms and Conditions and, subject to the special rules that apply in the event of death (as set forth in Paragraph D below), shall remain exercisable until the earlier of (i) the fifth anniversary of the termination event or (ii) the Expiration Date (unless such Option shall sooner be surrendered for termination or expire). For purposes hereof, a cessation of employment will be treated as a “Retirement” if (and only if) (a) the cessation of employment occurs after (I) the Grantee has attained at least age 55 and been credited with at least five years of service with the Company and (II) the combination of the Grantee’s age plus years of service is no less than 65; and (b) the Grantee has signed a non-competition agreement in a form acceptable to the Company.</w:t>
      </w:r>
    </w:p>
    <w:p>
      <w:pPr>
        <w:spacing w:after="0" w:line="148" w:lineRule="exact"/>
        <w:rPr>
          <w:rFonts w:ascii="Arial" w:cs="Arial" w:eastAsia="Arial" w:hAnsi="Arial"/>
          <w:sz w:val="17"/>
          <w:szCs w:val="17"/>
          <w:color w:val="auto"/>
        </w:rPr>
      </w:pPr>
    </w:p>
    <w:p>
      <w:pPr>
        <w:ind w:left="1280" w:right="219" w:hanging="545"/>
        <w:spacing w:after="0" w:line="268" w:lineRule="auto"/>
        <w:tabs>
          <w:tab w:leader="none" w:pos="12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Grantee’s employment with or service to the Company terminates or ceases by reason of disability (as determined by the Administrator in its sole discretion), the Option shall remain exercisable only to the extent vested as of such cessation of employment or service and shall cease to be exercisable upon the earlier of (i) three months after the date of the termination event or (ii) the Expiration Date (unless such Option shall sooner be surrendered for termination or expire). Unless the provisions of Section</w:t>
      </w:r>
    </w:p>
    <w:p>
      <w:pPr>
        <w:ind w:left="1280" w:right="399"/>
        <w:spacing w:after="0" w:line="243" w:lineRule="auto"/>
        <w:rPr>
          <w:rFonts w:ascii="Arial" w:cs="Arial" w:eastAsia="Arial" w:hAnsi="Arial"/>
          <w:sz w:val="16"/>
          <w:szCs w:val="16"/>
          <w:color w:val="auto"/>
        </w:rPr>
      </w:pPr>
      <w:r>
        <w:rPr>
          <w:rFonts w:ascii="Arial" w:cs="Arial" w:eastAsia="Arial" w:hAnsi="Arial"/>
          <w:sz w:val="18"/>
          <w:szCs w:val="18"/>
          <w:color w:val="auto"/>
        </w:rPr>
        <w:t>4.B apply, the provisions of this Section 4.C shall apply to a Grantee who has not provided services to the Company for twelve consecutive months due to long-term disability leave.</w:t>
      </w:r>
    </w:p>
    <w:p>
      <w:pPr>
        <w:spacing w:after="0" w:line="149" w:lineRule="exact"/>
        <w:rPr>
          <w:rFonts w:ascii="Arial" w:cs="Arial" w:eastAsia="Arial" w:hAnsi="Arial"/>
          <w:sz w:val="16"/>
          <w:szCs w:val="16"/>
          <w:color w:val="auto"/>
        </w:rPr>
      </w:pPr>
    </w:p>
    <w:p>
      <w:pPr>
        <w:ind w:left="1280" w:right="319" w:hanging="545"/>
        <w:spacing w:after="0" w:line="279" w:lineRule="auto"/>
        <w:tabs>
          <w:tab w:leader="none" w:pos="12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Grantee’s employment or service with the Company terminates by reason of death or the Grantee dies within five years after Retirement from the Company (as defined above), the Option shall be exercisable only to the extent vested as of the date of death and shall cease to be exercisable upon the earliest of (i) the first anniversary of the Grantee’s death, (ii) the Expiration Date, or (iii) the fifth anniversary of the Grantee’s termination date, as set forth in Paragraph B, above.</w:t>
      </w:r>
    </w:p>
    <w:p>
      <w:pPr>
        <w:spacing w:after="0" w:line="118" w:lineRule="exact"/>
        <w:rPr>
          <w:rFonts w:ascii="Arial" w:cs="Arial" w:eastAsia="Arial" w:hAnsi="Arial"/>
          <w:sz w:val="16"/>
          <w:szCs w:val="16"/>
          <w:color w:val="auto"/>
        </w:rPr>
      </w:pPr>
    </w:p>
    <w:p>
      <w:pPr>
        <w:ind w:left="840" w:hanging="645"/>
        <w:spacing w:after="0"/>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OPTION SHARES</w:t>
      </w:r>
    </w:p>
    <w:p>
      <w:pPr>
        <w:spacing w:after="0" w:line="179" w:lineRule="exact"/>
        <w:rPr>
          <w:sz w:val="20"/>
          <w:szCs w:val="20"/>
          <w:color w:val="auto"/>
        </w:rPr>
      </w:pPr>
    </w:p>
    <w:p>
      <w:pPr>
        <w:ind w:left="800" w:right="359"/>
        <w:spacing w:after="0" w:line="261" w:lineRule="auto"/>
        <w:rPr>
          <w:sz w:val="20"/>
          <w:szCs w:val="20"/>
          <w:color w:val="auto"/>
        </w:rPr>
      </w:pPr>
      <w:r>
        <w:rPr>
          <w:rFonts w:ascii="Arial" w:cs="Arial" w:eastAsia="Arial" w:hAnsi="Arial"/>
          <w:sz w:val="18"/>
          <w:szCs w:val="18"/>
          <w:color w:val="auto"/>
        </w:rPr>
        <w:t>The Company may impose such restrictions, conditions, and limitations as it determines appropriate as to the timing and manner of any resales by the Grantee or other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0" w:name="page71"/>
    <w:bookmarkEnd w:id="70"/>
    <w:p>
      <w:pPr>
        <w:ind w:left="800" w:right="219"/>
        <w:spacing w:after="0" w:line="258" w:lineRule="auto"/>
        <w:rPr>
          <w:sz w:val="20"/>
          <w:szCs w:val="20"/>
          <w:color w:val="auto"/>
        </w:rPr>
      </w:pPr>
      <w:r>
        <w:rPr>
          <w:rFonts w:ascii="Arial" w:cs="Arial" w:eastAsia="Arial" w:hAnsi="Arial"/>
          <w:sz w:val="17"/>
          <w:szCs w:val="17"/>
          <w:color w:val="auto"/>
        </w:rPr>
        <w:t>subsequent transfers by the Grantee of any Stock issued as a result of the exercise of the Option, including (a) restrictions under an insider trading policy, (b) restrictions designed to delay and/or coordinate the timing and manner of sales by the Grantee and other holders of awards granted under the Plan, (c) requiring acknowledgment and acceptance of these Standard Terms and Conditions, and (d) restrictions as to the use of a specified brokerage firm for such resales or other transfers.</w:t>
      </w:r>
    </w:p>
    <w:p>
      <w:pPr>
        <w:spacing w:after="0" w:line="136" w:lineRule="exact"/>
        <w:rPr>
          <w:sz w:val="20"/>
          <w:szCs w:val="20"/>
          <w:color w:val="auto"/>
        </w:rPr>
      </w:pPr>
    </w:p>
    <w:p>
      <w:pPr>
        <w:ind w:left="840" w:hanging="645"/>
        <w:spacing w:after="0"/>
        <w:tabs>
          <w:tab w:leader="none" w:pos="8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79" w:lineRule="exact"/>
        <w:rPr>
          <w:sz w:val="20"/>
          <w:szCs w:val="20"/>
          <w:color w:val="auto"/>
        </w:rPr>
      </w:pPr>
    </w:p>
    <w:p>
      <w:pPr>
        <w:ind w:left="800" w:right="319"/>
        <w:spacing w:after="0" w:line="253" w:lineRule="auto"/>
        <w:rPr>
          <w:sz w:val="20"/>
          <w:szCs w:val="20"/>
          <w:color w:val="auto"/>
        </w:rPr>
      </w:pPr>
      <w:r>
        <w:rPr>
          <w:rFonts w:ascii="Arial" w:cs="Arial" w:eastAsia="Arial" w:hAnsi="Arial"/>
          <w:sz w:val="17"/>
          <w:szCs w:val="17"/>
          <w:color w:val="auto"/>
        </w:rPr>
        <w:t>The Grantee acknowledges that the delivery of Stock following exercise of the Option will generally give rise to a withholding tax obligation, and that the issuance of Stock hereunder is conditioned on timely satisfying such withholding obligation. The Grantee shall make arrangements satisfactory to the Company for satisfying such withholding obligations. The Administrator, in its sole discretion, may allow the Grantee to satisfy all or part of such tax obligation through withholding of Stock otherwise issuable to the Grantee; the Grantee transferring to Avnet nonrestricted Stock previously owned by the Grantee; and/or allowing the Grantee to engage in a broker-assisted Regulation T simultaneous exercise and sale. No provision of the Plan or these Standard Terms and Conditions shall be construed to transfer to the Company or any of its affiliates any responsibility of the Grantee to pay any income, employment, excise, or other taxes attributable to the grant or exercise of the Option or the disposition of the underlying Stock.</w:t>
      </w:r>
    </w:p>
    <w:p>
      <w:pPr>
        <w:spacing w:after="0" w:line="140" w:lineRule="exact"/>
        <w:rPr>
          <w:sz w:val="20"/>
          <w:szCs w:val="20"/>
          <w:color w:val="auto"/>
        </w:rPr>
      </w:pPr>
    </w:p>
    <w:p>
      <w:pPr>
        <w:ind w:left="840" w:hanging="645"/>
        <w:spacing w:after="0"/>
        <w:tabs>
          <w:tab w:leader="none" w:pos="8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OPTION</w:t>
      </w:r>
    </w:p>
    <w:p>
      <w:pPr>
        <w:spacing w:after="0" w:line="179" w:lineRule="exact"/>
        <w:rPr>
          <w:sz w:val="20"/>
          <w:szCs w:val="20"/>
          <w:color w:val="auto"/>
        </w:rPr>
      </w:pPr>
    </w:p>
    <w:p>
      <w:pPr>
        <w:ind w:left="740" w:right="259"/>
        <w:spacing w:after="0" w:line="241" w:lineRule="auto"/>
        <w:rPr>
          <w:sz w:val="20"/>
          <w:szCs w:val="20"/>
          <w:color w:val="auto"/>
        </w:rPr>
      </w:pPr>
      <w:r>
        <w:rPr>
          <w:rFonts w:ascii="Arial" w:cs="Arial" w:eastAsia="Arial" w:hAnsi="Arial"/>
          <w:sz w:val="18"/>
          <w:szCs w:val="18"/>
          <w:color w:val="auto"/>
        </w:rPr>
        <w:t>Except to the extent permitted by Section 4.D and this Section 7, the Option shall be exercisable during the Grantee's lifetime only by the Grantee. The Option may not be sold, transferred, pledged, assigned, exchanged, encumbered, or otherwise alienated or hypothecated, except (i) by testamentary disposition by the Grantee or the laws of descent and distribution, or (ii) to the extent otherwise permitted by the Plan, if (and only if) approved by the Administrator in its sole discretion.</w:t>
      </w:r>
    </w:p>
    <w:p>
      <w:pPr>
        <w:spacing w:after="0" w:line="149" w:lineRule="exact"/>
        <w:rPr>
          <w:sz w:val="20"/>
          <w:szCs w:val="20"/>
          <w:color w:val="auto"/>
        </w:rPr>
      </w:pPr>
    </w:p>
    <w:p>
      <w:pPr>
        <w:ind w:left="840" w:hanging="645"/>
        <w:spacing w:after="0"/>
        <w:tabs>
          <w:tab w:leader="none" w:pos="8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THE PLAN; DEFINED TERMS; ENTIRE AGREEMENT</w:t>
      </w:r>
    </w:p>
    <w:p>
      <w:pPr>
        <w:spacing w:after="0" w:line="179" w:lineRule="exact"/>
        <w:rPr>
          <w:sz w:val="20"/>
          <w:szCs w:val="20"/>
          <w:color w:val="auto"/>
        </w:rPr>
      </w:pPr>
    </w:p>
    <w:p>
      <w:pPr>
        <w:jc w:val="both"/>
        <w:ind w:left="740" w:right="279"/>
        <w:spacing w:after="0" w:line="284" w:lineRule="auto"/>
        <w:rPr>
          <w:sz w:val="20"/>
          <w:szCs w:val="20"/>
          <w:color w:val="auto"/>
        </w:rPr>
      </w:pPr>
      <w:r>
        <w:rPr>
          <w:rFonts w:ascii="Arial" w:cs="Arial" w:eastAsia="Arial" w:hAnsi="Arial"/>
          <w:sz w:val="16"/>
          <w:szCs w:val="16"/>
          <w:color w:val="auto"/>
        </w:rPr>
        <w:t>In addition to these Standard Terms and Conditions, the Option shall be subject to the terms of the Plan and the Award Letter, which are incorporated into these Standard Terms and Conditions by this reference. Capitalized terms not otherwise defined herein shall have the meaning set forth in the Plan and Award Letter, and the rules of construction set forth in the Plan shall also apply to these Standard Terms and Conditions.</w:t>
      </w:r>
    </w:p>
    <w:p>
      <w:pPr>
        <w:spacing w:after="0" w:line="119" w:lineRule="exact"/>
        <w:rPr>
          <w:sz w:val="20"/>
          <w:szCs w:val="20"/>
          <w:color w:val="auto"/>
        </w:rPr>
      </w:pPr>
    </w:p>
    <w:p>
      <w:pPr>
        <w:ind w:left="740" w:right="779"/>
        <w:spacing w:after="0" w:line="248" w:lineRule="auto"/>
        <w:rPr>
          <w:sz w:val="20"/>
          <w:szCs w:val="20"/>
          <w:color w:val="auto"/>
        </w:rPr>
      </w:pPr>
      <w:r>
        <w:rPr>
          <w:rFonts w:ascii="Arial" w:cs="Arial" w:eastAsia="Arial" w:hAnsi="Arial"/>
          <w:sz w:val="18"/>
          <w:szCs w:val="18"/>
          <w:color w:val="auto"/>
        </w:rPr>
        <w:t>The Award Letter, these Standard Terms and Conditions and the Plan constitute the entire understanding between the Grantee and the Company regarding the Option. Any prior agreements, commitments, or negotiations concerning the Option are superseded.</w:t>
      </w:r>
    </w:p>
    <w:p>
      <w:pPr>
        <w:spacing w:after="0" w:line="142" w:lineRule="exact"/>
        <w:rPr>
          <w:sz w:val="20"/>
          <w:szCs w:val="20"/>
          <w:color w:val="auto"/>
        </w:rPr>
      </w:pPr>
    </w:p>
    <w:p>
      <w:pPr>
        <w:ind w:left="840" w:hanging="645"/>
        <w:spacing w:after="0"/>
        <w:tabs>
          <w:tab w:leader="none" w:pos="8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INTEREST IN STOCK SUBJECT TO OPTION</w:t>
      </w:r>
    </w:p>
    <w:p>
      <w:pPr>
        <w:spacing w:after="0" w:line="352"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1" w:name="page72"/>
    <w:bookmarkEnd w:id="71"/>
    <w:p>
      <w:pPr>
        <w:ind w:left="740" w:right="279"/>
        <w:spacing w:after="0" w:line="253" w:lineRule="auto"/>
        <w:rPr>
          <w:sz w:val="20"/>
          <w:szCs w:val="20"/>
          <w:color w:val="auto"/>
        </w:rPr>
      </w:pPr>
      <w:r>
        <w:rPr>
          <w:rFonts w:ascii="Arial" w:cs="Arial" w:eastAsia="Arial" w:hAnsi="Arial"/>
          <w:sz w:val="17"/>
          <w:szCs w:val="17"/>
          <w:color w:val="auto"/>
        </w:rPr>
        <w:t>Neither the Grantee (individually or as a member of a group) nor any beneficiary or other person claiming under or through the Grantee shall have any right, title, interest, or privilege in or to any Stock allocated or reserved for the purpose of the Plan or subject to the Award Letter and these Standard Terms and Conditions, except as to such Stock, if any, that have been issued to such person upon exercise of the Option or any part of it. Nothing in the Plan, these Standard Terms and Conditions, the Award Letter or any other instrument executed pursuant to the Plan shall confer upon the Grantee any right to continue in the Company's employ or service or limit in any way the Company's right to terminate the Grantee's employment or service at any time and for any reason. As this grant was made in the absolute discretion of management and the Administrator, receipt of this Option does not confer upon the Grantee any right to future awards or participation in any equity compensation program.</w:t>
      </w:r>
    </w:p>
    <w:p>
      <w:pPr>
        <w:spacing w:after="0" w:line="143" w:lineRule="exact"/>
        <w:rPr>
          <w:sz w:val="20"/>
          <w:szCs w:val="20"/>
          <w:color w:val="auto"/>
        </w:rPr>
      </w:pPr>
    </w:p>
    <w:p>
      <w:pPr>
        <w:ind w:left="740" w:right="239"/>
        <w:spacing w:after="0" w:line="243" w:lineRule="auto"/>
        <w:rPr>
          <w:sz w:val="20"/>
          <w:szCs w:val="20"/>
          <w:color w:val="auto"/>
        </w:rPr>
      </w:pPr>
      <w:r>
        <w:rPr>
          <w:rFonts w:ascii="Arial" w:cs="Arial" w:eastAsia="Arial" w:hAnsi="Arial"/>
          <w:sz w:val="18"/>
          <w:szCs w:val="18"/>
          <w:color w:val="auto"/>
        </w:rPr>
        <w:t>Neither the Award of this Option nor any Stock issuable pursuant thereto shall be included in compensation for purposes of determining the amount payable to or on behalf of the Grantee under any pension, savings, retirement, life insurance, or other employee or director benefits arrangement of the Company, unless otherwise determined by the plan sponsor.</w:t>
      </w:r>
    </w:p>
    <w:p>
      <w:pPr>
        <w:spacing w:after="0" w:line="147" w:lineRule="exact"/>
        <w:rPr>
          <w:sz w:val="20"/>
          <w:szCs w:val="20"/>
          <w:color w:val="auto"/>
        </w:rPr>
      </w:pPr>
    </w:p>
    <w:p>
      <w:pPr>
        <w:ind w:left="840" w:hanging="645"/>
        <w:spacing w:after="0"/>
        <w:tabs>
          <w:tab w:leader="none" w:pos="8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9" w:lineRule="exact"/>
        <w:rPr>
          <w:sz w:val="20"/>
          <w:szCs w:val="20"/>
          <w:color w:val="auto"/>
        </w:rPr>
      </w:pPr>
    </w:p>
    <w:p>
      <w:pPr>
        <w:ind w:left="660" w:right="459"/>
        <w:spacing w:after="0" w:line="241" w:lineRule="auto"/>
        <w:rPr>
          <w:sz w:val="20"/>
          <w:szCs w:val="20"/>
          <w:color w:val="auto"/>
        </w:rPr>
      </w:pPr>
      <w:r>
        <w:rPr>
          <w:rFonts w:ascii="Arial" w:cs="Arial" w:eastAsia="Arial" w:hAnsi="Arial"/>
          <w:sz w:val="18"/>
          <w:szCs w:val="18"/>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53" w:lineRule="exact"/>
        <w:rPr>
          <w:sz w:val="20"/>
          <w:szCs w:val="20"/>
          <w:color w:val="auto"/>
        </w:rPr>
      </w:pPr>
    </w:p>
    <w:p>
      <w:pPr>
        <w:ind w:left="660" w:right="259"/>
        <w:spacing w:after="0" w:line="248" w:lineRule="auto"/>
        <w:rPr>
          <w:sz w:val="20"/>
          <w:szCs w:val="20"/>
          <w:color w:val="auto"/>
        </w:rPr>
      </w:pPr>
      <w:r>
        <w:rPr>
          <w:rFonts w:ascii="Arial" w:cs="Arial" w:eastAsia="Arial" w:hAnsi="Arial"/>
          <w:sz w:val="18"/>
          <w:szCs w:val="18"/>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91" w:lineRule="exact"/>
        <w:rPr>
          <w:sz w:val="20"/>
          <w:szCs w:val="20"/>
          <w:color w:val="auto"/>
        </w:rPr>
      </w:pPr>
    </w:p>
    <w:p>
      <w:pPr>
        <w:ind w:left="660" w:right="499"/>
        <w:spacing w:after="0" w:line="274" w:lineRule="auto"/>
        <w:rPr>
          <w:sz w:val="20"/>
          <w:szCs w:val="20"/>
          <w:color w:val="auto"/>
        </w:rPr>
      </w:pPr>
      <w:r>
        <w:rPr>
          <w:rFonts w:ascii="Arial" w:cs="Arial" w:eastAsia="Arial" w:hAnsi="Arial"/>
          <w:sz w:val="18"/>
          <w:szCs w:val="18"/>
          <w:color w:val="auto"/>
        </w:rPr>
        <w:t>These Standard Terms and Conditions shall inure to the benefit of and be binding upon the parties hereto and their respective permitted heirs, beneficiaries, successors, and assigns.</w:t>
      </w:r>
    </w:p>
    <w:p>
      <w:pPr>
        <w:spacing w:after="0" w:line="146" w:lineRule="exact"/>
        <w:rPr>
          <w:sz w:val="20"/>
          <w:szCs w:val="20"/>
          <w:color w:val="auto"/>
        </w:rPr>
      </w:pPr>
    </w:p>
    <w:p>
      <w:pPr>
        <w:ind w:left="660" w:right="259"/>
        <w:spacing w:after="0" w:line="261" w:lineRule="auto"/>
        <w:rPr>
          <w:sz w:val="20"/>
          <w:szCs w:val="20"/>
          <w:color w:val="auto"/>
        </w:rPr>
      </w:pPr>
      <w:r>
        <w:rPr>
          <w:rFonts w:ascii="Arial" w:cs="Arial" w:eastAsia="Arial" w:hAnsi="Arial"/>
          <w:sz w:val="18"/>
          <w:szCs w:val="18"/>
          <w:color w:val="auto"/>
        </w:rPr>
        <w:t>The Grantee acknowledges that a copy of the Plan, the Plan prospectus, and Avnet's most recent annual report to its shareholders has been delivered or made available to the Grantee.</w:t>
      </w:r>
    </w:p>
    <w:p>
      <w:pPr>
        <w:spacing w:after="0" w:line="135" w:lineRule="exact"/>
        <w:rPr>
          <w:sz w:val="20"/>
          <w:szCs w:val="20"/>
          <w:color w:val="auto"/>
        </w:rPr>
      </w:pPr>
    </w:p>
    <w:p>
      <w:pPr>
        <w:ind w:left="660" w:right="319"/>
        <w:spacing w:after="0" w:line="248" w:lineRule="auto"/>
        <w:rPr>
          <w:sz w:val="20"/>
          <w:szCs w:val="20"/>
          <w:color w:val="auto"/>
        </w:rPr>
      </w:pPr>
      <w:r>
        <w:rPr>
          <w:rFonts w:ascii="Arial" w:cs="Arial" w:eastAsia="Arial" w:hAnsi="Arial"/>
          <w:sz w:val="18"/>
          <w:szCs w:val="18"/>
          <w:color w:val="auto"/>
        </w:rPr>
        <w:t>The Plan, the Award Letter, and these Standard Terms and Conditions shall be governed, construed, interpreted, and administered solely in accordance with the laws of the state of New York, without regard to principles of conflicts of law.</w:t>
      </w:r>
    </w:p>
    <w:p>
      <w:pPr>
        <w:spacing w:after="0" w:line="146" w:lineRule="exact"/>
        <w:rPr>
          <w:sz w:val="20"/>
          <w:szCs w:val="20"/>
          <w:color w:val="auto"/>
        </w:rPr>
      </w:pPr>
    </w:p>
    <w:p>
      <w:pPr>
        <w:ind w:left="660" w:right="319"/>
        <w:spacing w:after="0" w:line="243" w:lineRule="auto"/>
        <w:rPr>
          <w:sz w:val="20"/>
          <w:szCs w:val="20"/>
          <w:color w:val="auto"/>
        </w:rPr>
      </w:pPr>
      <w:r>
        <w:rPr>
          <w:rFonts w:ascii="Arial" w:cs="Arial" w:eastAsia="Arial" w:hAnsi="Arial"/>
          <w:sz w:val="18"/>
          <w:szCs w:val="18"/>
          <w:color w:val="auto"/>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Award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2" w:name="page73"/>
    <w:bookmarkEnd w:id="72"/>
    <w:p>
      <w:pPr>
        <w:ind w:left="660" w:right="539"/>
        <w:spacing w:after="0" w:line="260" w:lineRule="auto"/>
        <w:rPr>
          <w:sz w:val="20"/>
          <w:szCs w:val="20"/>
          <w:color w:val="auto"/>
        </w:rPr>
      </w:pPr>
      <w:r>
        <w:rPr>
          <w:rFonts w:ascii="Arial" w:cs="Arial" w:eastAsia="Arial" w:hAnsi="Arial"/>
          <w:sz w:val="18"/>
          <w:szCs w:val="18"/>
          <w:color w:val="auto"/>
        </w:rPr>
        <w:t>Letter, the Plan and these Standard Terms and Conditions. All such determinations shall be binding upon the Grantee.</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413385</wp:posOffset>
            </wp:positionV>
            <wp:extent cx="546989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69890" cy="215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I, Philip R. Gallagher, certify that:</w:t>
      </w:r>
    </w:p>
    <w:p>
      <w:pPr>
        <w:spacing w:after="0" w:line="131" w:lineRule="exact"/>
        <w:rPr>
          <w:sz w:val="20"/>
          <w:szCs w:val="20"/>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Avnet, Inc.;</w:t>
      </w:r>
    </w:p>
    <w:p>
      <w:pPr>
        <w:spacing w:after="0" w:line="131" w:lineRule="exact"/>
        <w:rPr>
          <w:rFonts w:ascii="Arial" w:cs="Arial" w:eastAsia="Arial" w:hAnsi="Arial"/>
          <w:sz w:val="15"/>
          <w:szCs w:val="15"/>
          <w:color w:val="auto"/>
        </w:rPr>
      </w:pPr>
    </w:p>
    <w:p>
      <w:pPr>
        <w:ind w:left="540" w:right="340" w:hanging="277"/>
        <w:spacing w:after="0" w:line="407" w:lineRule="auto"/>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3"/>
          <w:szCs w:val="13"/>
          <w:color w:val="auto"/>
        </w:rPr>
      </w:pPr>
    </w:p>
    <w:p>
      <w:pPr>
        <w:ind w:left="540" w:right="420" w:hanging="277"/>
        <w:spacing w:after="0" w:line="321"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5"/>
          <w:szCs w:val="15"/>
          <w:color w:val="auto"/>
        </w:rPr>
      </w:pPr>
    </w:p>
    <w:p>
      <w:pPr>
        <w:ind w:left="540" w:right="140" w:hanging="277"/>
        <w:spacing w:after="0" w:line="309"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5"/>
          <w:szCs w:val="15"/>
          <w:color w:val="auto"/>
        </w:rPr>
      </w:pPr>
    </w:p>
    <w:p>
      <w:pPr>
        <w:ind w:left="800" w:right="40" w:hanging="267"/>
        <w:spacing w:after="0" w:line="309"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5"/>
          <w:szCs w:val="15"/>
          <w:color w:val="auto"/>
        </w:rPr>
      </w:pPr>
    </w:p>
    <w:p>
      <w:pPr>
        <w:ind w:left="800" w:right="180" w:hanging="267"/>
        <w:spacing w:after="0" w:line="309"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5"/>
          <w:szCs w:val="15"/>
          <w:color w:val="auto"/>
        </w:rPr>
      </w:pPr>
    </w:p>
    <w:p>
      <w:pPr>
        <w:ind w:left="800" w:right="220" w:hanging="267"/>
        <w:spacing w:after="0" w:line="321"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5"/>
          <w:szCs w:val="15"/>
          <w:color w:val="auto"/>
        </w:rPr>
      </w:pPr>
    </w:p>
    <w:p>
      <w:pPr>
        <w:jc w:val="both"/>
        <w:ind w:left="800" w:right="180" w:hanging="267"/>
        <w:spacing w:after="0" w:line="309"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5"/>
          <w:szCs w:val="15"/>
          <w:color w:val="auto"/>
        </w:rPr>
      </w:pPr>
    </w:p>
    <w:p>
      <w:pPr>
        <w:ind w:left="540" w:right="80" w:hanging="277"/>
        <w:spacing w:after="0" w:line="321"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5" w:lineRule="exact"/>
        <w:rPr>
          <w:rFonts w:ascii="Arial" w:cs="Arial" w:eastAsia="Arial" w:hAnsi="Arial"/>
          <w:sz w:val="15"/>
          <w:szCs w:val="15"/>
          <w:color w:val="auto"/>
        </w:rPr>
      </w:pPr>
    </w:p>
    <w:p>
      <w:pPr>
        <w:ind w:left="800" w:right="380" w:hanging="267"/>
        <w:spacing w:after="0" w:line="321"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5"/>
          <w:szCs w:val="15"/>
          <w:color w:val="auto"/>
        </w:rPr>
      </w:pPr>
    </w:p>
    <w:p>
      <w:pPr>
        <w:ind w:left="800" w:right="20" w:hanging="267"/>
        <w:spacing w:after="0" w:line="321" w:lineRule="auto"/>
        <w:tabs>
          <w:tab w:leader="none" w:pos="8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Date: April 29, 2022</w:t>
      </w:r>
    </w:p>
    <w:p>
      <w:pPr>
        <w:spacing w:after="0" w:line="255"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26035</wp:posOffset>
            </wp:positionV>
            <wp:extent cx="32562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6280" cy="6985"/>
                    </a:xfrm>
                    <a:prstGeom prst="rect">
                      <a:avLst/>
                    </a:prstGeom>
                    <a:noFill/>
                  </pic:spPr>
                </pic:pic>
              </a:graphicData>
            </a:graphic>
          </wp:anchor>
        </w:drawing>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Philip R. Gallagher</w:t>
      </w:r>
    </w:p>
    <w:p>
      <w:pPr>
        <w:spacing w:after="0" w:line="6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546735</wp:posOffset>
            </wp:positionV>
            <wp:extent cx="651256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12560" cy="21590"/>
                    </a:xfrm>
                    <a:prstGeom prst="rect">
                      <a:avLst/>
                    </a:prstGeom>
                    <a:noFill/>
                  </pic:spPr>
                </pic:pic>
              </a:graphicData>
            </a:graphic>
          </wp:anchor>
        </w:drawing>
      </w:r>
    </w:p>
    <w:p>
      <w:pPr>
        <w:sectPr>
          <w:pgSz w:w="11900" w:h="16838" w:orient="portrait"/>
          <w:cols w:equalWidth="0" w:num="1">
            <w:col w:w="10260"/>
          </w:cols>
          <w:pgMar w:left="820" w:top="361" w:right="819" w:bottom="1440" w:gutter="0" w:footer="0" w:header="0"/>
        </w:sectPr>
      </w:pPr>
    </w:p>
    <w:bookmarkStart w:id="74" w:name="page75"/>
    <w:bookmarkEnd w:id="74"/>
    <w:p>
      <w:pPr>
        <w:jc w:val="right"/>
        <w:spacing w:after="0"/>
        <w:rPr>
          <w:sz w:val="20"/>
          <w:szCs w:val="20"/>
          <w:color w:val="auto"/>
        </w:rPr>
      </w:pPr>
      <w:r>
        <w:rPr>
          <w:rFonts w:ascii="Arial" w:cs="Arial" w:eastAsia="Arial" w:hAnsi="Arial"/>
          <w:sz w:val="15"/>
          <w:szCs w:val="15"/>
          <w:b w:val="1"/>
          <w:bCs w:val="1"/>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I, Thomas Liguori, certify that:</w:t>
      </w:r>
    </w:p>
    <w:p>
      <w:pPr>
        <w:spacing w:after="0" w:line="131" w:lineRule="exact"/>
        <w:rPr>
          <w:sz w:val="20"/>
          <w:szCs w:val="20"/>
          <w:color w:val="auto"/>
        </w:rPr>
      </w:pPr>
    </w:p>
    <w:p>
      <w:pPr>
        <w:ind w:left="540" w:hanging="277"/>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Avnet, Inc.;</w:t>
      </w:r>
    </w:p>
    <w:p>
      <w:pPr>
        <w:spacing w:after="0" w:line="131" w:lineRule="exact"/>
        <w:rPr>
          <w:rFonts w:ascii="Arial" w:cs="Arial" w:eastAsia="Arial" w:hAnsi="Arial"/>
          <w:sz w:val="15"/>
          <w:szCs w:val="15"/>
          <w:color w:val="auto"/>
        </w:rPr>
      </w:pPr>
    </w:p>
    <w:p>
      <w:pPr>
        <w:ind w:left="540" w:right="340" w:hanging="277"/>
        <w:spacing w:after="0" w:line="407" w:lineRule="auto"/>
        <w:tabs>
          <w:tab w:leader="none" w:pos="5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3"/>
          <w:szCs w:val="13"/>
          <w:color w:val="auto"/>
        </w:rPr>
      </w:pPr>
    </w:p>
    <w:p>
      <w:pPr>
        <w:ind w:left="540" w:right="420" w:hanging="277"/>
        <w:spacing w:after="0" w:line="321" w:lineRule="auto"/>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5"/>
          <w:szCs w:val="15"/>
          <w:color w:val="auto"/>
        </w:rPr>
      </w:pPr>
    </w:p>
    <w:p>
      <w:pPr>
        <w:ind w:left="540" w:right="140" w:hanging="277"/>
        <w:spacing w:after="0" w:line="309" w:lineRule="auto"/>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5"/>
          <w:szCs w:val="15"/>
          <w:color w:val="auto"/>
        </w:rPr>
      </w:pPr>
    </w:p>
    <w:p>
      <w:pPr>
        <w:ind w:left="800" w:right="40" w:hanging="267"/>
        <w:spacing w:after="0" w:line="309"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5"/>
          <w:szCs w:val="15"/>
          <w:color w:val="auto"/>
        </w:rPr>
      </w:pPr>
    </w:p>
    <w:p>
      <w:pPr>
        <w:ind w:left="800" w:right="180" w:hanging="267"/>
        <w:spacing w:after="0" w:line="309"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5"/>
          <w:szCs w:val="15"/>
          <w:color w:val="auto"/>
        </w:rPr>
      </w:pPr>
    </w:p>
    <w:p>
      <w:pPr>
        <w:ind w:left="800" w:right="220" w:hanging="267"/>
        <w:spacing w:after="0" w:line="321"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5"/>
          <w:szCs w:val="15"/>
          <w:color w:val="auto"/>
        </w:rPr>
      </w:pPr>
    </w:p>
    <w:p>
      <w:pPr>
        <w:jc w:val="both"/>
        <w:ind w:left="800" w:right="180" w:hanging="267"/>
        <w:spacing w:after="0" w:line="309"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5"/>
          <w:szCs w:val="15"/>
          <w:color w:val="auto"/>
        </w:rPr>
      </w:pPr>
    </w:p>
    <w:p>
      <w:pPr>
        <w:ind w:left="540" w:right="80" w:hanging="277"/>
        <w:spacing w:after="0" w:line="321" w:lineRule="auto"/>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5" w:lineRule="exact"/>
        <w:rPr>
          <w:rFonts w:ascii="Arial" w:cs="Arial" w:eastAsia="Arial" w:hAnsi="Arial"/>
          <w:sz w:val="15"/>
          <w:szCs w:val="15"/>
          <w:color w:val="auto"/>
        </w:rPr>
      </w:pPr>
    </w:p>
    <w:p>
      <w:pPr>
        <w:ind w:left="800" w:right="380" w:hanging="267"/>
        <w:spacing w:after="0" w:line="321"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5"/>
          <w:szCs w:val="15"/>
          <w:color w:val="auto"/>
        </w:rPr>
      </w:pPr>
    </w:p>
    <w:p>
      <w:pPr>
        <w:ind w:left="800" w:right="20" w:hanging="267"/>
        <w:spacing w:after="0" w:line="321"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Date: April 29, 2022</w:t>
      </w:r>
    </w:p>
    <w:p>
      <w:pPr>
        <w:spacing w:after="0" w:line="21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11430</wp:posOffset>
            </wp:positionV>
            <wp:extent cx="322770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Thomas Liguori</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651256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2560" cy="21590"/>
                    </a:xfrm>
                    <a:prstGeom prst="rect">
                      <a:avLst/>
                    </a:prstGeom>
                    <a:noFill/>
                  </pic:spPr>
                </pic:pic>
              </a:graphicData>
            </a:graphic>
          </wp:anchor>
        </w:drawing>
      </w:r>
    </w:p>
    <w:p>
      <w:pPr>
        <w:sectPr>
          <w:pgSz w:w="11900" w:h="16838" w:orient="portrait"/>
          <w:cols w:equalWidth="0" w:num="1">
            <w:col w:w="10260"/>
          </w:cols>
          <w:pgMar w:left="820" w:top="361" w:right="819" w:bottom="1440" w:gutter="0" w:footer="0" w:header="0"/>
        </w:sectPr>
      </w:pPr>
    </w:p>
    <w:bookmarkStart w:id="75" w:name="page76"/>
    <w:bookmarkEnd w:id="75"/>
    <w:p>
      <w:pPr>
        <w:jc w:val="right"/>
        <w:ind w:right="39"/>
        <w:spacing w:after="0"/>
        <w:rPr>
          <w:sz w:val="20"/>
          <w:szCs w:val="20"/>
          <w:color w:val="auto"/>
        </w:rPr>
      </w:pPr>
      <w:r>
        <w:rPr>
          <w:rFonts w:ascii="Arial" w:cs="Arial" w:eastAsia="Arial" w:hAnsi="Arial"/>
          <w:sz w:val="15"/>
          <w:szCs w:val="15"/>
          <w:b w:val="1"/>
          <w:bCs w:val="1"/>
          <w:color w:val="auto"/>
        </w:rPr>
        <w:t>Exhibit 32.1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Executive Officer Pursuant to 18 U.S.C. Section 1350</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135" w:lineRule="exact"/>
        <w:rPr>
          <w:sz w:val="20"/>
          <w:szCs w:val="20"/>
          <w:color w:val="auto"/>
        </w:rPr>
      </w:pPr>
    </w:p>
    <w:p>
      <w:pPr>
        <w:ind w:left="20" w:right="299"/>
        <w:spacing w:after="0" w:line="321" w:lineRule="auto"/>
        <w:rPr>
          <w:sz w:val="20"/>
          <w:szCs w:val="20"/>
          <w:color w:val="auto"/>
        </w:rPr>
      </w:pPr>
      <w:r>
        <w:rPr>
          <w:rFonts w:ascii="Arial" w:cs="Arial" w:eastAsia="Arial" w:hAnsi="Arial"/>
          <w:sz w:val="15"/>
          <w:szCs w:val="15"/>
          <w:color w:val="auto"/>
        </w:rPr>
        <w:t>In connection with the Quarterly Report on Form 10-Q for the period ended April 2, 2022 (the “Report”), I, Philip R. Gallagher, Chief Executive Officer of Avnet, Inc. (the “Company”) hereby certify that:</w:t>
      </w:r>
    </w:p>
    <w:p>
      <w:pPr>
        <w:spacing w:after="0" w:line="56" w:lineRule="exact"/>
        <w:rPr>
          <w:sz w:val="20"/>
          <w:szCs w:val="20"/>
          <w:color w:val="auto"/>
        </w:rPr>
      </w:pPr>
    </w:p>
    <w:p>
      <w:pPr>
        <w:ind w:left="560" w:hanging="261"/>
        <w:spacing w:after="0"/>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42" w:lineRule="exact"/>
        <w:rPr>
          <w:rFonts w:ascii="Arial" w:cs="Arial" w:eastAsia="Arial" w:hAnsi="Arial"/>
          <w:sz w:val="14"/>
          <w:szCs w:val="14"/>
          <w:color w:val="auto"/>
        </w:rPr>
      </w:pPr>
    </w:p>
    <w:p>
      <w:pPr>
        <w:ind w:left="560" w:right="399" w:hanging="261"/>
        <w:spacing w:after="0" w:line="321" w:lineRule="auto"/>
        <w:tabs>
          <w:tab w:leader="none" w:pos="5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April 29, 2022</w:t>
      </w: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11430</wp:posOffset>
            </wp:positionV>
            <wp:extent cx="27990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9080" cy="6985"/>
                    </a:xfrm>
                    <a:prstGeom prst="rect">
                      <a:avLst/>
                    </a:prstGeom>
                    <a:noFill/>
                  </pic:spPr>
                </pic:pic>
              </a:graphicData>
            </a:graphic>
          </wp:anchor>
        </w:drawing>
      </w:r>
    </w:p>
    <w:p>
      <w:pPr>
        <w:spacing w:after="0" w:line="10"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Philip R. Gallagher</w:t>
      </w:r>
    </w:p>
    <w:p>
      <w:pPr>
        <w:spacing w:after="0" w:line="41"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561340</wp:posOffset>
            </wp:positionV>
            <wp:extent cx="568388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83885" cy="215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76" w:name="page77"/>
    <w:bookmarkEnd w:id="76"/>
    <w:p>
      <w:pPr>
        <w:jc w:val="right"/>
        <w:ind w:right="39"/>
        <w:spacing w:after="0"/>
        <w:rPr>
          <w:sz w:val="20"/>
          <w:szCs w:val="20"/>
          <w:color w:val="auto"/>
        </w:rPr>
      </w:pPr>
      <w:r>
        <w:rPr>
          <w:rFonts w:ascii="Arial" w:cs="Arial" w:eastAsia="Arial" w:hAnsi="Arial"/>
          <w:sz w:val="15"/>
          <w:szCs w:val="15"/>
          <w:b w:val="1"/>
          <w:bCs w:val="1"/>
          <w:color w:val="auto"/>
        </w:rPr>
        <w:t>Exhibit 32.2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Financial Officer Pursuant to 18 U.S.C. Section 1350</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135" w:lineRule="exact"/>
        <w:rPr>
          <w:sz w:val="20"/>
          <w:szCs w:val="20"/>
          <w:color w:val="auto"/>
        </w:rPr>
      </w:pPr>
    </w:p>
    <w:p>
      <w:pPr>
        <w:ind w:left="20" w:right="59"/>
        <w:spacing w:after="0" w:line="321" w:lineRule="auto"/>
        <w:rPr>
          <w:sz w:val="20"/>
          <w:szCs w:val="20"/>
          <w:color w:val="auto"/>
        </w:rPr>
      </w:pPr>
      <w:r>
        <w:rPr>
          <w:rFonts w:ascii="Arial" w:cs="Arial" w:eastAsia="Arial" w:hAnsi="Arial"/>
          <w:sz w:val="15"/>
          <w:szCs w:val="15"/>
          <w:color w:val="auto"/>
        </w:rPr>
        <w:t>In connection with the Quarterly Report on Form 10-Q for the period ended April 2, 2022 (the “Report”), I, Thomas Liguori, Chief Financial Officer of Avnet, Inc. (the “Company”) hereby certify that:</w:t>
      </w:r>
    </w:p>
    <w:p>
      <w:pPr>
        <w:spacing w:after="0" w:line="56" w:lineRule="exact"/>
        <w:rPr>
          <w:sz w:val="20"/>
          <w:szCs w:val="20"/>
          <w:color w:val="auto"/>
        </w:rPr>
      </w:pPr>
    </w:p>
    <w:p>
      <w:pPr>
        <w:ind w:left="560" w:hanging="261"/>
        <w:spacing w:after="0"/>
        <w:tabs>
          <w:tab w:leader="none" w:pos="5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42" w:lineRule="exact"/>
        <w:rPr>
          <w:rFonts w:ascii="Arial" w:cs="Arial" w:eastAsia="Arial" w:hAnsi="Arial"/>
          <w:sz w:val="14"/>
          <w:szCs w:val="14"/>
          <w:color w:val="auto"/>
        </w:rPr>
      </w:pPr>
    </w:p>
    <w:p>
      <w:pPr>
        <w:ind w:left="560" w:right="399" w:hanging="261"/>
        <w:spacing w:after="0" w:line="321" w:lineRule="auto"/>
        <w:tabs>
          <w:tab w:leader="none" w:pos="5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April 29, 2022</w:t>
      </w:r>
    </w:p>
    <w:p>
      <w:pPr>
        <w:spacing w:after="0" w:line="210"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11430</wp:posOffset>
            </wp:positionV>
            <wp:extent cx="281368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13685" cy="6985"/>
                    </a:xfrm>
                    <a:prstGeom prst="rect">
                      <a:avLst/>
                    </a:prstGeom>
                    <a:noFill/>
                  </pic:spPr>
                </pic:pic>
              </a:graphicData>
            </a:graphic>
          </wp:anchor>
        </w:drawing>
      </w:r>
    </w:p>
    <w:p>
      <w:pPr>
        <w:spacing w:after="0" w:line="10"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Thomas Liguori</w:t>
      </w:r>
    </w:p>
    <w:p>
      <w:pPr>
        <w:spacing w:after="0" w:line="4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561340</wp:posOffset>
            </wp:positionV>
            <wp:extent cx="568388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3885" cy="21590"/>
                    </a:xfrm>
                    <a:prstGeom prst="rect">
                      <a:avLst/>
                    </a:prstGeom>
                    <a:noFill/>
                  </pic:spPr>
                </pic:pic>
              </a:graphicData>
            </a:graphic>
          </wp:anchor>
        </w:drawing>
      </w:r>
    </w:p>
    <w:sectPr>
      <w:pgSz w:w="11900" w:h="16838" w:orient="portrait"/>
      <w:cols w:equalWidth="0" w:num="1">
        <w:col w:w="9019"/>
      </w:cols>
      <w:pgMar w:left="14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3"/>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0"/>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2"/>
    </w:lvl>
  </w:abstractNum>
  <w:abstractNum w:abstractNumId="15">
    <w:nsid w:val="5C482A97"/>
    <w:multiLevelType w:val="hybridMultilevel"/>
    <w:lvl w:ilvl="0">
      <w:lvlJc w:val="left"/>
      <w:lvlText w:val="(%1)"/>
      <w:numFmt w:val="lowerRoman"/>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2"/>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2"/>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2"/>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decimal"/>
      <w:start w:val="3"/>
    </w:lvl>
  </w:abstractNum>
  <w:abstractNum w:abstractNumId="33">
    <w:nsid w:val="6DE91B18"/>
    <w:multiLevelType w:val="hybridMultilevel"/>
    <w:lvl w:ilvl="0">
      <w:lvlJc w:val="left"/>
      <w:lvlText w:val="%1."/>
      <w:numFmt w:val="decimal"/>
      <w:start w:val="4"/>
    </w:lvl>
  </w:abstractNum>
  <w:abstractNum w:abstractNumId="34">
    <w:nsid w:val="38437FDB"/>
    <w:multiLevelType w:val="hybridMultilevel"/>
    <w:lvl w:ilvl="0">
      <w:lvlJc w:val="left"/>
      <w:lvlText w:val="%1."/>
      <w:numFmt w:val="decimal"/>
      <w:start w:val="5"/>
    </w:lvl>
  </w:abstractNum>
  <w:abstractNum w:abstractNumId="35">
    <w:nsid w:val="7644A45C"/>
    <w:multiLevelType w:val="hybridMultilevel"/>
    <w:lvl w:ilvl="0">
      <w:lvlJc w:val="left"/>
      <w:lvlText w:val="%1."/>
      <w:numFmt w:val="decimal"/>
      <w:start w:val="6"/>
    </w:lvl>
  </w:abstractNum>
  <w:abstractNum w:abstractNumId="36">
    <w:nsid w:val="32FFF902"/>
    <w:multiLevelType w:val="hybridMultilevel"/>
    <w:lvl w:ilvl="0">
      <w:lvlJc w:val="left"/>
      <w:lvlText w:val="%1."/>
      <w:numFmt w:val="decimal"/>
      <w:start w:val="7"/>
    </w:lvl>
  </w:abstractNum>
  <w:abstractNum w:abstractNumId="37">
    <w:nsid w:val="684A481A"/>
    <w:multiLevelType w:val="hybridMultilevel"/>
    <w:lvl w:ilvl="0">
      <w:lvlJc w:val="left"/>
      <w:lvlText w:val="%1."/>
      <w:numFmt w:val="decimal"/>
      <w:start w:val="8"/>
    </w:lvl>
  </w:abstractNum>
  <w:abstractNum w:abstractNumId="38">
    <w:nsid w:val="579478FE"/>
    <w:multiLevelType w:val="hybridMultilevel"/>
    <w:lvl w:ilvl="0">
      <w:lvlJc w:val="left"/>
      <w:lvlText w:val="%1."/>
      <w:numFmt w:val="decimal"/>
      <w:start w:val="9"/>
    </w:lvl>
  </w:abstractNum>
  <w:abstractNum w:abstractNumId="39">
    <w:nsid w:val="749ABB43"/>
    <w:multiLevelType w:val="hybridMultilevel"/>
    <w:lvl w:ilvl="0">
      <w:lvlJc w:val="left"/>
      <w:lvlText w:val="%1."/>
      <w:numFmt w:val="decimal"/>
      <w:start w:val="10"/>
    </w:lvl>
  </w:abstractNum>
  <w:abstractNum w:abstractNumId="40">
    <w:nsid w:val="3DC240FB"/>
    <w:multiLevelType w:val="hybridMultilevel"/>
    <w:lvl w:ilvl="0">
      <w:lvlJc w:val="left"/>
      <w:lvlText w:val="%1."/>
      <w:numFmt w:val="decimal"/>
      <w:start w:val="1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decimal"/>
      <w:start w:val="7"/>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2"/>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decimal"/>
      <w:start w:val="4"/>
    </w:lvl>
  </w:abstractNum>
  <w:abstractNum w:abstractNumId="49">
    <w:nsid w:val="23F9C13C"/>
    <w:multiLevelType w:val="hybridMultilevel"/>
    <w:lvl w:ilvl="0">
      <w:lvlJc w:val="left"/>
      <w:lvlText w:val="%1"/>
      <w:numFmt w:val="decimal"/>
      <w:start w:val="1"/>
    </w:lvl>
    <w:lvl w:ilvl="1">
      <w:lvlJc w:val="left"/>
      <w:lvlText w:val="%2."/>
      <w:numFmt w:val="upperLetter"/>
      <w:start w:val="1"/>
    </w:lvl>
  </w:abstractNum>
  <w:abstractNum w:abstractNumId="50">
    <w:nsid w:val="649BB77C"/>
    <w:multiLevelType w:val="hybridMultilevel"/>
    <w:lvl w:ilvl="0">
      <w:lvlJc w:val="left"/>
      <w:lvlText w:val="%1."/>
      <w:numFmt w:val="decimal"/>
      <w:start w:val="5"/>
    </w:lvl>
    <w:lvl w:ilvl="1">
      <w:lvlJc w:val="left"/>
      <w:lvlText w:val="%2"/>
      <w:numFmt w:val="upperLetter"/>
      <w:start w:val="1"/>
    </w:lvl>
  </w:abstractNum>
  <w:abstractNum w:abstractNumId="51">
    <w:nsid w:val="275AC794"/>
    <w:multiLevelType w:val="hybridMultilevel"/>
    <w:lvl w:ilvl="0">
      <w:lvlJc w:val="left"/>
      <w:lvlText w:val="%1."/>
      <w:numFmt w:val="decimal"/>
      <w:start w:val="6"/>
    </w:lvl>
  </w:abstractNum>
  <w:abstractNum w:abstractNumId="52">
    <w:nsid w:val="39386575"/>
    <w:multiLevelType w:val="hybridMultilevel"/>
    <w:lvl w:ilvl="0">
      <w:lvlJc w:val="left"/>
      <w:lvlText w:val="%1."/>
      <w:numFmt w:val="decimal"/>
      <w:start w:val="7"/>
    </w:lvl>
  </w:abstractNum>
  <w:abstractNum w:abstractNumId="53">
    <w:nsid w:val="1CF10FD8"/>
    <w:multiLevelType w:val="hybridMultilevel"/>
    <w:lvl w:ilvl="0">
      <w:lvlJc w:val="left"/>
      <w:lvlText w:val="%1."/>
      <w:numFmt w:val="decimal"/>
      <w:start w:val="8"/>
    </w:lvl>
  </w:abstractNum>
  <w:abstractNum w:abstractNumId="54">
    <w:nsid w:val="180115BE"/>
    <w:multiLevelType w:val="hybridMultilevel"/>
    <w:lvl w:ilvl="0">
      <w:lvlJc w:val="left"/>
      <w:lvlText w:val="%1."/>
      <w:numFmt w:val="decimal"/>
      <w:start w:val="9"/>
    </w:lvl>
  </w:abstractNum>
  <w:abstractNum w:abstractNumId="55">
    <w:nsid w:val="235BA861"/>
    <w:multiLevelType w:val="hybridMultilevel"/>
    <w:lvl w:ilvl="0">
      <w:lvlJc w:val="left"/>
      <w:lvlText w:val="%1."/>
      <w:numFmt w:val="decimal"/>
      <w:start w:val="10"/>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2022-04-29T05:25:46Z</dcterms:created>
  <dcterms:modified xsi:type="dcterms:W3CDTF">2022-04-29T05:25:46Z</dcterms:modified>
</cp:coreProperties>
</file>