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408940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452120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114935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p>
    <w:p>
      <w:pPr>
        <w:ind w:left="500" w:hanging="405"/>
        <w:spacing w:after="0"/>
        <w:tabs>
          <w:tab w:leader="none" w:pos="50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June 27, 2020</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66" w:lineRule="exact"/>
        <w:rPr>
          <w:sz w:val="24"/>
          <w:szCs w:val="24"/>
          <w:color w:val="auto"/>
        </w:rPr>
      </w:pPr>
    </w:p>
    <w:p>
      <w:pPr>
        <w:ind w:left="500" w:hanging="398"/>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220" w:type="dxa"/>
            <w:vAlign w:val="bottom"/>
            <w:gridSpan w:val="3"/>
          </w:tcPr>
          <w:p>
            <w:pPr>
              <w:ind w:left="320"/>
              <w:spacing w:after="0"/>
              <w:rPr>
                <w:sz w:val="20"/>
                <w:szCs w:val="20"/>
                <w:color w:val="auto"/>
              </w:rPr>
            </w:pPr>
            <w:r>
              <w:rPr>
                <w:rFonts w:ascii="Arial" w:cs="Arial" w:eastAsia="Arial" w:hAnsi="Arial"/>
                <w:sz w:val="14"/>
                <w:szCs w:val="14"/>
                <w:b w:val="1"/>
                <w:bCs w:val="1"/>
                <w:color w:val="auto"/>
                <w:w w:val="95"/>
              </w:rPr>
              <w:t>For the transition period from</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to</w:t>
            </w:r>
          </w:p>
        </w:tc>
        <w:tc>
          <w:tcPr>
            <w:tcW w:w="720" w:type="dxa"/>
            <w:vAlign w:val="bottom"/>
            <w:tcBorders>
              <w:bottom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40" w:type="dxa"/>
            <w:vAlign w:val="bottom"/>
            <w:gridSpan w:val="7"/>
          </w:tcPr>
          <w:p>
            <w:pPr>
              <w:jc w:val="center"/>
              <w:ind w:right="3688"/>
              <w:spacing w:after="0"/>
              <w:rPr>
                <w:sz w:val="20"/>
                <w:szCs w:val="20"/>
                <w:color w:val="auto"/>
              </w:rPr>
            </w:pPr>
            <w:r>
              <w:rPr>
                <w:rFonts w:ascii="Arial" w:cs="Arial" w:eastAsia="Arial" w:hAnsi="Arial"/>
                <w:sz w:val="14"/>
                <w:szCs w:val="14"/>
                <w:b w:val="1"/>
                <w:bCs w:val="1"/>
                <w:color w:val="auto"/>
                <w:w w:val="92"/>
              </w:rPr>
              <w:t>Commission file number 1-4224</w:t>
            </w:r>
          </w:p>
        </w:tc>
        <w:tc>
          <w:tcPr>
            <w:tcW w:w="0" w:type="dxa"/>
            <w:vAlign w:val="bottom"/>
          </w:tcPr>
          <w:p>
            <w:pPr>
              <w:spacing w:after="0"/>
              <w:rPr>
                <w:sz w:val="1"/>
                <w:szCs w:val="1"/>
                <w:color w:val="auto"/>
              </w:rPr>
            </w:pPr>
          </w:p>
        </w:tc>
      </w:tr>
      <w:tr>
        <w:trPr>
          <w:trHeight w:val="301"/>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left="595"/>
              <w:spacing w:after="0"/>
              <w:rPr>
                <w:sz w:val="20"/>
                <w:szCs w:val="20"/>
                <w:color w:val="auto"/>
              </w:rPr>
            </w:pPr>
            <w:r>
              <w:rPr>
                <w:rFonts w:ascii="Arial" w:cs="Arial" w:eastAsia="Arial" w:hAnsi="Arial"/>
                <w:sz w:val="25"/>
                <w:szCs w:val="25"/>
                <w:b w:val="1"/>
                <w:bCs w:val="1"/>
                <w:color w:val="auto"/>
                <w:w w:val="91"/>
              </w:rPr>
              <w:t>Avnet,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20" w:type="dxa"/>
            <w:vAlign w:val="bottom"/>
            <w:gridSpan w:val="8"/>
          </w:tcPr>
          <w:p>
            <w:pPr>
              <w:jc w:val="center"/>
              <w:ind w:right="350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290"/>
        </w:trPr>
        <w:tc>
          <w:tcPr>
            <w:tcW w:w="3040" w:type="dxa"/>
            <w:vAlign w:val="bottom"/>
          </w:tcPr>
          <w:p>
            <w:pPr>
              <w:jc w:val="center"/>
              <w:ind w:left="1868"/>
              <w:spacing w:after="0"/>
              <w:rPr>
                <w:sz w:val="20"/>
                <w:szCs w:val="20"/>
                <w:color w:val="auto"/>
              </w:rPr>
            </w:pPr>
            <w:r>
              <w:rPr>
                <w:rFonts w:ascii="Arial" w:cs="Arial" w:eastAsia="Arial" w:hAnsi="Arial"/>
                <w:sz w:val="14"/>
                <w:szCs w:val="14"/>
                <w:b w:val="1"/>
                <w:bCs w:val="1"/>
                <w:color w:val="auto"/>
                <w:w w:val="97"/>
              </w:rPr>
              <w:t>New York</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40" w:type="dxa"/>
            <w:vAlign w:val="bottom"/>
            <w:gridSpan w:val="5"/>
          </w:tcPr>
          <w:p>
            <w:pPr>
              <w:jc w:val="right"/>
              <w:ind w:right="2048"/>
              <w:spacing w:after="0"/>
              <w:rPr>
                <w:sz w:val="20"/>
                <w:szCs w:val="20"/>
                <w:color w:val="auto"/>
              </w:rPr>
            </w:pPr>
            <w:r>
              <w:rPr>
                <w:rFonts w:ascii="Arial" w:cs="Arial" w:eastAsia="Arial" w:hAnsi="Arial"/>
                <w:sz w:val="14"/>
                <w:szCs w:val="14"/>
                <w:b w:val="1"/>
                <w:bCs w:val="1"/>
                <w:color w:val="auto"/>
              </w:rPr>
              <w:t>11-1890605</w:t>
            </w:r>
          </w:p>
        </w:tc>
        <w:tc>
          <w:tcPr>
            <w:tcW w:w="0" w:type="dxa"/>
            <w:vAlign w:val="bottom"/>
          </w:tcPr>
          <w:p>
            <w:pPr>
              <w:spacing w:after="0"/>
              <w:rPr>
                <w:sz w:val="1"/>
                <w:szCs w:val="1"/>
                <w:color w:val="auto"/>
              </w:rPr>
            </w:pPr>
          </w:p>
        </w:tc>
      </w:tr>
      <w:tr>
        <w:trPr>
          <w:trHeight w:val="182"/>
        </w:trPr>
        <w:tc>
          <w:tcPr>
            <w:tcW w:w="5780" w:type="dxa"/>
            <w:vAlign w:val="bottom"/>
            <w:gridSpan w:val="5"/>
          </w:tcPr>
          <w:p>
            <w:pPr>
              <w:jc w:val="center"/>
              <w:ind w:right="80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gridSpan w:val="2"/>
          </w:tcPr>
          <w:p>
            <w:pPr>
              <w:ind w:left="540"/>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246"/>
        </w:trPr>
        <w:tc>
          <w:tcPr>
            <w:tcW w:w="578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1"/>
              </w:rPr>
              <w:t>2211 South 47th Street,</w:t>
            </w:r>
          </w:p>
        </w:tc>
        <w:tc>
          <w:tcPr>
            <w:tcW w:w="4440" w:type="dxa"/>
            <w:vAlign w:val="bottom"/>
            <w:gridSpan w:val="5"/>
            <w:vMerge w:val="restart"/>
          </w:tcPr>
          <w:p>
            <w:pPr>
              <w:jc w:val="right"/>
              <w:ind w:right="2208"/>
              <w:spacing w:after="0"/>
              <w:rPr>
                <w:sz w:val="20"/>
                <w:szCs w:val="20"/>
                <w:color w:val="auto"/>
              </w:rPr>
            </w:pPr>
            <w:r>
              <w:rPr>
                <w:rFonts w:ascii="Arial" w:cs="Arial" w:eastAsia="Arial" w:hAnsi="Arial"/>
                <w:sz w:val="14"/>
                <w:szCs w:val="14"/>
                <w:b w:val="1"/>
                <w:bCs w:val="1"/>
                <w:color w:val="auto"/>
              </w:rPr>
              <w:t>85034</w:t>
            </w:r>
          </w:p>
        </w:tc>
        <w:tc>
          <w:tcPr>
            <w:tcW w:w="0" w:type="dxa"/>
            <w:vAlign w:val="bottom"/>
          </w:tcPr>
          <w:p>
            <w:pPr>
              <w:spacing w:after="0"/>
              <w:rPr>
                <w:sz w:val="1"/>
                <w:szCs w:val="1"/>
                <w:color w:val="auto"/>
              </w:rPr>
            </w:pPr>
          </w:p>
        </w:tc>
      </w:tr>
      <w:tr>
        <w:trPr>
          <w:trHeight w:val="153"/>
        </w:trPr>
        <w:tc>
          <w:tcPr>
            <w:tcW w:w="3040" w:type="dxa"/>
            <w:vAlign w:val="bottom"/>
          </w:tcPr>
          <w:p>
            <w:pPr>
              <w:jc w:val="center"/>
              <w:ind w:left="1868"/>
              <w:spacing w:after="0" w:line="153" w:lineRule="exact"/>
              <w:rPr>
                <w:sz w:val="20"/>
                <w:szCs w:val="20"/>
                <w:color w:val="auto"/>
              </w:rPr>
            </w:pPr>
            <w:r>
              <w:rPr>
                <w:rFonts w:ascii="Arial" w:cs="Arial" w:eastAsia="Arial" w:hAnsi="Arial"/>
                <w:sz w:val="14"/>
                <w:szCs w:val="14"/>
                <w:b w:val="1"/>
                <w:bCs w:val="1"/>
                <w:color w:val="auto"/>
                <w:w w:val="93"/>
              </w:rPr>
              <w:t>Phoenix, Arizona</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780" w:type="dxa"/>
            <w:vAlign w:val="bottom"/>
            <w:gridSpan w:val="5"/>
          </w:tcPr>
          <w:p>
            <w:pPr>
              <w:jc w:val="center"/>
              <w:ind w:right="82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40" w:type="dxa"/>
            <w:vAlign w:val="bottom"/>
          </w:tcPr>
          <w:p>
            <w:pPr>
              <w:ind w:left="560"/>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2"/>
                <w:szCs w:val="22"/>
                <w:color w:val="auto"/>
              </w:rPr>
            </w:pPr>
          </w:p>
        </w:tc>
        <w:tc>
          <w:tcPr>
            <w:tcW w:w="7180" w:type="dxa"/>
            <w:vAlign w:val="bottom"/>
            <w:gridSpan w:val="9"/>
          </w:tcPr>
          <w:p>
            <w:pPr>
              <w:jc w:val="center"/>
              <w:ind w:right="2948"/>
              <w:spacing w:after="0"/>
              <w:rPr>
                <w:sz w:val="20"/>
                <w:szCs w:val="20"/>
                <w:color w:val="auto"/>
              </w:rPr>
            </w:pPr>
            <w:r>
              <w:rPr>
                <w:rFonts w:ascii="Arial" w:cs="Arial" w:eastAsia="Arial" w:hAnsi="Arial"/>
                <w:sz w:val="14"/>
                <w:szCs w:val="14"/>
                <w:b w:val="1"/>
                <w:bCs w:val="1"/>
                <w:color w:val="auto"/>
                <w:w w:val="91"/>
              </w:rPr>
              <w:t>Registrant’s telephone number, including area code (480) 643-2000</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4"/>
                <w:szCs w:val="24"/>
                <w:color w:val="auto"/>
              </w:rPr>
            </w:pPr>
          </w:p>
        </w:tc>
        <w:tc>
          <w:tcPr>
            <w:tcW w:w="7180" w:type="dxa"/>
            <w:vAlign w:val="bottom"/>
            <w:gridSpan w:val="9"/>
          </w:tcPr>
          <w:p>
            <w:pPr>
              <w:jc w:val="center"/>
              <w:ind w:right="29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323"/>
        </w:trPr>
        <w:tc>
          <w:tcPr>
            <w:tcW w:w="30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3"/>
              </w:rPr>
              <w:t>Title of Each Class</w:t>
            </w: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6"/>
        </w:trPr>
        <w:tc>
          <w:tcPr>
            <w:tcW w:w="3040" w:type="dxa"/>
            <w:vAlign w:val="bottom"/>
          </w:tcPr>
          <w:p>
            <w:pPr>
              <w:jc w:val="center"/>
              <w:ind w:left="488"/>
              <w:spacing w:after="0"/>
              <w:rPr>
                <w:sz w:val="20"/>
                <w:szCs w:val="20"/>
                <w:color w:val="auto"/>
              </w:rPr>
            </w:pPr>
            <w:r>
              <w:rPr>
                <w:rFonts w:ascii="Arial" w:cs="Arial" w:eastAsia="Arial" w:hAnsi="Arial"/>
                <w:sz w:val="14"/>
                <w:szCs w:val="14"/>
                <w:color w:val="auto"/>
                <w:w w:val="92"/>
              </w:rPr>
              <w:t>Common stock, par value $1.00 per share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color w:val="auto"/>
              </w:rPr>
              <w:t>AVT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40" w:type="dxa"/>
            <w:vAlign w:val="bottom"/>
          </w:tcPr>
          <w:p>
            <w:pPr>
              <w:jc w:val="center"/>
              <w:ind w:right="728"/>
              <w:spacing w:after="0"/>
              <w:rPr>
                <w:sz w:val="20"/>
                <w:szCs w:val="20"/>
                <w:color w:val="auto"/>
              </w:rPr>
            </w:pPr>
            <w:r>
              <w:rPr>
                <w:rFonts w:ascii="Arial" w:cs="Arial" w:eastAsia="Arial" w:hAnsi="Arial"/>
                <w:sz w:val="14"/>
                <w:szCs w:val="14"/>
                <w:color w:val="auto"/>
                <w:w w:val="93"/>
              </w:rPr>
              <w:t>Nasdaq Global Select Market</w:t>
            </w:r>
          </w:p>
        </w:tc>
        <w:tc>
          <w:tcPr>
            <w:tcW w:w="0" w:type="dxa"/>
            <w:vAlign w:val="bottom"/>
          </w:tcPr>
          <w:p>
            <w:pPr>
              <w:spacing w:after="0"/>
              <w:rPr>
                <w:sz w:val="1"/>
                <w:szCs w:val="1"/>
                <w:color w:val="auto"/>
              </w:rPr>
            </w:pP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5" w:lineRule="exact"/>
        <w:rPr>
          <w:sz w:val="24"/>
          <w:szCs w:val="24"/>
          <w:color w:val="auto"/>
        </w:rPr>
      </w:pPr>
    </w:p>
    <w:p>
      <w:pPr>
        <w:ind w:left="4960"/>
        <w:spacing w:after="0"/>
        <w:rPr>
          <w:sz w:val="20"/>
          <w:szCs w:val="20"/>
          <w:color w:val="auto"/>
        </w:rPr>
      </w:pPr>
      <w:r>
        <w:rPr>
          <w:rFonts w:ascii="Arial" w:cs="Arial" w:eastAsia="Arial" w:hAnsi="Arial"/>
          <w:sz w:val="14"/>
          <w:szCs w:val="14"/>
          <w:b w:val="1"/>
          <w:bCs w:val="1"/>
          <w:color w:val="auto"/>
        </w:rPr>
        <w:t>None</w:t>
      </w:r>
    </w:p>
    <w:p>
      <w:pPr>
        <w:spacing w:after="0" w:line="48"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left="20" w:right="20" w:firstLine="432"/>
        <w:spacing w:after="0" w:line="27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80" w:hanging="170"/>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5" w:lineRule="exact"/>
        <w:rPr>
          <w:sz w:val="24"/>
          <w:szCs w:val="24"/>
          <w:color w:val="auto"/>
        </w:rPr>
      </w:pPr>
    </w:p>
    <w:p>
      <w:pPr>
        <w:jc w:val="both"/>
        <w:ind w:left="20" w:right="2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left="20" w:firstLine="432"/>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p>
      <w:pPr>
        <w:ind w:left="20"/>
        <w:spacing w:after="0" w:line="150" w:lineRule="exact"/>
        <w:tabs>
          <w:tab w:leader="none" w:pos="1840" w:val="left"/>
          <w:tab w:leader="none" w:pos="3740" w:val="left"/>
          <w:tab w:leader="none" w:pos="5840" w:val="left"/>
          <w:tab w:leader="none" w:pos="82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316" w:lineRule="exact"/>
        <w:rPr>
          <w:sz w:val="24"/>
          <w:szCs w:val="24"/>
          <w:color w:val="auto"/>
        </w:rPr>
      </w:pPr>
    </w:p>
    <w:p>
      <w:pPr>
        <w:jc w:val="both"/>
        <w:ind w:left="20" w:firstLine="427"/>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78" w:lineRule="exact"/>
        <w:rPr>
          <w:sz w:val="24"/>
          <w:szCs w:val="24"/>
          <w:color w:val="auto"/>
        </w:rPr>
      </w:pPr>
    </w:p>
    <w:p>
      <w:pPr>
        <w:jc w:val="both"/>
        <w:ind w:left="20" w:firstLine="427"/>
        <w:spacing w:after="0" w:line="19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5"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jc w:val="both"/>
        <w:ind w:left="20" w:firstLine="427"/>
        <w:spacing w:after="0" w:line="238" w:lineRule="auto"/>
        <w:rPr>
          <w:sz w:val="20"/>
          <w:szCs w:val="20"/>
          <w:color w:val="auto"/>
        </w:rPr>
      </w:pPr>
      <w:r>
        <w:rPr>
          <w:rFonts w:ascii="Arial" w:cs="Arial" w:eastAsia="Arial" w:hAnsi="Arial"/>
          <w:sz w:val="14"/>
          <w:szCs w:val="14"/>
          <w:color w:val="auto"/>
        </w:rPr>
        <w:t>The aggregate market value (approximate) of the registrant’s common equity held by non-affiliates based on the closing price of a share of the registrant’s common stock for Nasdaq Global Select Market composite transactions on December 27, 2019 (the last business day of the registrant’s most recently completed second fiscal quarter) was $4,189,280,703.</w:t>
      </w:r>
    </w:p>
    <w:p>
      <w:pPr>
        <w:spacing w:after="0" w:line="75" w:lineRule="exact"/>
        <w:rPr>
          <w:sz w:val="24"/>
          <w:szCs w:val="24"/>
          <w:color w:val="auto"/>
        </w:rPr>
      </w:pPr>
    </w:p>
    <w:p>
      <w:pPr>
        <w:ind w:left="440"/>
        <w:spacing w:after="0"/>
        <w:rPr>
          <w:sz w:val="20"/>
          <w:szCs w:val="20"/>
          <w:color w:val="auto"/>
        </w:rPr>
      </w:pPr>
      <w:r>
        <w:rPr>
          <w:rFonts w:ascii="Arial" w:cs="Arial" w:eastAsia="Arial" w:hAnsi="Arial"/>
          <w:sz w:val="14"/>
          <w:szCs w:val="14"/>
          <w:color w:val="auto"/>
        </w:rPr>
        <w:t>As of July 25, 2020, the total number of shares outstanding of the registrant’s Common Stock was 98,777,974 shares, net of treasury shares.</w:t>
      </w:r>
    </w:p>
    <w:p>
      <w:pPr>
        <w:spacing w:after="0" w:line="92"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49530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80" w:lineRule="exact"/>
        <w:rPr>
          <w:sz w:val="24"/>
          <w:szCs w:val="24"/>
          <w:color w:val="auto"/>
        </w:rPr>
      </w:pPr>
    </w:p>
    <w:p>
      <w:pPr>
        <w:ind w:left="60"/>
        <w:spacing w:after="0"/>
        <w:rPr>
          <w:sz w:val="20"/>
          <w:szCs w:val="20"/>
          <w:color w:val="auto"/>
        </w:rPr>
      </w:pPr>
      <w:r>
        <w:rPr>
          <w:rFonts w:ascii="Arial" w:cs="Arial" w:eastAsia="Arial" w:hAnsi="Arial"/>
          <w:sz w:val="13"/>
          <w:szCs w:val="13"/>
          <w:color w:val="auto"/>
        </w:rPr>
        <w:t>Portions of the registrant’s definitive proxy statement (to be filed pursuant to Reg. 14A) relating to the Annual Meeting of Shareholders anticipated to be held on November 17,</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2020, are incorporated herein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570865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184785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167640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5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20" w:type="dxa"/>
            <w:vAlign w:val="bottom"/>
            <w:gridSpan w:val="2"/>
            <w:vMerge w:val="restart"/>
          </w:tcPr>
          <w:p>
            <w:pPr>
              <w:jc w:val="center"/>
              <w:ind w:right="20"/>
              <w:spacing w:after="0"/>
              <w:rPr>
                <w:rFonts w:ascii="Arial" w:cs="Arial" w:eastAsia="Arial" w:hAnsi="Arial"/>
                <w:sz w:val="18"/>
                <w:szCs w:val="18"/>
                <w:b w:val="1"/>
                <w:bCs w:val="1"/>
                <w:u w:val="single" w:color="auto"/>
                <w:color w:val="0000EE"/>
                <w:w w:val="98"/>
              </w:rPr>
            </w:pPr>
            <w:hyperlink w:anchor="page3">
              <w:r>
                <w:rPr>
                  <w:rFonts w:ascii="Arial" w:cs="Arial" w:eastAsia="Arial" w:hAnsi="Arial"/>
                  <w:sz w:val="18"/>
                  <w:szCs w:val="18"/>
                  <w:b w:val="1"/>
                  <w:bCs w:val="1"/>
                  <w:u w:val="single" w:color="auto"/>
                  <w:color w:val="0000EE"/>
                  <w:w w:val="98"/>
                </w:rPr>
                <w:t>PART I</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5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Business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1A. Risk Factors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1B. Unresolved Staff Comments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2. Properties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3. Legal Proceedings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4. Mine Safety Disclosures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20" w:type="dxa"/>
            <w:vAlign w:val="bottom"/>
            <w:gridSpan w:val="2"/>
          </w:tcPr>
          <w:p>
            <w:pPr>
              <w:jc w:val="center"/>
              <w:ind w:right="20"/>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PART II</w:t>
              </w:r>
            </w:hyperlink>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Item 5. Market for Registrant’s Common Equity, Related Stockholder Matters and Issuer Purchases of Equity</w:t>
              </w:r>
            </w:hyperlink>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Securities</w:t>
              </w:r>
            </w:hyperlink>
          </w:p>
        </w:tc>
        <w:tc>
          <w:tcPr>
            <w:tcW w:w="36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6. Selected Financial Data</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7. Management’s Discussion and Analysis of Financial Condition and Results of Operations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7A. Quantitative and Qualitative Disclosures About Market Risk</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8. Financial Statements and Supplementary Data</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9. Changes in and Disagreements with Accountants on Accounting and Financial Disclosure</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9A. Controls and Procedures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9B. Other Information</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20" w:type="dxa"/>
            <w:vAlign w:val="bottom"/>
            <w:gridSpan w:val="2"/>
          </w:tcPr>
          <w:p>
            <w:pPr>
              <w:jc w:val="center"/>
              <w:ind w:right="40"/>
              <w:spacing w:after="0"/>
              <w:rPr>
                <w:rFonts w:ascii="Arial" w:cs="Arial" w:eastAsia="Arial" w:hAnsi="Arial"/>
                <w:sz w:val="18"/>
                <w:szCs w:val="18"/>
                <w:b w:val="1"/>
                <w:bCs w:val="1"/>
                <w:u w:val="single" w:color="auto"/>
                <w:color w:val="0000EE"/>
              </w:rPr>
            </w:pPr>
            <w:hyperlink w:anchor="page76">
              <w:r>
                <w:rPr>
                  <w:rFonts w:ascii="Arial" w:cs="Arial" w:eastAsia="Arial" w:hAnsi="Arial"/>
                  <w:sz w:val="18"/>
                  <w:szCs w:val="18"/>
                  <w:b w:val="1"/>
                  <w:bCs w:val="1"/>
                  <w:u w:val="single" w:color="auto"/>
                  <w:color w:val="0000EE"/>
                </w:rPr>
                <w:t>PART III</w:t>
              </w:r>
            </w:hyperlink>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10. Directors, Executive Officers and Corporate Governance</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11. Executive Compensation</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w w:val="94"/>
              </w:rPr>
            </w:pPr>
            <w:hyperlink w:anchor="page77">
              <w:r>
                <w:rPr>
                  <w:rFonts w:ascii="Arial" w:cs="Arial" w:eastAsia="Arial" w:hAnsi="Arial"/>
                  <w:sz w:val="18"/>
                  <w:szCs w:val="18"/>
                  <w:u w:val="single" w:color="auto"/>
                  <w:color w:val="0000EE"/>
                  <w:w w:val="94"/>
                </w:rPr>
                <w:t>Item 12. Security Ownership of Certain Beneficial Owners and Management and Related Stockholder Matters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13. Certain Relationships and Related Transactions, and Director Independence</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14. Principal Accounting Fees and Services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20" w:type="dxa"/>
            <w:vAlign w:val="bottom"/>
            <w:gridSpan w:val="2"/>
          </w:tcPr>
          <w:p>
            <w:pPr>
              <w:jc w:val="center"/>
              <w:ind w:right="40"/>
              <w:spacing w:after="0"/>
              <w:rPr>
                <w:rFonts w:ascii="Arial" w:cs="Arial" w:eastAsia="Arial" w:hAnsi="Arial"/>
                <w:sz w:val="18"/>
                <w:szCs w:val="18"/>
                <w:b w:val="1"/>
                <w:bCs w:val="1"/>
                <w:u w:val="single" w:color="auto"/>
                <w:color w:val="0000EE"/>
              </w:rPr>
            </w:pPr>
            <w:hyperlink w:anchor="page78">
              <w:r>
                <w:rPr>
                  <w:rFonts w:ascii="Arial" w:cs="Arial" w:eastAsia="Arial" w:hAnsi="Arial"/>
                  <w:sz w:val="18"/>
                  <w:szCs w:val="18"/>
                  <w:b w:val="1"/>
                  <w:bCs w:val="1"/>
                  <w:u w:val="single" w:color="auto"/>
                  <w:color w:val="0000EE"/>
                </w:rPr>
                <w:t>PART IV</w:t>
              </w:r>
            </w:hyperlink>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Item 15. Exhibits and Financial Statement Schedules</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Signature Page</w:t>
              </w:r>
            </w:hyperlink>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75"/>
        </w:trPr>
        <w:tc>
          <w:tcPr>
            <w:tcW w:w="7880" w:type="dxa"/>
            <w:vAlign w:val="bottom"/>
            <w:gridSpan w:val="3"/>
          </w:tcPr>
          <w:p>
            <w:pPr>
              <w:jc w:val="center"/>
              <w:ind w:left="950"/>
              <w:spacing w:after="0"/>
              <w:rPr>
                <w:sz w:val="20"/>
                <w:szCs w:val="20"/>
                <w:color w:val="auto"/>
              </w:rPr>
            </w:pPr>
            <w:r>
              <w:rPr>
                <w:rFonts w:ascii="Arial" w:cs="Arial" w:eastAsia="Arial" w:hAnsi="Arial"/>
                <w:sz w:val="18"/>
                <w:szCs w:val="18"/>
                <w:color w:val="auto"/>
                <w:w w:val="79"/>
              </w:rPr>
              <w:t>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24"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60" w:right="219" w:firstLine="432"/>
        <w:spacing w:after="0" w:line="302" w:lineRule="auto"/>
        <w:rPr>
          <w:sz w:val="20"/>
          <w:szCs w:val="20"/>
          <w:color w:val="auto"/>
        </w:rPr>
      </w:pPr>
      <w:r>
        <w:rPr>
          <w:rFonts w:ascii="Arial" w:cs="Arial" w:eastAsia="Arial" w:hAnsi="Arial"/>
          <w:sz w:val="18"/>
          <w:szCs w:val="18"/>
          <w:color w:val="auto"/>
        </w:rPr>
        <w:t>Avnet, Inc. and its consolidated subsidiaries (collectively, the “Company” or “Avnet”), is a global technology solutions company with an extensive ecosystem delivering design, product, marketing and supply chain expertise for customers at every stage of the product lifecycle. Avnet transforms ideas into intelligent solutions, reducing the time, cost and complexities of bringing electronic products to market around the world. Founded in 1921 and incorporated in New York in 1955, the Company works with over 1,400 technology suppliers to serve 2.1 million customers in more than 140 countries.</w:t>
      </w:r>
    </w:p>
    <w:p>
      <w:pPr>
        <w:spacing w:after="0" w:line="152" w:lineRule="exact"/>
        <w:rPr>
          <w:sz w:val="20"/>
          <w:szCs w:val="20"/>
          <w:color w:val="auto"/>
        </w:rPr>
      </w:pPr>
    </w:p>
    <w:p>
      <w:pPr>
        <w:ind w:left="60" w:right="179" w:firstLine="432"/>
        <w:spacing w:after="0" w:line="318" w:lineRule="auto"/>
        <w:rPr>
          <w:sz w:val="20"/>
          <w:szCs w:val="20"/>
          <w:color w:val="auto"/>
        </w:rPr>
      </w:pPr>
      <w:r>
        <w:rPr>
          <w:rFonts w:ascii="Arial" w:cs="Arial" w:eastAsia="Arial" w:hAnsi="Arial"/>
          <w:sz w:val="17"/>
          <w:szCs w:val="17"/>
          <w:color w:val="auto"/>
        </w:rPr>
        <w:t>For nearly a century, Avnet has helped its customers and suppliers realize the transformative possibilities of technology while continuously expanding the breadth and depth of its capabilities. Today, as technologies like the Internet of Things (“IoT”) continue to increase the complexity of product development, Avnet is once again redefining itself by offering what customers need to bring their products to life through one partner. Over the past few years, Avnet significantly enhanced its strong foundation in distribution, including design, supply chain and logistics, by developing or acquiring the capabilities to better serve customers in the earlier stages of product development—encompassing research, prototyping and manufacturing. Some of these capabilities were acquired through the purchase of Premier Farnell (“Farnell”) (fiscal 2017), Hackster.io (fiscal 2017), Softweb Solutions (fiscal 2019), Witekio (fiscal 2020) and Phoenics Electronics (fiscal 2020). Avnet’s ecosystem, which combines these newly acquired capabilities with Avnet’s historical design, supply chain and integrated solutions capabilities, is designed to match its customers’ needs along their entire product development journey, providing both end-to-end and à la carte support options, as well as digital tools, to meet varying needs and buying preferences.</w:t>
      </w:r>
    </w:p>
    <w:p>
      <w:pPr>
        <w:spacing w:after="0" w:line="159" w:lineRule="exact"/>
        <w:rPr>
          <w:sz w:val="20"/>
          <w:szCs w:val="20"/>
          <w:color w:val="auto"/>
        </w:rPr>
      </w:pPr>
    </w:p>
    <w:p>
      <w:pPr>
        <w:ind w:left="60" w:right="119" w:firstLine="432"/>
        <w:spacing w:after="0" w:line="310" w:lineRule="auto"/>
        <w:rPr>
          <w:sz w:val="20"/>
          <w:szCs w:val="20"/>
          <w:color w:val="auto"/>
        </w:rPr>
      </w:pPr>
      <w:r>
        <w:rPr>
          <w:rFonts w:ascii="Arial" w:cs="Arial" w:eastAsia="Arial" w:hAnsi="Arial"/>
          <w:sz w:val="18"/>
          <w:szCs w:val="18"/>
          <w:color w:val="auto"/>
        </w:rPr>
        <w:t>Avnet can support every stage of the electronic product lifecycle and serves a wide range of customers: from startups and mid-sized businesses to enterprise-level original equipment manufacturers (“OEMs”), electronic manufacturing services (“EMS”) providers and original design manufacturers (“ODMs”).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60" w:right="79" w:firstLine="427"/>
        <w:spacing w:after="0" w:line="341" w:lineRule="auto"/>
        <w:rPr>
          <w:sz w:val="20"/>
          <w:szCs w:val="20"/>
          <w:color w:val="auto"/>
        </w:rPr>
      </w:pPr>
      <w:r>
        <w:rPr>
          <w:rFonts w:ascii="Arial" w:cs="Arial" w:eastAsia="Arial" w:hAnsi="Arial"/>
          <w:sz w:val="16"/>
          <w:szCs w:val="16"/>
          <w:color w:val="auto"/>
        </w:rPr>
        <w:t>Avnet has two primary operating groups — Electronic Components (“EC”) and Farnell. Both operating groups have operations in each of the three major economic regions of the world: (i) the Americas, (ii) Europe, Middle East and Africa (“EMEA”) and (iii) Asia/Pacific (“Asia”). Each operating group has its own management team that includes senior executives and leadership both at the global and regional levels, who manage various functions within such businesses. Each operating group also has distinct financial reporting that is evaluated at the executive level on which operating decisions and strategic planning and resource allocation for the Company as a whole are made. Divisions (“business units”) exist within each operating group that serve primarily as sales and marketing units to further streamline the sales efforts within each operating group and enhance each operating group’s ability to work with its customers and suppliers, generally along more specific geographies or product lines. However, each business unit relies heavily on the support services provided by the operating groups as well as centralized support at the corporate level.</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right="379" w:firstLine="427"/>
        <w:spacing w:after="0" w:line="310" w:lineRule="auto"/>
        <w:rPr>
          <w:sz w:val="20"/>
          <w:szCs w:val="20"/>
          <w:color w:val="auto"/>
        </w:rPr>
      </w:pPr>
      <w:r>
        <w:rPr>
          <w:rFonts w:ascii="Arial" w:cs="Arial" w:eastAsia="Arial" w:hAnsi="Arial"/>
          <w:sz w:val="18"/>
          <w:szCs w:val="18"/>
          <w:color w:val="auto"/>
        </w:rPr>
        <w:t>A description of each operating group is presented below. Further financial information by operating group is provided in Note 16 “Segment information” to the consolidated financial statements appearing in Item 8 of this Annual Report on Form 10-K.</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Electronic Components</w:t>
      </w:r>
    </w:p>
    <w:p>
      <w:pPr>
        <w:spacing w:after="0" w:line="243" w:lineRule="exact"/>
        <w:rPr>
          <w:sz w:val="20"/>
          <w:szCs w:val="20"/>
          <w:color w:val="auto"/>
        </w:rPr>
      </w:pPr>
    </w:p>
    <w:p>
      <w:pPr>
        <w:jc w:val="both"/>
        <w:ind w:left="60" w:right="339" w:firstLine="432"/>
        <w:spacing w:after="0" w:line="336" w:lineRule="auto"/>
        <w:rPr>
          <w:sz w:val="20"/>
          <w:szCs w:val="20"/>
          <w:color w:val="auto"/>
        </w:rPr>
      </w:pPr>
      <w:r>
        <w:rPr>
          <w:rFonts w:ascii="Arial" w:cs="Arial" w:eastAsia="Arial" w:hAnsi="Arial"/>
          <w:sz w:val="17"/>
          <w:szCs w:val="17"/>
          <w:color w:val="auto"/>
        </w:rPr>
        <w:t>Avnet’s EC operating group primarily supports high-volume customers. It markets, sells and distributes electronic components including semiconductors, interconnect, passive and electromechanical, or “IP&amp;E,” components and other integrated components from the world’s leading electronic component manufacturers.</w:t>
      </w:r>
    </w:p>
    <w:p>
      <w:pPr>
        <w:spacing w:after="0" w:line="124" w:lineRule="exact"/>
        <w:rPr>
          <w:sz w:val="20"/>
          <w:szCs w:val="20"/>
          <w:color w:val="auto"/>
        </w:rPr>
      </w:pPr>
    </w:p>
    <w:p>
      <w:pPr>
        <w:ind w:left="60" w:right="359" w:firstLine="432"/>
        <w:spacing w:after="0" w:line="310" w:lineRule="auto"/>
        <w:rPr>
          <w:sz w:val="20"/>
          <w:szCs w:val="20"/>
          <w:color w:val="auto"/>
        </w:rPr>
      </w:pPr>
      <w:r>
        <w:rPr>
          <w:rFonts w:ascii="Arial" w:cs="Arial" w:eastAsia="Arial" w:hAnsi="Arial"/>
          <w:sz w:val="18"/>
          <w:szCs w:val="18"/>
          <w:color w:val="auto"/>
        </w:rPr>
        <w:t>EC serves a variety of markets ranging from automotive to medical to defense and aerospace. It offers an array of customer support options throughout the entire product lifecycle, including both turnkey and customized design, new product introduction, production, supply chain, logistics and post-sales services.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Design Chain Solutions</w:t>
      </w:r>
    </w:p>
    <w:p>
      <w:pPr>
        <w:spacing w:after="0" w:line="239" w:lineRule="exact"/>
        <w:rPr>
          <w:sz w:val="20"/>
          <w:szCs w:val="20"/>
          <w:color w:val="auto"/>
        </w:rPr>
      </w:pPr>
    </w:p>
    <w:p>
      <w:pPr>
        <w:ind w:left="60" w:right="159" w:firstLine="432"/>
        <w:spacing w:after="0" w:line="321" w:lineRule="auto"/>
        <w:rPr>
          <w:sz w:val="20"/>
          <w:szCs w:val="20"/>
          <w:color w:val="auto"/>
        </w:rPr>
      </w:pPr>
      <w:r>
        <w:rPr>
          <w:rFonts w:ascii="Arial" w:cs="Arial" w:eastAsia="Arial" w:hAnsi="Arial"/>
          <w:sz w:val="17"/>
          <w:szCs w:val="17"/>
          <w:color w:val="auto"/>
        </w:rPr>
        <w:t>EC offers design chain support that provides engineers with a host of technical design solutions, which helps EC support a broad range of customers seeking complex products and technologies. With access to a suite of design tools and engineering support, customers can get product specifications along with evaluation kits and reference designs that enable a broad range of applications from any point in the design cycle. EC also offers engineering and technical resources deployed globally to support product design, bill of materials development, and technical education and training. By utilizing EC’s design chain support, customers can optimize their component selection and accelerate their time to market. EC’s extensive product line card provides customers access to a diverse range of products from a complete spectrum of electronic component manufacturers.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Supply Chain Solutions</w:t>
      </w:r>
    </w:p>
    <w:p>
      <w:pPr>
        <w:spacing w:after="0" w:line="225" w:lineRule="exact"/>
        <w:rPr>
          <w:sz w:val="20"/>
          <w:szCs w:val="20"/>
          <w:color w:val="auto"/>
        </w:rPr>
      </w:pPr>
    </w:p>
    <w:p>
      <w:pPr>
        <w:ind w:left="60" w:right="119" w:firstLine="427"/>
        <w:spacing w:after="0" w:line="343" w:lineRule="auto"/>
        <w:rPr>
          <w:sz w:val="20"/>
          <w:szCs w:val="20"/>
          <w:color w:val="auto"/>
        </w:rPr>
      </w:pPr>
      <w:r>
        <w:rPr>
          <w:rFonts w:ascii="Arial" w:cs="Arial" w:eastAsia="Arial" w:hAnsi="Arial"/>
          <w:sz w:val="16"/>
          <w:szCs w:val="16"/>
          <w:color w:val="auto"/>
        </w:rPr>
        <w:t>EC’s supply chain solutions provide support and logistical services to OEMs, EMS providers and electronic component manufacturers, enabling them to optimize supply chains on a local, regional or global basis. By combining internal competencies in global warehousing and logistics, information technology and asset management with its global footprint and extensive partner relationships, EC’s supply chain solutions provide for a deeper level of engagement with its customers. These customers can manage their supply chains to meet the demands of a competitive global environment without a commensurate investment in physical assets, systems and personnel. With supply chain planning tools and a variety of inventory management solutions, EC provides solutions that meet a customer’s just-in-time requirements and minimize risk in a variety of scenarios including lean manufacturing, demand flow and outsourcing.</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Avnet Integrated</w:t>
      </w:r>
    </w:p>
    <w:p>
      <w:pPr>
        <w:spacing w:after="0" w:line="225" w:lineRule="exact"/>
        <w:rPr>
          <w:sz w:val="20"/>
          <w:szCs w:val="20"/>
          <w:color w:val="auto"/>
        </w:rPr>
      </w:pPr>
    </w:p>
    <w:p>
      <w:pPr>
        <w:ind w:left="60" w:right="59" w:firstLine="427"/>
        <w:spacing w:after="0" w:line="301" w:lineRule="auto"/>
        <w:rPr>
          <w:sz w:val="20"/>
          <w:szCs w:val="20"/>
          <w:color w:val="auto"/>
        </w:rPr>
      </w:pPr>
      <w:r>
        <w:rPr>
          <w:rFonts w:ascii="Arial" w:cs="Arial" w:eastAsia="Arial" w:hAnsi="Arial"/>
          <w:sz w:val="18"/>
          <w:szCs w:val="18"/>
          <w:color w:val="auto"/>
        </w:rPr>
        <w:t>EC provides integrated solutions including technical design, integration and assembly of embedded products, systems and solutions primarily for industrial applications. EC also provides integrated solutions for intelligent and innovative embedded display solutions, including touch and passive displays. In addition, EC develops and produces standard board and industrial subsystems and application-specific devices that enable it to produce specialized systems tailored to specific customer requirements. EC serves OEMs that require embedded systems and solutions, including engineering, product prototyping, integration and other value-added services in the medical, telecommunications, industrial and digital editing markets.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Farnell</w:t>
      </w:r>
    </w:p>
    <w:p>
      <w:pPr>
        <w:spacing w:after="0" w:line="243" w:lineRule="exact"/>
        <w:rPr>
          <w:sz w:val="20"/>
          <w:szCs w:val="20"/>
          <w:color w:val="auto"/>
        </w:rPr>
      </w:pPr>
    </w:p>
    <w:p>
      <w:pPr>
        <w:ind w:left="60" w:right="99" w:firstLine="432"/>
        <w:spacing w:after="0" w:line="344" w:lineRule="auto"/>
        <w:rPr>
          <w:sz w:val="20"/>
          <w:szCs w:val="20"/>
          <w:color w:val="auto"/>
        </w:rPr>
      </w:pPr>
      <w:r>
        <w:rPr>
          <w:rFonts w:ascii="Arial" w:cs="Arial" w:eastAsia="Arial" w:hAnsi="Arial"/>
          <w:sz w:val="16"/>
          <w:szCs w:val="16"/>
          <w:color w:val="auto"/>
        </w:rPr>
        <w:t>Avnet’s Farnell operating group primarily supports lower-volume customers that need electronic components quickly to develop, prototype and test their products. It distributes a comprehensive portfolio of kits, tools, electronic components and industrial automation components, as well as test and measurement products to both engineers and entrepreneurs. Farnell brings the latest products, services and development trends all together in element14, an industry-leading online community where engineers collaborate to solve one another’s design challenges. In element14, members get consolidated information on new technologies as well as access to experts and product specifications. Members can see what other engineers are working on, learn from online training and get the help they need to optimize their own designs.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Major Products</w:t>
      </w:r>
    </w:p>
    <w:p>
      <w:pPr>
        <w:spacing w:after="0" w:line="229" w:lineRule="exact"/>
        <w:rPr>
          <w:sz w:val="20"/>
          <w:szCs w:val="20"/>
          <w:color w:val="auto"/>
        </w:rPr>
      </w:pPr>
    </w:p>
    <w:p>
      <w:pPr>
        <w:ind w:left="60" w:right="99" w:firstLine="427"/>
        <w:spacing w:after="0" w:line="302" w:lineRule="auto"/>
        <w:rPr>
          <w:sz w:val="20"/>
          <w:szCs w:val="20"/>
          <w:color w:val="auto"/>
        </w:rPr>
      </w:pPr>
      <w:r>
        <w:rPr>
          <w:rFonts w:ascii="Arial" w:cs="Arial" w:eastAsia="Arial" w:hAnsi="Arial"/>
          <w:sz w:val="18"/>
          <w:szCs w:val="18"/>
          <w:color w:val="auto"/>
        </w:rPr>
        <w:t>One of Avnet’s competitive strengths is the breadth and quality of the suppliers whose products it distributes. There were no suppliers from which sales of its products exceeded 10% of consolidated sales during fiscal 2020. During fiscal years 2019 and 2018, Texas Instruments (“TI”) products accounted for approximately 10% and 11% of the Company’s sales, respectively. Listed in the table below are the major product categories and the Company’s approximate sales of each during the past three fiscal years. Other consists primarily of test and measurement as well as maintenance, repair and operations (MRO) products.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4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June 27,</w:t>
            </w:r>
          </w:p>
        </w:tc>
        <w:tc>
          <w:tcPr>
            <w:tcW w:w="180" w:type="dxa"/>
            <w:vAlign w:val="bottom"/>
          </w:tcPr>
          <w:p>
            <w:pPr>
              <w:spacing w:after="0"/>
              <w:rPr>
                <w:sz w:val="17"/>
                <w:szCs w:val="17"/>
                <w:color w:val="auto"/>
              </w:rPr>
            </w:pPr>
          </w:p>
        </w:tc>
        <w:tc>
          <w:tcPr>
            <w:tcW w:w="96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8"/>
              </w:rPr>
              <w:t>June 29,</w:t>
            </w:r>
          </w:p>
        </w:tc>
        <w:tc>
          <w:tcPr>
            <w:tcW w:w="80" w:type="dxa"/>
            <w:vAlign w:val="bottom"/>
          </w:tcPr>
          <w:p>
            <w:pPr>
              <w:spacing w:after="0"/>
              <w:rPr>
                <w:sz w:val="17"/>
                <w:szCs w:val="17"/>
                <w:color w:val="auto"/>
              </w:rPr>
            </w:pPr>
          </w:p>
        </w:tc>
        <w:tc>
          <w:tcPr>
            <w:tcW w:w="8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7"/>
              </w:rPr>
              <w:t>June 30,</w:t>
            </w:r>
          </w:p>
        </w:tc>
        <w:tc>
          <w:tcPr>
            <w:tcW w:w="60" w:type="dxa"/>
            <w:vAlign w:val="bottom"/>
          </w:tcPr>
          <w:p>
            <w:pPr>
              <w:spacing w:after="0"/>
              <w:rPr>
                <w:sz w:val="17"/>
                <w:szCs w:val="17"/>
                <w:color w:val="auto"/>
              </w:rPr>
            </w:pPr>
          </w:p>
        </w:tc>
      </w:tr>
      <w:tr>
        <w:trPr>
          <w:trHeight w:val="241"/>
        </w:trPr>
        <w:tc>
          <w:tcPr>
            <w:tcW w:w="4780" w:type="dxa"/>
            <w:vAlign w:val="bottom"/>
          </w:tcPr>
          <w:p>
            <w:pPr>
              <w:spacing w:after="0"/>
              <w:rPr>
                <w:sz w:val="20"/>
                <w:szCs w:val="20"/>
                <w:color w:val="auto"/>
              </w:rPr>
            </w:pPr>
          </w:p>
        </w:tc>
        <w:tc>
          <w:tcPr>
            <w:tcW w:w="20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0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r>
      <w:tr>
        <w:trPr>
          <w:trHeight w:val="203"/>
        </w:trPr>
        <w:tc>
          <w:tcPr>
            <w:tcW w:w="4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6"/>
              </w:rPr>
              <w:t>(Millions)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$ 13,440.3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$ 14,973.3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$ 14,890.9</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3,146.0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3,516.0</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3,227.0</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60" w:type="dxa"/>
            <w:vAlign w:val="bottom"/>
            <w:shd w:val="clear" w:color="auto" w:fill="CCEEFF"/>
          </w:tcPr>
          <w:p>
            <w:pPr>
              <w:spacing w:after="0"/>
              <w:rPr>
                <w:sz w:val="18"/>
                <w:szCs w:val="18"/>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476.0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457.1</w:t>
            </w:r>
          </w:p>
        </w:tc>
        <w:tc>
          <w:tcPr>
            <w:tcW w:w="60" w:type="dxa"/>
            <w:vAlign w:val="bottom"/>
          </w:tcPr>
          <w:p>
            <w:pPr>
              <w:spacing w:after="0"/>
              <w:rPr>
                <w:sz w:val="19"/>
                <w:szCs w:val="19"/>
                <w:color w:val="auto"/>
              </w:rPr>
            </w:pPr>
          </w:p>
        </w:tc>
      </w:tr>
      <w:tr>
        <w:trPr>
          <w:trHeight w:val="216"/>
        </w:trPr>
        <w:tc>
          <w:tcPr>
            <w:tcW w:w="47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$ 17,634.3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$ 19,518.6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$ 19,036.9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&amp; Markets</w:t>
      </w:r>
    </w:p>
    <w:p>
      <w:pPr>
        <w:spacing w:after="0" w:line="202" w:lineRule="exact"/>
        <w:rPr>
          <w:sz w:val="20"/>
          <w:szCs w:val="20"/>
          <w:color w:val="auto"/>
        </w:rPr>
      </w:pPr>
    </w:p>
    <w:p>
      <w:pPr>
        <w:ind w:left="60" w:right="319" w:firstLine="432"/>
        <w:spacing w:after="0" w:line="354" w:lineRule="auto"/>
        <w:rPr>
          <w:sz w:val="20"/>
          <w:szCs w:val="20"/>
          <w:color w:val="auto"/>
        </w:rPr>
      </w:pPr>
      <w:r>
        <w:rPr>
          <w:rFonts w:ascii="Arial" w:cs="Arial" w:eastAsia="Arial" w:hAnsi="Arial"/>
          <w:sz w:val="16"/>
          <w:szCs w:val="16"/>
          <w:color w:val="auto"/>
        </w:rPr>
        <w:t>The electronic components industry continues to be extremely competitive. The Company’s major competitors include: Arrow Electronics, Inc., Future Electronics, World Peace Group, Mouser Electronics and Digi-Key Electronics. There are also certain smaller, specialized competitors who generally focus on narrower regions, markets, products or particular sectors. As a result of these factors, Avnet must remain competitive in its pricing of products.</w:t>
      </w:r>
    </w:p>
    <w:p>
      <w:pPr>
        <w:spacing w:after="0" w:line="116" w:lineRule="exact"/>
        <w:rPr>
          <w:sz w:val="20"/>
          <w:szCs w:val="20"/>
          <w:color w:val="auto"/>
        </w:rPr>
      </w:pPr>
    </w:p>
    <w:p>
      <w:pPr>
        <w:ind w:left="60" w:right="79" w:firstLine="427"/>
        <w:spacing w:after="0" w:line="321" w:lineRule="auto"/>
        <w:rPr>
          <w:sz w:val="20"/>
          <w:szCs w:val="20"/>
          <w:color w:val="auto"/>
        </w:rPr>
      </w:pPr>
      <w:r>
        <w:rPr>
          <w:rFonts w:ascii="Arial" w:cs="Arial" w:eastAsia="Arial" w:hAnsi="Arial"/>
          <w:sz w:val="17"/>
          <w:szCs w:val="17"/>
          <w:color w:val="auto"/>
        </w:rPr>
        <w:t>A key competitive factor in the electronic component distribution industry is the need to carry a sufficient amount and selection of inventory to meet customers’ rapid delivery requirements. To minimize its exposure related to inventory on hand, the majority of the Company’s products are purchased pursuant to non-exclusive distributor agreements, which typically provide certain protections for product obsolescence and price erosion. These agreements are generally cancelable upon 30 to 180 days’ notice and, in most cases, provide for or require inventory return privileges upon cancellation. In addition, the Company enhances its competitive position by offering a variety of value-added services, which are tailored to individual customer specifications and business needs, such as point of use replenishment, testing, assembly, programming, supply chain management and materials management.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right="279" w:firstLine="427"/>
        <w:spacing w:after="0" w:line="310" w:lineRule="auto"/>
        <w:rPr>
          <w:sz w:val="20"/>
          <w:szCs w:val="20"/>
          <w:color w:val="auto"/>
        </w:rPr>
      </w:pPr>
      <w:r>
        <w:rPr>
          <w:rFonts w:ascii="Arial" w:cs="Arial" w:eastAsia="Arial" w:hAnsi="Arial"/>
          <w:sz w:val="18"/>
          <w:szCs w:val="18"/>
          <w:color w:val="auto"/>
        </w:rPr>
        <w:t>A competitive advantage is the breadth of the Company’s supplier product line card. Because of the number of Avnet’s suppliers, many customers can simplify their procurement process and make all of their required purchases from Avnet, rather than purchasing from several different parties.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43" w:lineRule="exact"/>
        <w:rPr>
          <w:sz w:val="20"/>
          <w:szCs w:val="20"/>
          <w:color w:val="auto"/>
        </w:rPr>
      </w:pPr>
    </w:p>
    <w:p>
      <w:pPr>
        <w:ind w:left="60" w:right="119" w:firstLine="432"/>
        <w:spacing w:after="0" w:line="310" w:lineRule="auto"/>
        <w:rPr>
          <w:sz w:val="20"/>
          <w:szCs w:val="20"/>
          <w:color w:val="auto"/>
        </w:rPr>
      </w:pPr>
      <w:r>
        <w:rPr>
          <w:rFonts w:ascii="Arial" w:cs="Arial" w:eastAsia="Arial" w:hAnsi="Arial"/>
          <w:sz w:val="18"/>
          <w:szCs w:val="18"/>
          <w:color w:val="auto"/>
        </w:rPr>
        <w:t>Historically, Avnet’s business and continuing operations have not been materially impacted by seasonality, with the exception of an impact on consolidated results from shifts in regional sales trends from Asia in the first half of a fiscal year to the Americas and EMEA regions in the second half of a fiscal year.</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 Employees</w:t>
      </w:r>
    </w:p>
    <w:p>
      <w:pPr>
        <w:spacing w:after="0" w:line="229" w:lineRule="exact"/>
        <w:rPr>
          <w:sz w:val="20"/>
          <w:szCs w:val="20"/>
          <w:color w:val="auto"/>
        </w:rPr>
      </w:pPr>
    </w:p>
    <w:p>
      <w:pPr>
        <w:ind w:left="60" w:right="219" w:firstLine="432"/>
        <w:spacing w:after="0" w:line="324" w:lineRule="auto"/>
        <w:rPr>
          <w:sz w:val="20"/>
          <w:szCs w:val="20"/>
          <w:color w:val="auto"/>
        </w:rPr>
      </w:pPr>
      <w:r>
        <w:rPr>
          <w:rFonts w:ascii="Arial" w:cs="Arial" w:eastAsia="Arial" w:hAnsi="Arial"/>
          <w:sz w:val="18"/>
          <w:szCs w:val="18"/>
          <w:color w:val="auto"/>
        </w:rPr>
        <w:t>At June 27, 2020, Avnet had approximately 14,600 employees compared to 15,500 employees at June 29, 2019 and 15,400 employees at June 30, 2018.</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139" w:firstLine="427"/>
        <w:spacing w:after="0" w:line="302" w:lineRule="auto"/>
        <w:rPr>
          <w:sz w:val="20"/>
          <w:szCs w:val="20"/>
          <w:color w:val="auto"/>
        </w:rPr>
      </w:pPr>
      <w:r>
        <w:rPr>
          <w:rFonts w:ascii="Arial" w:cs="Arial" w:eastAsia="Arial" w:hAnsi="Arial"/>
          <w:sz w:val="18"/>
          <w:szCs w:val="18"/>
          <w:color w:val="auto"/>
        </w:rPr>
        <w:t>The Company files its annual report on Form 10-K, quarterly reports on Form 10-Q, Current Reports on Form 8-K, proxy statements and other documents, including registration statements, with the U.S. Securities and Exchange Commission (“SEC”) under the Securities Exchange Act of 1934 or the Securities Act of 1933, as applicable. The Company’s SEC filings are available to the public on the SEC’s website at http://www.sec.gov and through The Nasdaq Global Select Market (“Nasdaq”), 165 Broadway, New York, New York 10006, on which the Company’s common stock is listed.</w:t>
      </w:r>
    </w:p>
    <w:p>
      <w:pPr>
        <w:spacing w:after="0" w:line="152" w:lineRule="exact"/>
        <w:rPr>
          <w:sz w:val="20"/>
          <w:szCs w:val="20"/>
          <w:color w:val="auto"/>
        </w:rPr>
      </w:pPr>
    </w:p>
    <w:p>
      <w:pPr>
        <w:ind w:left="60" w:right="319" w:firstLine="432"/>
        <w:spacing w:after="0" w:line="310" w:lineRule="auto"/>
        <w:rPr>
          <w:sz w:val="20"/>
          <w:szCs w:val="20"/>
          <w:color w:val="auto"/>
        </w:rPr>
      </w:pPr>
      <w:r>
        <w:rPr>
          <w:rFonts w:ascii="Arial" w:cs="Arial" w:eastAsia="Arial" w:hAnsi="Arial"/>
          <w:sz w:val="18"/>
          <w:szCs w:val="18"/>
          <w:color w:val="auto"/>
        </w:rPr>
        <w:t>A copy of any of the Company’s filings with the SEC, or any of the agreements or other documents that constitute exhibits to those filings, can be obtained by request directed to the Company at the following address and telephone number: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w:t>
      </w:r>
    </w:p>
    <w:p>
      <w:pPr>
        <w:jc w:val="center"/>
        <w:spacing w:after="0"/>
        <w:rPr>
          <w:sz w:val="20"/>
          <w:szCs w:val="20"/>
          <w:color w:val="auto"/>
        </w:rPr>
      </w:pPr>
      <w:r>
        <w:rPr>
          <w:rFonts w:ascii="Arial" w:cs="Arial" w:eastAsia="Arial" w:hAnsi="Arial"/>
          <w:sz w:val="18"/>
          <w:szCs w:val="18"/>
          <w:color w:val="auto"/>
        </w:rPr>
        <w:t>Phoenix, Arizona 85034</w:t>
      </w:r>
    </w:p>
    <w:p>
      <w:pPr>
        <w:spacing w:after="0" w:line="34" w:lineRule="exact"/>
        <w:rPr>
          <w:sz w:val="20"/>
          <w:szCs w:val="20"/>
          <w:color w:val="auto"/>
        </w:rPr>
      </w:pPr>
    </w:p>
    <w:p>
      <w:pPr>
        <w:ind w:left="4380" w:hanging="438"/>
        <w:spacing w:after="0"/>
        <w:tabs>
          <w:tab w:leader="none" w:pos="4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643-2000</w:t>
      </w:r>
    </w:p>
    <w:p>
      <w:pPr>
        <w:spacing w:after="0" w:line="49" w:lineRule="exact"/>
        <w:rPr>
          <w:rFonts w:ascii="Arial" w:cs="Arial" w:eastAsia="Arial" w:hAnsi="Arial"/>
          <w:sz w:val="18"/>
          <w:szCs w:val="18"/>
          <w:color w:val="auto"/>
        </w:rPr>
      </w:pPr>
    </w:p>
    <w:p>
      <w:pPr>
        <w:ind w:left="340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also makes these filings available, free of charge, through its website (see “Avnet Website” below).</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Avnet Website</w:t>
      </w:r>
    </w:p>
    <w:p>
      <w:pPr>
        <w:spacing w:after="0" w:line="243" w:lineRule="exact"/>
        <w:rPr>
          <w:sz w:val="20"/>
          <w:szCs w:val="20"/>
          <w:color w:val="auto"/>
        </w:rPr>
      </w:pPr>
    </w:p>
    <w:p>
      <w:pPr>
        <w:ind w:left="60" w:right="59" w:firstLine="432"/>
        <w:spacing w:after="0" w:line="310" w:lineRule="auto"/>
        <w:rPr>
          <w:sz w:val="20"/>
          <w:szCs w:val="20"/>
          <w:color w:val="auto"/>
        </w:rPr>
      </w:pPr>
      <w:r>
        <w:rPr>
          <w:rFonts w:ascii="Arial" w:cs="Arial" w:eastAsia="Arial" w:hAnsi="Arial"/>
          <w:sz w:val="18"/>
          <w:szCs w:val="18"/>
          <w:color w:val="auto"/>
        </w:rPr>
        <w:t xml:space="preserve">In addition to the information about the Company contained in this Report, extensive information about the Company can be found at </w:t>
      </w:r>
      <w:r>
        <w:rPr>
          <w:rFonts w:ascii="Arial" w:cs="Arial" w:eastAsia="Arial" w:hAnsi="Arial"/>
          <w:sz w:val="18"/>
          <w:szCs w:val="18"/>
          <w:u w:val="single" w:color="auto"/>
          <w:color w:val="auto"/>
        </w:rPr>
        <w:t>http://www.avnet.com</w:t>
      </w:r>
      <w:r>
        <w:rPr>
          <w:rFonts w:ascii="Arial" w:cs="Arial" w:eastAsia="Arial" w:hAnsi="Arial"/>
          <w:sz w:val="18"/>
          <w:szCs w:val="18"/>
          <w:color w:val="auto"/>
        </w:rPr>
        <w:t>, including information about its management team, products and services and corporate governance practices.</w:t>
      </w:r>
    </w:p>
    <w:p>
      <w:pPr>
        <w:spacing w:after="0" w:line="143" w:lineRule="exact"/>
        <w:rPr>
          <w:sz w:val="20"/>
          <w:szCs w:val="20"/>
          <w:color w:val="auto"/>
        </w:rPr>
      </w:pPr>
    </w:p>
    <w:p>
      <w:pPr>
        <w:ind w:left="60" w:right="119" w:firstLine="432"/>
        <w:spacing w:after="0" w:line="349" w:lineRule="auto"/>
        <w:rPr>
          <w:sz w:val="20"/>
          <w:szCs w:val="20"/>
          <w:color w:val="auto"/>
        </w:rPr>
      </w:pPr>
      <w:r>
        <w:rPr>
          <w:rFonts w:ascii="Arial" w:cs="Arial" w:eastAsia="Arial" w:hAnsi="Arial"/>
          <w:sz w:val="16"/>
          <w:szCs w:val="16"/>
          <w:color w:val="auto"/>
        </w:rPr>
        <w:t xml:space="preserve">The corporate governance information on the Company’s website includes the Company’s Corporate Governance Guidelines, the Code of Conduct and the charters for each of the committees of its Board of Directors. In addition, amendments to these documents and waivers granted to directors and executive officers under the Code of Conduct, if any, will be posted in this area of the website. These documents can be accessed at </w:t>
      </w:r>
      <w:r>
        <w:rPr>
          <w:rFonts w:ascii="Arial" w:cs="Arial" w:eastAsia="Arial" w:hAnsi="Arial"/>
          <w:sz w:val="16"/>
          <w:szCs w:val="16"/>
          <w:u w:val="single" w:color="auto"/>
          <w:color w:val="auto"/>
        </w:rPr>
        <w:t>ir.avnet.com/documents-charters</w:t>
      </w:r>
      <w:r>
        <w:rPr>
          <w:rFonts w:ascii="Arial" w:cs="Arial" w:eastAsia="Arial" w:hAnsi="Arial"/>
          <w:sz w:val="16"/>
          <w:szCs w:val="16"/>
          <w:color w:val="auto"/>
        </w:rPr>
        <w:t>. Printed versions can be obtained, free of charge, by writing to the Company at the address listed above in “Available Information.”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addition, the Company’s filings with the SEC, as well as Section 16 filings made by any of the Company’s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executive officers or directors with respect to the Company’s common stock, are available on the Company’s website</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ir.avnet.com/financial-information/sec-filings</w:t>
      </w:r>
      <w:r>
        <w:rPr>
          <w:rFonts w:ascii="Arial" w:cs="Arial" w:eastAsia="Arial" w:hAnsi="Arial"/>
          <w:sz w:val="16"/>
          <w:szCs w:val="16"/>
          <w:color w:val="auto"/>
        </w:rPr>
        <w:t>) as soon as reasonably practicable after the filing is electronically filed with,</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or furnished to, the SEC.</w:t>
      </w:r>
    </w:p>
    <w:p>
      <w:pPr>
        <w:spacing w:after="0" w:line="239" w:lineRule="exact"/>
        <w:rPr>
          <w:sz w:val="20"/>
          <w:szCs w:val="20"/>
          <w:color w:val="auto"/>
        </w:rPr>
      </w:pPr>
    </w:p>
    <w:p>
      <w:pPr>
        <w:ind w:left="60" w:right="219" w:firstLine="427"/>
        <w:spacing w:after="0" w:line="324" w:lineRule="auto"/>
        <w:rPr>
          <w:sz w:val="20"/>
          <w:szCs w:val="20"/>
          <w:color w:val="auto"/>
        </w:rPr>
      </w:pPr>
      <w:r>
        <w:rPr>
          <w:rFonts w:ascii="Arial" w:cs="Arial" w:eastAsia="Arial" w:hAnsi="Arial"/>
          <w:sz w:val="18"/>
          <w:szCs w:val="18"/>
          <w:color w:val="auto"/>
        </w:rPr>
        <w:t>These details about the Company’s website and its content are only for information. The contents of the Company’s website are not, nor shall they be deemed to be, incorporated by reference in this Report.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62" w:lineRule="exact"/>
        <w:rPr>
          <w:sz w:val="20"/>
          <w:szCs w:val="20"/>
          <w:color w:val="auto"/>
        </w:rPr>
      </w:pPr>
    </w:p>
    <w:p>
      <w:pPr>
        <w:ind w:left="60" w:right="79" w:firstLine="427"/>
        <w:spacing w:after="0" w:line="320"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Avnet. These statements are generally identified by words like “believes,” “plans,” “expects,” “anticipates,” “should,” “will,” “may,” “estimates” or similar expressions. Forward-looking statements are subject to numerous assumptions, risks and uncertainties, and actual results and other outcomes could differ materially from those expressed or implied in the forward-looking statements. Any forward-looking statement speaks only as of the date on which that statement is made. Except as required by law, the Company does not undertake any obligation to update any forward-looking statements to reflect events or circumstances that occur after the date on which the statement is made.</w:t>
      </w:r>
    </w:p>
    <w:p>
      <w:pPr>
        <w:spacing w:after="0" w:line="71" w:lineRule="exact"/>
        <w:rPr>
          <w:sz w:val="20"/>
          <w:szCs w:val="20"/>
          <w:color w:val="auto"/>
        </w:rPr>
      </w:pPr>
    </w:p>
    <w:p>
      <w:pPr>
        <w:ind w:left="60" w:right="119" w:firstLine="427"/>
        <w:spacing w:after="0" w:line="319" w:lineRule="auto"/>
        <w:rPr>
          <w:sz w:val="20"/>
          <w:szCs w:val="20"/>
          <w:color w:val="auto"/>
        </w:rPr>
      </w:pPr>
      <w:r>
        <w:rPr>
          <w:rFonts w:ascii="Arial" w:cs="Arial" w:eastAsia="Arial" w:hAnsi="Arial"/>
          <w:sz w:val="17"/>
          <w:szCs w:val="17"/>
          <w:color w:val="auto"/>
        </w:rPr>
        <w:t>Risks and uncertainties that may cause actual results to differ materially from those contained in the forward-looking statements include the risk factors discussed below, but may also include risks and uncertainties not presently known to the Company or that management does not currently consider material. Such factors make the Company’s operating results for future periods difficult to predict and, therefore, prior results are not necessarily indicative of results to be expected in future periods. Any of the below factors, or any other factors discussed elsewhere in this Report, may have an adverse effect on the Company’s financial condition, operating results, prospects and liquidity. Similarly, the price of the Company’s common stock is subject to volatility due to fluctuations in general market conditions; actual financial results that do not meet the Company’s or the investment community’s expectations; changes in the Company’s or the investment community’s expectations for the Company’s future results, dividends or share repurchases; and other factors, many of which are beyond the Company’s control.</w:t>
      </w:r>
    </w:p>
    <w:p>
      <w:pPr>
        <w:spacing w:after="0" w:line="142" w:lineRule="exact"/>
        <w:rPr>
          <w:sz w:val="20"/>
          <w:szCs w:val="20"/>
          <w:color w:val="auto"/>
        </w:rPr>
      </w:pPr>
    </w:p>
    <w:p>
      <w:pPr>
        <w:ind w:left="60" w:right="239"/>
        <w:spacing w:after="0" w:line="310" w:lineRule="auto"/>
        <w:rPr>
          <w:sz w:val="20"/>
          <w:szCs w:val="20"/>
          <w:color w:val="auto"/>
        </w:rPr>
      </w:pPr>
      <w:r>
        <w:rPr>
          <w:rFonts w:ascii="Arial" w:cs="Arial" w:eastAsia="Arial" w:hAnsi="Arial"/>
          <w:sz w:val="18"/>
          <w:szCs w:val="18"/>
          <w:b w:val="1"/>
          <w:bCs w:val="1"/>
          <w:i w:val="1"/>
          <w:iCs w:val="1"/>
          <w:color w:val="auto"/>
        </w:rPr>
        <w:t>The COVID-19 pandemic has negatively impacted the global economy, disrupted global supply chains, impacted the operations of the Company and its business partners and negatively impacted the Company’s operations and financial results.</w:t>
      </w:r>
    </w:p>
    <w:p>
      <w:pPr>
        <w:spacing w:after="0" w:line="75" w:lineRule="exact"/>
        <w:rPr>
          <w:sz w:val="20"/>
          <w:szCs w:val="20"/>
          <w:color w:val="auto"/>
        </w:rPr>
      </w:pPr>
    </w:p>
    <w:p>
      <w:pPr>
        <w:ind w:left="60" w:right="179" w:firstLine="427"/>
        <w:spacing w:after="0" w:line="340" w:lineRule="auto"/>
        <w:rPr>
          <w:sz w:val="20"/>
          <w:szCs w:val="20"/>
          <w:color w:val="auto"/>
        </w:rPr>
      </w:pPr>
      <w:r>
        <w:rPr>
          <w:rFonts w:ascii="Arial" w:cs="Arial" w:eastAsia="Arial" w:hAnsi="Arial"/>
          <w:sz w:val="16"/>
          <w:szCs w:val="16"/>
          <w:color w:val="auto"/>
        </w:rPr>
        <w:t>The COVID-19 outbreak has negatively impacted the global economy, disrupted global supply chains, constrained workforce participation due to travel restrictions and quarantine orders, disrupted logistics and distribution systems, and created significant volatility and disruption of financial markets. As a result, this pandemic has negatively impacted the operations of the Company and its customers and suppliers, and resulted in or heightened the risks of customer bankruptcies, customer delayed or defaulted payments, acceleration of TI’s planned withdrawal as a supplier, restrictions on access to financial markets and other risk factors described in the Company’s Annual Report. While the Company has not yet experienced any material disruption to its upstream supply chain and many of its distribution centers remain operational under business continuity plans, it has experienced increased logistics costs, softer product demand, price constraints, longer lead times in certain regions, reduction in global distribution center utilization, and shipping delays. To mitigate the impact of COVID-19, the Company has implemented business continuity plans, with a focus on employee safety and mitigation of business disruptions. The Company is also taking steps to conserve cash and</w:t>
      </w:r>
    </w:p>
    <w:p>
      <w:pPr>
        <w:sectPr>
          <w:pgSz w:w="11900" w:h="16838" w:orient="portrait"/>
          <w:cols w:equalWidth="0" w:num="1">
            <w:col w:w="9019"/>
          </w:cols>
          <w:pgMar w:left="1440" w:top="517" w:right="1440"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right="79"/>
        <w:spacing w:after="0" w:line="306" w:lineRule="auto"/>
        <w:rPr>
          <w:sz w:val="20"/>
          <w:szCs w:val="20"/>
          <w:color w:val="auto"/>
        </w:rPr>
      </w:pPr>
      <w:r>
        <w:rPr>
          <w:rFonts w:ascii="Arial" w:cs="Arial" w:eastAsia="Arial" w:hAnsi="Arial"/>
          <w:sz w:val="18"/>
          <w:szCs w:val="18"/>
          <w:color w:val="auto"/>
        </w:rPr>
        <w:t>effectively manage its debt. As the scope and duration of the COVID-19 outbreak is unknown and the extent of its economic impact continues to evolve globally, there is significant uncertainty related to the ultimate impact that it will have on the Company’s business, its employees, results of operations and financial condition, and to what extent the Company’s actions to mitigate such impacts will be successful and sufficient.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Economic weakness and geopolitical uncertainty could adversely affect the Company’s results and prospects.</w:t>
      </w:r>
    </w:p>
    <w:p>
      <w:pPr>
        <w:spacing w:after="0" w:line="181" w:lineRule="exact"/>
        <w:rPr>
          <w:sz w:val="20"/>
          <w:szCs w:val="20"/>
          <w:color w:val="auto"/>
        </w:rPr>
      </w:pPr>
    </w:p>
    <w:p>
      <w:pPr>
        <w:ind w:left="60" w:right="99" w:firstLine="427"/>
        <w:spacing w:after="0" w:line="344" w:lineRule="auto"/>
        <w:rPr>
          <w:sz w:val="20"/>
          <w:szCs w:val="20"/>
          <w:color w:val="auto"/>
        </w:rPr>
      </w:pPr>
      <w:r>
        <w:rPr>
          <w:rFonts w:ascii="Arial" w:cs="Arial" w:eastAsia="Arial" w:hAnsi="Arial"/>
          <w:sz w:val="16"/>
          <w:szCs w:val="16"/>
          <w:color w:val="auto"/>
        </w:rPr>
        <w:t>The Company’s financial results, operations and prospects depend significantly on worldwide economic and geopolitical conditions, the demand for its products and services, and the financial condition of its customers and suppliers. Economic weakness and geopolitical uncertainty, including the uncertainty caused by the COVID-19 pandemic and the United Kingdom’s withdrawal from the European Union commonly referred to as “Brexit,” have in the past resulted, and may result in the future, in decreased sales, margins and earnings. Economic weakness and geopolitical uncertainty may also lead the Company to impair assets, including goodwill, intangible assets and other long-lived assets, and increased restructuring expenses to reduce expenses in response to decreased sales or margins.</w:t>
      </w:r>
    </w:p>
    <w:p>
      <w:pPr>
        <w:spacing w:after="0" w:line="58" w:lineRule="exact"/>
        <w:rPr>
          <w:sz w:val="20"/>
          <w:szCs w:val="20"/>
          <w:color w:val="auto"/>
        </w:rPr>
      </w:pPr>
    </w:p>
    <w:p>
      <w:pPr>
        <w:ind w:left="60" w:right="79" w:firstLine="427"/>
        <w:spacing w:after="0" w:line="349" w:lineRule="auto"/>
        <w:rPr>
          <w:sz w:val="20"/>
          <w:szCs w:val="20"/>
          <w:color w:val="auto"/>
        </w:rPr>
      </w:pPr>
      <w:r>
        <w:rPr>
          <w:rFonts w:ascii="Arial" w:cs="Arial" w:eastAsia="Arial" w:hAnsi="Arial"/>
          <w:sz w:val="16"/>
          <w:szCs w:val="16"/>
          <w:color w:val="auto"/>
        </w:rPr>
        <w:t>The Company may not be able to adequately adjust its cost structure in a timely fashion, which may adversely impact its profitability. Uncertainty about economic conditions may increase foreign currency volatility in markets in which the Company transacts business, which may negatively impact the Company’s results. Economic weakness and geopolitical uncertainty also make it more difficult for the Company to manage inventory levels and/or collect customer receivables, which may result in provisions to create reserves, write-offs, reduced access to liquidity and higher financing costs.</w:t>
      </w:r>
    </w:p>
    <w:p>
      <w:pPr>
        <w:spacing w:after="0" w:line="53" w:lineRule="exact"/>
        <w:rPr>
          <w:sz w:val="20"/>
          <w:szCs w:val="20"/>
          <w:color w:val="auto"/>
        </w:rPr>
      </w:pPr>
    </w:p>
    <w:p>
      <w:pPr>
        <w:ind w:left="60" w:right="79" w:firstLine="427"/>
        <w:spacing w:after="0" w:line="349" w:lineRule="auto"/>
        <w:rPr>
          <w:sz w:val="20"/>
          <w:szCs w:val="20"/>
          <w:color w:val="auto"/>
        </w:rPr>
      </w:pPr>
      <w:r>
        <w:rPr>
          <w:rFonts w:ascii="Arial" w:cs="Arial" w:eastAsia="Arial" w:hAnsi="Arial"/>
          <w:sz w:val="16"/>
          <w:szCs w:val="16"/>
          <w:color w:val="auto"/>
        </w:rPr>
        <w:t>The Company is monitoring the implementation and effects of Brexit and developing contingency plans, including changes to its logistics operations and shipment routes and preparing for changes in trade facilitation regulations. While the extent of the impact of Brexit is not yet fully known, Brexit has led to instability and uncertainty in the United Kingdom and the European Union, could contribute to logistical and regulatory delays at borders and volatility in the foreign exchange markets and may have an adverse effect on the Company’s trade operations and financial results.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Company experiences significant competitive pressure, which may negatively impact its results.</w:t>
      </w:r>
    </w:p>
    <w:p>
      <w:pPr>
        <w:spacing w:after="0" w:line="158" w:lineRule="exact"/>
        <w:rPr>
          <w:sz w:val="20"/>
          <w:szCs w:val="20"/>
          <w:color w:val="auto"/>
        </w:rPr>
      </w:pPr>
    </w:p>
    <w:p>
      <w:pPr>
        <w:ind w:left="60" w:right="99" w:firstLine="427"/>
        <w:spacing w:after="0" w:line="321" w:lineRule="auto"/>
        <w:rPr>
          <w:sz w:val="20"/>
          <w:szCs w:val="20"/>
          <w:color w:val="auto"/>
        </w:rPr>
      </w:pPr>
      <w:r>
        <w:rPr>
          <w:rFonts w:ascii="Arial" w:cs="Arial" w:eastAsia="Arial" w:hAnsi="Arial"/>
          <w:sz w:val="17"/>
          <w:szCs w:val="17"/>
          <w:color w:val="auto"/>
        </w:rPr>
        <w:t>The market for the Company’s products and services is very competitive and subject to rapid technological advances, new market entrants, non-traditional competitors, changes in industry standards and changes in customer needs and consumption models. Not only does the Company compete with other global distributors, it also competes for customers with regional distributors and some of the Company’s own suppliers that maintain direct sales efforts. In addition, as the Company expands its offerings and geographies, the Company may encounter increased competition from current or new competitors. The Company’s failure to maintain and enhance its competitive position could adversely affect its business and prospects. Furthermore, the Company’s efforts to compete in the marketplace could cause deterioration of gross profit margins and, thus, overall profitability.</w:t>
      </w:r>
    </w:p>
    <w:p>
      <w:pPr>
        <w:spacing w:after="0" w:line="68" w:lineRule="exact"/>
        <w:rPr>
          <w:sz w:val="20"/>
          <w:szCs w:val="20"/>
          <w:color w:val="auto"/>
        </w:rPr>
      </w:pPr>
    </w:p>
    <w:p>
      <w:pPr>
        <w:ind w:left="60" w:right="119" w:firstLine="427"/>
        <w:spacing w:after="0" w:line="304" w:lineRule="auto"/>
        <w:rPr>
          <w:sz w:val="20"/>
          <w:szCs w:val="20"/>
          <w:color w:val="auto"/>
        </w:rPr>
      </w:pPr>
      <w:r>
        <w:rPr>
          <w:rFonts w:ascii="Arial" w:cs="Arial" w:eastAsia="Arial" w:hAnsi="Arial"/>
          <w:sz w:val="18"/>
          <w:szCs w:val="18"/>
          <w:color w:val="auto"/>
        </w:rPr>
        <w:t>The size of the Company’s competitors varies across market sectors, as do the resources the Company has allocated to the sectors and geographic areas in which it does business. Therefore, some competitors may have greater resources or a more extensive customer or supplier base than the Company has in one or more of its market sectors and geographic areas, which may result in the Company not being able to effectively compete in certain markets which could impact the Company’s profitability and prospects.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Changes in customer needs and consumption models could significantly affect the Company’s operating results.</w:t>
      </w:r>
    </w:p>
    <w:p>
      <w:pPr>
        <w:spacing w:after="0" w:line="181" w:lineRule="exact"/>
        <w:rPr>
          <w:sz w:val="20"/>
          <w:szCs w:val="20"/>
          <w:color w:val="auto"/>
        </w:rPr>
      </w:pPr>
    </w:p>
    <w:p>
      <w:pPr>
        <w:ind w:left="60" w:right="319" w:firstLine="427"/>
        <w:spacing w:after="0" w:line="364" w:lineRule="auto"/>
        <w:rPr>
          <w:sz w:val="20"/>
          <w:szCs w:val="20"/>
          <w:color w:val="auto"/>
        </w:rPr>
      </w:pPr>
      <w:r>
        <w:rPr>
          <w:rFonts w:ascii="Arial" w:cs="Arial" w:eastAsia="Arial" w:hAnsi="Arial"/>
          <w:sz w:val="16"/>
          <w:szCs w:val="16"/>
          <w:color w:val="auto"/>
        </w:rPr>
        <w:t>Changes in customer needs and consumption models may cause a decline in the Company’s billings, which would have a negative impact on the Company’s financial results. While the Company attempts to identify changes in market conditions as soon as possible, the dynamics of the industries in which it operates make prediction of, and timely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reaction to, such changes difficult.</w:t>
      </w:r>
    </w:p>
    <w:p>
      <w:pPr>
        <w:spacing w:after="0" w:line="158" w:lineRule="exact"/>
        <w:rPr>
          <w:sz w:val="20"/>
          <w:szCs w:val="20"/>
          <w:color w:val="auto"/>
        </w:rPr>
      </w:pPr>
    </w:p>
    <w:p>
      <w:pPr>
        <w:ind w:left="60" w:right="119" w:firstLine="427"/>
        <w:spacing w:after="0" w:line="346" w:lineRule="auto"/>
        <w:rPr>
          <w:sz w:val="20"/>
          <w:szCs w:val="20"/>
          <w:color w:val="auto"/>
        </w:rPr>
      </w:pPr>
      <w:r>
        <w:rPr>
          <w:rFonts w:ascii="Arial" w:cs="Arial" w:eastAsia="Arial" w:hAnsi="Arial"/>
          <w:sz w:val="16"/>
          <w:szCs w:val="16"/>
          <w:color w:val="auto"/>
        </w:rPr>
        <w:t>Future downturns in the semiconductor and embedded solutions industries could adversely affect the Company’s operating results and negatively impact the Company’s ability to maintain its current profitability levels. In addition, the semiconductor industry has historically experienced periodic fluctuations in product supply and demand, often associated with changes in economic conditions, technology and manufacturing capacity. During fiscal years 2020, 2019 and 2018, sales of semiconductors represented approximately 76%, 77%, and 78% of the Company's consolidated sales, respectively, and the Company’s sales closely follow the strength or weakness of the semiconductor industry.</w:t>
      </w:r>
    </w:p>
    <w:p>
      <w:pPr>
        <w:spacing w:after="0" w:line="56" w:lineRule="exact"/>
        <w:rPr>
          <w:sz w:val="20"/>
          <w:szCs w:val="20"/>
          <w:color w:val="auto"/>
        </w:rPr>
      </w:pPr>
    </w:p>
    <w:p>
      <w:pPr>
        <w:ind w:left="60" w:right="199" w:firstLine="427"/>
        <w:spacing w:after="0" w:line="306" w:lineRule="auto"/>
        <w:rPr>
          <w:sz w:val="20"/>
          <w:szCs w:val="20"/>
          <w:color w:val="auto"/>
        </w:rPr>
      </w:pPr>
      <w:r>
        <w:rPr>
          <w:rFonts w:ascii="Arial" w:cs="Arial" w:eastAsia="Arial" w:hAnsi="Arial"/>
          <w:sz w:val="18"/>
          <w:szCs w:val="18"/>
          <w:color w:val="auto"/>
        </w:rPr>
        <w:t>Due to the Company’s increased online sales, system interruptions and delays that make its websites and services unavailable or slow to respond may reduce the attractiveness of its products and services to its customers. If the Company is unable to continually improve the efficiency of its systems, it could cause systems interruptions or delays and adversely affect the Company’s operating results.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Failure to maintain or develop new relationships with key suppliers could adversely affect the Company’s sales.</w:t>
      </w:r>
    </w:p>
    <w:p>
      <w:pPr>
        <w:spacing w:after="0" w:line="181" w:lineRule="exact"/>
        <w:rPr>
          <w:sz w:val="20"/>
          <w:szCs w:val="20"/>
          <w:color w:val="auto"/>
        </w:rPr>
      </w:pPr>
    </w:p>
    <w:p>
      <w:pPr>
        <w:ind w:left="60" w:right="139" w:firstLine="427"/>
        <w:spacing w:after="0" w:line="339" w:lineRule="auto"/>
        <w:rPr>
          <w:sz w:val="20"/>
          <w:szCs w:val="20"/>
          <w:color w:val="auto"/>
        </w:rPr>
      </w:pPr>
      <w:r>
        <w:rPr>
          <w:rFonts w:ascii="Arial" w:cs="Arial" w:eastAsia="Arial" w:hAnsi="Arial"/>
          <w:sz w:val="16"/>
          <w:szCs w:val="16"/>
          <w:color w:val="auto"/>
        </w:rPr>
        <w:t>One of the Company’s competitive strengths is the breadth and quality of the suppliers whose products the Company distributes. For fiscal 2020, there were no Company suppliers which accounted for 10% or more of the Company’s consolidated billings. The Company’s contracts with its suppliers vary in duration and are generally terminable by either party at will upon notice. To the extent any primary suppliers terminate or significantly reduce their volume of business with the Company because of a product shortage, an unwillingness to do business with the Company, changes in strategy or otherwise, the Company’s business and relationships with its customers could be negatively affected because its customers depend on the Company’s distribution of technology hardware and software from the industry’s leading suppliers. In addition, suppliers’ strategy shifts or performance issues may negatively affect the Company’s financial results. During the second quarter of fiscal 2020, the Company received notification from one of its largest suppliers Texas Instruments Incorporated (“TI”) that it planned to terminate the Company’s distribution agreement by December 31, 2020 due to the evolution of its strategy. Sales from TI products represented approximately 9% and 10% of total sales in fiscal 2020 and 2019 respectively. If the impact of this termination is not offset over time by sales growth, gross margin improvements or operating cost reductions, the Company will experience lower sales and gross profits in the future.</w:t>
      </w:r>
    </w:p>
    <w:p>
      <w:pPr>
        <w:spacing w:after="0" w:line="64" w:lineRule="exact"/>
        <w:rPr>
          <w:sz w:val="20"/>
          <w:szCs w:val="20"/>
          <w:color w:val="auto"/>
        </w:rPr>
      </w:pPr>
    </w:p>
    <w:p>
      <w:pPr>
        <w:ind w:left="60" w:right="139" w:firstLine="427"/>
        <w:spacing w:after="0" w:line="304" w:lineRule="auto"/>
        <w:rPr>
          <w:sz w:val="20"/>
          <w:szCs w:val="20"/>
          <w:color w:val="auto"/>
        </w:rPr>
      </w:pPr>
      <w:r>
        <w:rPr>
          <w:rFonts w:ascii="Arial" w:cs="Arial" w:eastAsia="Arial" w:hAnsi="Arial"/>
          <w:sz w:val="18"/>
          <w:szCs w:val="18"/>
          <w:color w:val="auto"/>
        </w:rPr>
        <w:t>The competitive landscape has also experienced a consolidation among suppliers, which could negatively impact the Company’s profitability and customer base. Further, to the extent that any of the Company’s key suppliers modify the terms of their contracts including, without limitation, the terms regarding price protection, rights of return, rebates or other terms that protect or enhance the Company’s gross margins, it could negatively affect the Company’s results of operations, financial condition or liquidity.</w:t>
      </w:r>
    </w:p>
    <w:p>
      <w:pPr>
        <w:spacing w:after="0" w:line="161" w:lineRule="exact"/>
        <w:rPr>
          <w:sz w:val="20"/>
          <w:szCs w:val="20"/>
          <w:color w:val="auto"/>
        </w:rPr>
      </w:pPr>
    </w:p>
    <w:p>
      <w:pPr>
        <w:ind w:left="60" w:right="259"/>
        <w:spacing w:after="0" w:line="432" w:lineRule="auto"/>
        <w:rPr>
          <w:sz w:val="20"/>
          <w:szCs w:val="20"/>
          <w:color w:val="auto"/>
        </w:rPr>
      </w:pPr>
      <w:r>
        <w:rPr>
          <w:rFonts w:ascii="Arial" w:cs="Arial" w:eastAsia="Arial" w:hAnsi="Arial"/>
          <w:sz w:val="15"/>
          <w:szCs w:val="15"/>
          <w:b w:val="1"/>
          <w:bCs w:val="1"/>
          <w:i w:val="1"/>
          <w:iCs w:val="1"/>
          <w:color w:val="auto"/>
        </w:rPr>
        <w:t>The Company’s non-U.S. locations represent a significant portion of its sales and, consequently, the Company is exposed to risks associated with operating internationally that could adversely affect the Company’s operating results.</w:t>
      </w:r>
    </w:p>
    <w:p>
      <w:pPr>
        <w:ind w:left="60" w:right="259" w:firstLine="427"/>
        <w:spacing w:after="0" w:line="306" w:lineRule="auto"/>
        <w:rPr>
          <w:sz w:val="20"/>
          <w:szCs w:val="20"/>
          <w:color w:val="auto"/>
        </w:rPr>
      </w:pPr>
      <w:r>
        <w:rPr>
          <w:rFonts w:ascii="Arial" w:cs="Arial" w:eastAsia="Arial" w:hAnsi="Arial"/>
          <w:sz w:val="18"/>
          <w:szCs w:val="18"/>
          <w:color w:val="auto"/>
        </w:rPr>
        <w:t>During fiscal 2020, 2019 and 2018 approximately 75%, 75% and 76%, respectively, of the Company’s sales came from its operations outside the United States. As a result of the Company’s international operations, in particular those in emerging and developing economies, the Company’s operations are subject to a variety of risks that are specific to international operations, including, but not limited to, the following:</w:t>
      </w:r>
    </w:p>
    <w:p>
      <w:pPr>
        <w:spacing w:after="0" w:line="78" w:lineRule="exact"/>
        <w:rPr>
          <w:sz w:val="20"/>
          <w:szCs w:val="20"/>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restrictions on the Company’s ability to repatriate funds from its foreign subsidiaries;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and interest rate fluctuations and the impact on the Company’s results of operations;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compliance with foreign and domestic data privacy regulations, business licensing requirements, environmental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820" w:right="79"/>
        <w:spacing w:after="0" w:line="324" w:lineRule="auto"/>
        <w:rPr>
          <w:sz w:val="20"/>
          <w:szCs w:val="20"/>
          <w:color w:val="auto"/>
        </w:rPr>
      </w:pPr>
      <w:r>
        <w:rPr>
          <w:rFonts w:ascii="Arial" w:cs="Arial" w:eastAsia="Arial" w:hAnsi="Arial"/>
          <w:sz w:val="18"/>
          <w:szCs w:val="18"/>
          <w:color w:val="auto"/>
        </w:rPr>
        <w:t>regulations and anti-corruption laws, the failure of which could result in severe penalties including monetary fines and criminal proceedings;</w:t>
      </w:r>
    </w:p>
    <w:p>
      <w:pPr>
        <w:spacing w:after="0" w:line="62" w:lineRule="exact"/>
        <w:rPr>
          <w:sz w:val="20"/>
          <w:szCs w:val="20"/>
          <w:color w:val="auto"/>
        </w:rPr>
      </w:pPr>
    </w:p>
    <w:p>
      <w:pPr>
        <w:jc w:val="both"/>
        <w:ind w:left="820" w:right="79" w:hanging="324"/>
        <w:spacing w:after="0" w:line="306"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foreign and domestic import and export regulations and adoption or expansion of trade restrictions, including technology transfer restrictions, additional license, permit or authorization requirements for shipments, specific company sanctions, new and higher duties, tariffs or surcharges, or other import/export controls, unilaterally or bilaterally;</w:t>
      </w:r>
    </w:p>
    <w:p>
      <w:pPr>
        <w:spacing w:after="0" w:line="78"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complex and changing tax laws and regulations;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requirements and prohibitions that differ between jurisdictions;</w:t>
      </w:r>
    </w:p>
    <w:p>
      <w:pPr>
        <w:spacing w:after="0" w:line="157" w:lineRule="exact"/>
        <w:rPr>
          <w:rFonts w:ascii="Arial" w:cs="Arial" w:eastAsia="Arial" w:hAnsi="Arial"/>
          <w:sz w:val="18"/>
          <w:szCs w:val="18"/>
          <w:color w:val="auto"/>
        </w:rPr>
      </w:pPr>
    </w:p>
    <w:p>
      <w:pPr>
        <w:ind w:left="820" w:right="239" w:hanging="324"/>
        <w:spacing w:after="0" w:line="32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political instability (including the uncertainty caused by Brexit), terrorism and potential military conflicts or civilian unrest;</w:t>
      </w:r>
    </w:p>
    <w:p>
      <w:pPr>
        <w:spacing w:after="0" w:line="62" w:lineRule="exact"/>
        <w:rPr>
          <w:rFonts w:ascii="Arial" w:cs="Arial" w:eastAsia="Arial" w:hAnsi="Arial"/>
          <w:sz w:val="18"/>
          <w:szCs w:val="18"/>
          <w:color w:val="auto"/>
        </w:rPr>
      </w:pPr>
    </w:p>
    <w:p>
      <w:pPr>
        <w:ind w:left="820" w:right="79" w:hanging="324"/>
        <w:spacing w:after="0" w:line="32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freight costs, limitations on shipping and receiving capacity, and other disruptions in the transportation and shipping infrastructure;</w:t>
      </w:r>
    </w:p>
    <w:p>
      <w:pPr>
        <w:spacing w:after="0" w:line="62"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pandemics and other public health crises;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environmental regulations and employment practices and labor issues; and</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of non-compliance with local laws.</w:t>
      </w:r>
    </w:p>
    <w:p>
      <w:pPr>
        <w:spacing w:after="0" w:line="158" w:lineRule="exact"/>
        <w:rPr>
          <w:sz w:val="20"/>
          <w:szCs w:val="20"/>
          <w:color w:val="auto"/>
        </w:rPr>
      </w:pPr>
    </w:p>
    <w:p>
      <w:pPr>
        <w:ind w:left="60" w:right="59" w:firstLine="427"/>
        <w:spacing w:after="0" w:line="341" w:lineRule="auto"/>
        <w:rPr>
          <w:sz w:val="20"/>
          <w:szCs w:val="20"/>
          <w:color w:val="auto"/>
        </w:rPr>
      </w:pPr>
      <w:r>
        <w:rPr>
          <w:rFonts w:ascii="Arial" w:cs="Arial" w:eastAsia="Arial" w:hAnsi="Arial"/>
          <w:sz w:val="16"/>
          <w:szCs w:val="16"/>
          <w:color w:val="auto"/>
        </w:rPr>
        <w:t>In addition to the cost of compliance, the potential criminal penalties for violations of import or export regulations and anti-corruption laws by the Company or its third-party agents create heightened risks for the Company’s international operations. In the event that a governing regulatory body determines that the Company has violated applicable import or export regulations or anti-corruption laws, the Company could be fined significant sums, incur sizable legal defense costs, have its import or export capabilities restricted or denied and/or have its inventories seized, which could have a material and adverse effect on the Company’s business. Additionally, allegations that the Company has violated a governmental regulation may negatively impact the Company’s reputation, which may result in customers or suppliers being unwilling to do business with the Company. While the Company has adopted measures and controls designed to ensure compliance with these laws, the Company cannot be assured that such measures will be adequate or that its business will not be materially and adversely impacted in the event of an alleged violation.</w:t>
      </w:r>
    </w:p>
    <w:p>
      <w:pPr>
        <w:spacing w:after="0" w:line="59" w:lineRule="exact"/>
        <w:rPr>
          <w:sz w:val="20"/>
          <w:szCs w:val="20"/>
          <w:color w:val="auto"/>
        </w:rPr>
      </w:pPr>
    </w:p>
    <w:p>
      <w:pPr>
        <w:ind w:left="60" w:right="79" w:firstLine="427"/>
        <w:spacing w:after="0" w:line="340" w:lineRule="auto"/>
        <w:rPr>
          <w:sz w:val="20"/>
          <w:szCs w:val="20"/>
          <w:color w:val="auto"/>
        </w:rPr>
      </w:pPr>
      <w:r>
        <w:rPr>
          <w:rFonts w:ascii="Arial" w:cs="Arial" w:eastAsia="Arial" w:hAnsi="Arial"/>
          <w:sz w:val="16"/>
          <w:szCs w:val="16"/>
          <w:color w:val="auto"/>
        </w:rPr>
        <w:t>The Company transacts sales, pays expenses, owns assets and incurs liabilities in countries using currencies other than the U.S. Dollar. Because the Company’s consolidated financial statements are presented in U.S. Dollars, the Company must translate sales, income and expenses, as well as assets and liabilities, into U.S. Dollars at exchange rates in effect during each reporting period. Therefore, increases or decreases in the exchange rates between the U.S. Dollar and other currencies affect the Company’s reported amounts of sales, operating income, and assets and liabilities denominated in foreign currencies. In addition, unexpected and dramatic changes in foreign currency exchange rates may negatively affect the Company’s earnings from those markets. While the Company may use derivative financial instruments to further reduce its net exposure to foreign currency exchange rate fluctuations, there can be no assurance that fluctuations in foreign currency exchange rates will not materially affect the Company’s financial results. Further, foreign currency instability and disruptions in the credit and capital markets may increase credit risks for some of the Company’s customers and may impair its customers’ ability to repay existing obligations.</w:t>
      </w:r>
    </w:p>
    <w:p>
      <w:pPr>
        <w:spacing w:after="0" w:line="62" w:lineRule="exact"/>
        <w:rPr>
          <w:sz w:val="20"/>
          <w:szCs w:val="20"/>
          <w:color w:val="auto"/>
        </w:rPr>
      </w:pPr>
    </w:p>
    <w:p>
      <w:pPr>
        <w:ind w:left="60" w:right="99" w:firstLine="427"/>
        <w:spacing w:after="0" w:line="354" w:lineRule="auto"/>
        <w:rPr>
          <w:sz w:val="20"/>
          <w:szCs w:val="20"/>
          <w:color w:val="auto"/>
        </w:rPr>
      </w:pPr>
      <w:r>
        <w:rPr>
          <w:rFonts w:ascii="Arial" w:cs="Arial" w:eastAsia="Arial" w:hAnsi="Arial"/>
          <w:sz w:val="16"/>
          <w:szCs w:val="16"/>
          <w:color w:val="auto"/>
        </w:rPr>
        <w:t>The U.S. government imposed new or higher tariffs on certain products imported into the U.S., and the Chinese government imposed new or higher tariffs on certain products imported into China. New trade policies, regulations, license requirements and restrictions affecting sales and shipments to specific China-based customers and of certain U.S. commodities and technologies to China have also been implemented. Additionally, several trade policies, rules and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spacing w:after="0" w:line="319" w:lineRule="auto"/>
        <w:rPr>
          <w:sz w:val="20"/>
          <w:szCs w:val="20"/>
          <w:color w:val="auto"/>
        </w:rPr>
      </w:pPr>
      <w:r>
        <w:rPr>
          <w:rFonts w:ascii="Arial" w:cs="Arial" w:eastAsia="Arial" w:hAnsi="Arial"/>
          <w:sz w:val="17"/>
          <w:szCs w:val="17"/>
          <w:color w:val="auto"/>
        </w:rPr>
        <w:t>restrictions applicable to China are now applicable to Hong Kong. These actions have resulted in increased costs, including increased costs of procuring certain products the Company purchases from its suppliers, and other related expenses. While the Company intends to reflect such increased costs in its selling prices, such price increases may impact the Company’s sales and customer demand for certain products. In addition, increased operational expenses incurred in minimizing the number of products subject to the tariffs could adversely affect the operating profits for certain of its business units. Neither such U.S. tariffs nor any retaliatory tariffs imposed by other countries on U.S. goods have yet had a material impact, but there can be no assurance that future actions or escalations that affect trade relations will not occur or will not materially affect the Company’s sales and results of operations. To the extent that Company sales or profitability are negatively affected by any such tariffs or other trade actions, the Company’s business and results of operations may be materially adversely affected.</w:t>
      </w:r>
    </w:p>
    <w:p>
      <w:pPr>
        <w:spacing w:after="0" w:line="156" w:lineRule="exact"/>
        <w:rPr>
          <w:sz w:val="20"/>
          <w:szCs w:val="20"/>
          <w:color w:val="auto"/>
        </w:rPr>
      </w:pPr>
    </w:p>
    <w:p>
      <w:pPr>
        <w:ind w:left="60" w:right="639"/>
        <w:spacing w:after="0" w:line="395" w:lineRule="auto"/>
        <w:rPr>
          <w:sz w:val="20"/>
          <w:szCs w:val="20"/>
          <w:color w:val="auto"/>
        </w:rPr>
      </w:pPr>
      <w:r>
        <w:rPr>
          <w:rFonts w:ascii="Arial" w:cs="Arial" w:eastAsia="Arial" w:hAnsi="Arial"/>
          <w:sz w:val="16"/>
          <w:szCs w:val="16"/>
          <w:b w:val="1"/>
          <w:bCs w:val="1"/>
          <w:i w:val="1"/>
          <w:iCs w:val="1"/>
          <w:color w:val="auto"/>
        </w:rPr>
        <w:t>If the Company’s internal information systems fail to function properly, or if the Company is unsuccessful in the implementation, integration or upgrade of information systems, its business operations could suffer.</w:t>
      </w:r>
    </w:p>
    <w:p>
      <w:pPr>
        <w:spacing w:after="0" w:line="15" w:lineRule="exact"/>
        <w:rPr>
          <w:sz w:val="20"/>
          <w:szCs w:val="20"/>
          <w:color w:val="auto"/>
        </w:rPr>
      </w:pPr>
    </w:p>
    <w:p>
      <w:pPr>
        <w:ind w:left="60" w:right="139" w:firstLine="427"/>
        <w:spacing w:after="0" w:line="340" w:lineRule="auto"/>
        <w:rPr>
          <w:sz w:val="20"/>
          <w:szCs w:val="20"/>
          <w:color w:val="auto"/>
        </w:rPr>
      </w:pPr>
      <w:r>
        <w:rPr>
          <w:rFonts w:ascii="Arial" w:cs="Arial" w:eastAsia="Arial" w:hAnsi="Arial"/>
          <w:sz w:val="16"/>
          <w:szCs w:val="16"/>
          <w:color w:val="auto"/>
        </w:rPr>
        <w:t>The Company is dependent on its information systems to facilitate the day-to-day operations of the business and to produce timely, accurate and reliable information on financial and operational results. Currently, the Company’s global operations are tracked with multiple information systems, some of which are subject to ongoing IT projects designed to streamline or optimize the Company’s global information systems. These IT projects are extremely complex, in part, because of a wide range of processes, the multiple legacy systems used and the Company’s business operations. There is no guarantee that the Company will be successful at all times in these efforts or that there will not be implementation or integration difficulties that will adversely affect the Company’s ability to complete business transactions and ensure accurate recording and reporting of financial data. In addition, the Company may be unable to achieve the expected efficiencies and cost savings as a result of the IT projects, thus negatively impacting the Company’s financial results. A failure of any of these information systems in a way described above or material difficulties in upgrading these information systems could have an adverse effect on the Company’s business, internal controls and reporting obligations under federal securities laws.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Major disruptions to the Company’s logistics capability could have an adverse impact on the Company’s operations.</w:t>
      </w:r>
    </w:p>
    <w:p>
      <w:pPr>
        <w:spacing w:after="0" w:line="181" w:lineRule="exact"/>
        <w:rPr>
          <w:sz w:val="20"/>
          <w:szCs w:val="20"/>
          <w:color w:val="auto"/>
        </w:rPr>
      </w:pPr>
    </w:p>
    <w:p>
      <w:pPr>
        <w:ind w:left="60" w:right="119" w:firstLine="427"/>
        <w:spacing w:after="0" w:line="301" w:lineRule="auto"/>
        <w:rPr>
          <w:sz w:val="20"/>
          <w:szCs w:val="20"/>
          <w:color w:val="auto"/>
        </w:rPr>
      </w:pPr>
      <w:r>
        <w:rPr>
          <w:rFonts w:ascii="Arial" w:cs="Arial" w:eastAsia="Arial" w:hAnsi="Arial"/>
          <w:sz w:val="18"/>
          <w:szCs w:val="18"/>
          <w:color w:val="auto"/>
        </w:rPr>
        <w:t>The Company’s global logistics services are operated through specialized, centralized or outsourced distribution centers around the globe. The Company also depends almost entirely on third-party transportation service providers for the delivery of products to its customers. A major interruption or disruption in service at one or more of its distribution centers for any reason (such as information technology upgrades and operating issues, warehouse modernization and relocation efforts, natural disasters, pandemics, or significant disruptions of services from the Company’s third-party transportation providers) could cause cancellations or delays in a significant number of shipments to customers and, as a result, could have an adverse impact on the Company’s business partners, and on the Company’s business, operations and financial performance.</w:t>
      </w:r>
    </w:p>
    <w:p>
      <w:pPr>
        <w:spacing w:after="0" w:line="151" w:lineRule="exact"/>
        <w:rPr>
          <w:sz w:val="20"/>
          <w:szCs w:val="20"/>
          <w:color w:val="auto"/>
        </w:rPr>
      </w:pPr>
    </w:p>
    <w:p>
      <w:pPr>
        <w:ind w:left="60" w:right="279"/>
        <w:spacing w:after="0" w:line="310" w:lineRule="auto"/>
        <w:rPr>
          <w:sz w:val="20"/>
          <w:szCs w:val="20"/>
          <w:color w:val="auto"/>
        </w:rPr>
      </w:pPr>
      <w:r>
        <w:rPr>
          <w:rFonts w:ascii="Arial" w:cs="Arial" w:eastAsia="Arial" w:hAnsi="Arial"/>
          <w:sz w:val="18"/>
          <w:szCs w:val="18"/>
          <w:b w:val="1"/>
          <w:bCs w:val="1"/>
          <w:i w:val="1"/>
          <w:iCs w:val="1"/>
          <w:color w:val="auto"/>
        </w:rPr>
        <w:t>If the Company sustains cyber-attacks or other privacy or data security incidents that result in security breaches, it could suffer a loss of sales and increased costs, exposure to significant liability, reputational harm and other negative consequences.</w:t>
      </w:r>
    </w:p>
    <w:p>
      <w:pPr>
        <w:spacing w:after="0" w:line="75" w:lineRule="exact"/>
        <w:rPr>
          <w:sz w:val="20"/>
          <w:szCs w:val="20"/>
          <w:color w:val="auto"/>
        </w:rPr>
      </w:pPr>
    </w:p>
    <w:p>
      <w:pPr>
        <w:ind w:left="60" w:right="199" w:firstLine="427"/>
        <w:spacing w:after="0" w:line="346" w:lineRule="auto"/>
        <w:rPr>
          <w:sz w:val="20"/>
          <w:szCs w:val="20"/>
          <w:color w:val="auto"/>
        </w:rPr>
      </w:pPr>
      <w:r>
        <w:rPr>
          <w:rFonts w:ascii="Arial" w:cs="Arial" w:eastAsia="Arial" w:hAnsi="Arial"/>
          <w:sz w:val="16"/>
          <w:szCs w:val="16"/>
          <w:color w:val="auto"/>
        </w:rPr>
        <w:t>The Company’s information technology may be subject to cyber-attacks, security breaches or computer hacking. Experienced computer programmers and hackers may be able to penetrate the Company’s security controls and misappropriate or compromise sensitive personal, proprietary or confidential information, create system disruptions or cause shutdowns. They also may be able to develop and deploy malicious software programs that attack the Company’s systems or otherwise exploit any security vulnerabilities, including ransomware that could encrypt the Company’s files so an attacker may demand a ransom for restored access. The Company’s systems and the data stored on those systems</w:t>
      </w:r>
    </w:p>
    <w:p>
      <w:pPr>
        <w:sectPr>
          <w:pgSz w:w="11900" w:h="16838" w:orient="portrait"/>
          <w:cols w:equalWidth="0" w:num="1">
            <w:col w:w="9019"/>
          </w:cols>
          <w:pgMar w:left="1440" w:top="517"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right="239"/>
        <w:spacing w:after="0" w:line="322" w:lineRule="auto"/>
        <w:rPr>
          <w:sz w:val="20"/>
          <w:szCs w:val="20"/>
          <w:color w:val="auto"/>
        </w:rPr>
      </w:pPr>
      <w:r>
        <w:rPr>
          <w:rFonts w:ascii="Arial" w:cs="Arial" w:eastAsia="Arial" w:hAnsi="Arial"/>
          <w:sz w:val="17"/>
          <w:szCs w:val="17"/>
          <w:color w:val="auto"/>
        </w:rPr>
        <w:t>may also be vulnerable to security incidents or security attacks, acts of vandalism or theft, coordinated attacks by activist entities, misplaced or lost data, human errors, or other similar events that could negatively affect the Company’s systems and its data, as well as the data of the Company’s business partners. Further, outside parties may attempt to fraudulently induce employees, customers or suppliers to disclose sensitive information in order to gain access to the Company’s data and information technology systems or to misdirect payments, otherwise known as phishing. Lastly, third parties, such as hosted solution providers, that provide services to the Company, could also be a source of security risk in the event of a failure of their own security systems and infrastructure.</w:t>
      </w:r>
    </w:p>
    <w:p>
      <w:pPr>
        <w:spacing w:after="0" w:line="68" w:lineRule="exact"/>
        <w:rPr>
          <w:sz w:val="20"/>
          <w:szCs w:val="20"/>
          <w:color w:val="auto"/>
        </w:rPr>
      </w:pPr>
    </w:p>
    <w:p>
      <w:pPr>
        <w:ind w:left="60" w:right="99" w:firstLine="427"/>
        <w:spacing w:after="0" w:line="340" w:lineRule="auto"/>
        <w:rPr>
          <w:sz w:val="20"/>
          <w:szCs w:val="20"/>
          <w:color w:val="auto"/>
        </w:rPr>
      </w:pPr>
      <w:r>
        <w:rPr>
          <w:rFonts w:ascii="Arial" w:cs="Arial" w:eastAsia="Arial" w:hAnsi="Arial"/>
          <w:sz w:val="16"/>
          <w:szCs w:val="16"/>
          <w:color w:val="auto"/>
        </w:rPr>
        <w:t>The costs to eliminate or address the foregoing security threats and vulnerabilities before or after a cyber-incident could be significant. The Company’s remediation efforts may not be successful and could result in interruptions, delays or cessation of service, and loss of existing or potential suppliers or customers. In addition, breaches of the Company’s security measures and the unauthorized dissemination of sensitive personal, proprietary or confidential information about the Company, its business partners or other third parties could expose the Company to significant potential liability and reputational harm. As threats related to cyber-attacks develop and grow, the Company may also find it necessary to make further investments to protect its data and infrastructure, which may impact the Company’s profitability. Although the Company has insurance coverage for protecting against cyber-attacks, it may not be sufficient to cover all possible claims and the Company may suffer losses that could have a material adverse effect on its business. As a global enterprise, the Company could also be negatively impacted by existing and proposed laws and regulations, as well as government policies and practices related to cybersecurity, data privacy, data localization and data protection.</w:t>
      </w:r>
    </w:p>
    <w:p>
      <w:pPr>
        <w:spacing w:after="0" w:line="130" w:lineRule="exact"/>
        <w:rPr>
          <w:sz w:val="20"/>
          <w:szCs w:val="20"/>
          <w:color w:val="auto"/>
        </w:rPr>
      </w:pPr>
    </w:p>
    <w:p>
      <w:pPr>
        <w:ind w:left="60" w:right="159"/>
        <w:spacing w:after="0" w:line="324" w:lineRule="auto"/>
        <w:rPr>
          <w:sz w:val="20"/>
          <w:szCs w:val="20"/>
          <w:color w:val="auto"/>
        </w:rPr>
      </w:pPr>
      <w:r>
        <w:rPr>
          <w:rFonts w:ascii="Arial" w:cs="Arial" w:eastAsia="Arial" w:hAnsi="Arial"/>
          <w:sz w:val="18"/>
          <w:szCs w:val="18"/>
          <w:b w:val="1"/>
          <w:bCs w:val="1"/>
          <w:i w:val="1"/>
          <w:iCs w:val="1"/>
          <w:color w:val="auto"/>
        </w:rPr>
        <w:t>Declines in the value of the Company’s inventory or unexpected order cancellations by the Company’s customers could adversely affect its business, results of operations, financial condition and liquidity.</w:t>
      </w:r>
    </w:p>
    <w:p>
      <w:pPr>
        <w:spacing w:after="0" w:line="62" w:lineRule="exact"/>
        <w:rPr>
          <w:sz w:val="20"/>
          <w:szCs w:val="20"/>
          <w:color w:val="auto"/>
        </w:rPr>
      </w:pPr>
    </w:p>
    <w:p>
      <w:pPr>
        <w:ind w:left="60" w:right="79" w:firstLine="427"/>
        <w:spacing w:after="0" w:line="318" w:lineRule="auto"/>
        <w:rPr>
          <w:sz w:val="20"/>
          <w:szCs w:val="20"/>
          <w:color w:val="auto"/>
        </w:rPr>
      </w:pPr>
      <w:r>
        <w:rPr>
          <w:rFonts w:ascii="Arial" w:cs="Arial" w:eastAsia="Arial" w:hAnsi="Arial"/>
          <w:sz w:val="17"/>
          <w:szCs w:val="17"/>
          <w:color w:val="auto"/>
        </w:rPr>
        <w:t>The electronic components and integrated products industries are subject to rapid technological change, new and enhanced products, changes in customer needs and changes in industry standards and regulatory requirements, which can contribute to a decline in value or obsolescence of inventory. Regardless of the general economic environment, it is possible that prices will decline due to a decrease in demand or an oversupply of products and, as a result of the price declines, there may be greater risk of declines in inventory value. Although it is the policy of many of the Company’s suppliers to offer certain protections from the loss in value of inventory (such as price protection and limited rights of return), the Company cannot be assured that such policies will fully compensate for the loss in value, or that the suppliers will choose to, or be able to, honor such agreements, some of which are not documented and, therefore, subject to the discretion of the supplier. In addition, the majority of the Company’s sales are made pursuant to individual purchase orders, rather than through long-term sales contracts. Where there is a contract, such contract is generally terminable at will upon notice. The Company cannot be assured that unforeseen new product developments, declines in the value of the Company’s inventory or unforeseen order cancellations by its customers will not adversely affect the Company’s business, results of operations, financial condition or liquidity.</w:t>
      </w:r>
    </w:p>
    <w:p>
      <w:pPr>
        <w:spacing w:after="0" w:line="156" w:lineRule="exact"/>
        <w:rPr>
          <w:sz w:val="20"/>
          <w:szCs w:val="20"/>
          <w:color w:val="auto"/>
        </w:rPr>
      </w:pPr>
    </w:p>
    <w:p>
      <w:pPr>
        <w:ind w:left="60" w:right="639"/>
        <w:spacing w:after="0" w:line="310" w:lineRule="auto"/>
        <w:rPr>
          <w:sz w:val="20"/>
          <w:szCs w:val="20"/>
          <w:color w:val="auto"/>
        </w:rPr>
      </w:pPr>
      <w:r>
        <w:rPr>
          <w:rFonts w:ascii="Arial" w:cs="Arial" w:eastAsia="Arial" w:hAnsi="Arial"/>
          <w:sz w:val="18"/>
          <w:szCs w:val="18"/>
          <w:b w:val="1"/>
          <w:bCs w:val="1"/>
          <w:i w:val="1"/>
          <w:iCs w:val="1"/>
          <w:color w:val="auto"/>
        </w:rPr>
        <w:t>Substantial defaults by the Company’s customers or suppliers on its accounts receivable or the loss of significant customers could have a significant negative impact on the Company’s business, results of operations, financial condition or liquidity.</w:t>
      </w:r>
    </w:p>
    <w:p>
      <w:pPr>
        <w:spacing w:after="0" w:line="75" w:lineRule="exact"/>
        <w:rPr>
          <w:sz w:val="20"/>
          <w:szCs w:val="20"/>
          <w:color w:val="auto"/>
        </w:rPr>
      </w:pPr>
    </w:p>
    <w:p>
      <w:pPr>
        <w:ind w:left="60" w:right="79" w:firstLine="427"/>
        <w:spacing w:after="0" w:line="344" w:lineRule="auto"/>
        <w:rPr>
          <w:sz w:val="20"/>
          <w:szCs w:val="20"/>
          <w:color w:val="auto"/>
        </w:rPr>
      </w:pPr>
      <w:r>
        <w:rPr>
          <w:rFonts w:ascii="Arial" w:cs="Arial" w:eastAsia="Arial" w:hAnsi="Arial"/>
          <w:sz w:val="16"/>
          <w:szCs w:val="16"/>
          <w:color w:val="auto"/>
        </w:rPr>
        <w:t>A significant portion of the Company’s working capital consists of accounts receivable. If entities responsible for a significant amount of accounts receivable were to cease doing business, direct their business elsewhere, become insolvent or unable to pay the amount they owe the Company, or were to become unwilling or unable to make such payments in a timely manner, the Company’s business, results of operations, financial condition or liquidity could be adversely affected. An economic or industry downturn could adversely affect the collectability of these accounts receivable, which could result in longer payment cycles, increased collection costs and defaults in excess of management’s expectations. A significant deterioration in the Company’s ability to collect on accounts receivable in the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United States could also impact the cost or availability of financing under its accounts receivable securitization program.</w:t>
      </w:r>
    </w:p>
    <w:p>
      <w:pPr>
        <w:spacing w:after="0" w:line="262" w:lineRule="exact"/>
        <w:rPr>
          <w:sz w:val="20"/>
          <w:szCs w:val="20"/>
          <w:color w:val="auto"/>
        </w:rPr>
      </w:pPr>
    </w:p>
    <w:p>
      <w:pPr>
        <w:ind w:left="60" w:right="379"/>
        <w:spacing w:after="0" w:line="324" w:lineRule="auto"/>
        <w:rPr>
          <w:sz w:val="20"/>
          <w:szCs w:val="20"/>
          <w:color w:val="auto"/>
        </w:rPr>
      </w:pPr>
      <w:r>
        <w:rPr>
          <w:rFonts w:ascii="Arial" w:cs="Arial" w:eastAsia="Arial" w:hAnsi="Arial"/>
          <w:sz w:val="18"/>
          <w:szCs w:val="18"/>
          <w:b w:val="1"/>
          <w:bCs w:val="1"/>
          <w:i w:val="1"/>
          <w:iCs w:val="1"/>
          <w:color w:val="auto"/>
        </w:rPr>
        <w:t>The Company may not have adequate or cost-effective liquidity or capital resources which could adversely affect the Company’s operations.</w:t>
      </w:r>
    </w:p>
    <w:p>
      <w:pPr>
        <w:spacing w:after="0" w:line="62" w:lineRule="exact"/>
        <w:rPr>
          <w:sz w:val="20"/>
          <w:szCs w:val="20"/>
          <w:color w:val="auto"/>
        </w:rPr>
      </w:pPr>
    </w:p>
    <w:p>
      <w:pPr>
        <w:ind w:left="60" w:right="79" w:firstLine="427"/>
        <w:spacing w:after="0" w:line="341" w:lineRule="auto"/>
        <w:rPr>
          <w:sz w:val="20"/>
          <w:szCs w:val="20"/>
          <w:color w:val="auto"/>
        </w:rPr>
      </w:pPr>
      <w:r>
        <w:rPr>
          <w:rFonts w:ascii="Arial" w:cs="Arial" w:eastAsia="Arial" w:hAnsi="Arial"/>
          <w:sz w:val="16"/>
          <w:szCs w:val="16"/>
          <w:color w:val="auto"/>
        </w:rPr>
        <w:t>The Company’s ability to satisfy its cash needs and implement its capital allocation strategy depends on its ability to generate cash from operations and to access the financial markets, both of which are subject to general economic, financial, competitive, legislative, regulatory and other factors that are beyond the Company’s control. The Company may need to satisfy its cash needs through external financing. However, external financing is affected by various factors, including general market conditions as well as the Company’s debt ratings and operating results, and may not be available on acceptable terms or at all. An increase in the Company’s level of debt or deterioration of its operating results may cause a reduction in its current debt ratings, which could negatively impact the Company’s ability to obtain additional financing or renew existing financing and could result in a reduction of its credit limits, increased financing expenses and subject the Company to additional restrictions and covenants. A reduction in its current debt rating may also negatively impact the Company’s working capital and impair its relationship with its customers and suppliers.</w:t>
      </w:r>
    </w:p>
    <w:p>
      <w:pPr>
        <w:spacing w:after="0" w:line="59" w:lineRule="exact"/>
        <w:rPr>
          <w:sz w:val="20"/>
          <w:szCs w:val="20"/>
          <w:color w:val="auto"/>
        </w:rPr>
      </w:pPr>
    </w:p>
    <w:p>
      <w:pPr>
        <w:ind w:left="60" w:right="259" w:firstLine="427"/>
        <w:spacing w:after="0" w:line="319" w:lineRule="auto"/>
        <w:rPr>
          <w:sz w:val="20"/>
          <w:szCs w:val="20"/>
          <w:color w:val="auto"/>
        </w:rPr>
      </w:pPr>
      <w:r>
        <w:rPr>
          <w:rFonts w:ascii="Arial" w:cs="Arial" w:eastAsia="Arial" w:hAnsi="Arial"/>
          <w:sz w:val="17"/>
          <w:szCs w:val="17"/>
          <w:color w:val="auto"/>
        </w:rPr>
        <w:t>As of June 27, 2020, Avnet had debt outstanding under various notes, secured borrowings and committed and uncommitted lines of credit with financial institutions. The Company needs cash to make interest payments on, and to repay, this indebtedness and for general corporate purposes, such as funding its ongoing working capital and capital expenditure needs. Under certain of its credit facilities, the applicable interest rate and costs are based in part on the Company’s current debt rating. If its debt rating is reduced, higher interest rates and increased costs would result. In addition, certain of its debt utilizes the LIBOR rate, which the U.K.’s Financial Conduct Authority has announced that it intends to phase out by the end of 2021. At this time, it is uncertain how markets will respond to the discontinuation of LIBOR or to the proposed alternative rates, and may result in increased costs and higher interest rates. Any material increase in the Company’s financing costs or loss of access to cost-effective financing could have an adverse effect on its profitability, results of operations and cash flows.</w:t>
      </w:r>
    </w:p>
    <w:p>
      <w:pPr>
        <w:spacing w:after="0" w:line="75" w:lineRule="exact"/>
        <w:rPr>
          <w:sz w:val="20"/>
          <w:szCs w:val="20"/>
          <w:color w:val="auto"/>
        </w:rPr>
      </w:pPr>
    </w:p>
    <w:p>
      <w:pPr>
        <w:ind w:left="60" w:right="99" w:firstLine="427"/>
        <w:spacing w:after="0" w:line="323" w:lineRule="auto"/>
        <w:rPr>
          <w:sz w:val="20"/>
          <w:szCs w:val="20"/>
          <w:color w:val="auto"/>
        </w:rPr>
      </w:pPr>
      <w:r>
        <w:rPr>
          <w:rFonts w:ascii="Arial" w:cs="Arial" w:eastAsia="Arial" w:hAnsi="Arial"/>
          <w:sz w:val="17"/>
          <w:szCs w:val="17"/>
          <w:color w:val="auto"/>
        </w:rPr>
        <w:t>Under certain of its credit facilities, the Company is required to maintain certain specified financial ratios and pass certain financial tests. If the Company increases its level of debt or experiences a deterioration of its operating results, it may fail to meet these financial ratios and/or pass these tests, which may result in an event of default, whereby lenders may accelerate payment and the Company may be unable to continue to utilize these facilities. If the Company is unable to utilize these facilities or is required to repay debt earlier than management expected, it may not have sufficient cash available to make interest payments, to repay indebtedness or for general corporate needs.</w:t>
      </w:r>
    </w:p>
    <w:p>
      <w:pPr>
        <w:spacing w:after="0" w:line="69" w:lineRule="exact"/>
        <w:rPr>
          <w:sz w:val="20"/>
          <w:szCs w:val="20"/>
          <w:color w:val="auto"/>
        </w:rPr>
      </w:pPr>
    </w:p>
    <w:p>
      <w:pPr>
        <w:ind w:left="60" w:right="119" w:firstLine="427"/>
        <w:spacing w:after="0" w:line="310" w:lineRule="auto"/>
        <w:rPr>
          <w:sz w:val="20"/>
          <w:szCs w:val="20"/>
          <w:color w:val="auto"/>
        </w:rPr>
      </w:pPr>
      <w:r>
        <w:rPr>
          <w:rFonts w:ascii="Arial" w:cs="Arial" w:eastAsia="Arial" w:hAnsi="Arial"/>
          <w:sz w:val="18"/>
          <w:szCs w:val="18"/>
          <w:color w:val="auto"/>
        </w:rPr>
        <w:t>General economic or business conditions, domestic and foreign, may be less favorable than management expects and could adversely impact the Company’s sales or its ability to collect receivables from its customers, which may impact access to the Company’s accounts receivable securitization program.</w:t>
      </w:r>
    </w:p>
    <w:p>
      <w:pPr>
        <w:spacing w:after="0" w:line="143" w:lineRule="exact"/>
        <w:rPr>
          <w:sz w:val="20"/>
          <w:szCs w:val="20"/>
          <w:color w:val="auto"/>
        </w:rPr>
      </w:pPr>
    </w:p>
    <w:p>
      <w:pPr>
        <w:ind w:left="60" w:right="379"/>
        <w:spacing w:after="0" w:line="310" w:lineRule="auto"/>
        <w:rPr>
          <w:sz w:val="20"/>
          <w:szCs w:val="20"/>
          <w:color w:val="auto"/>
        </w:rPr>
      </w:pPr>
      <w:r>
        <w:rPr>
          <w:rFonts w:ascii="Arial" w:cs="Arial" w:eastAsia="Arial" w:hAnsi="Arial"/>
          <w:sz w:val="18"/>
          <w:szCs w:val="18"/>
          <w:b w:val="1"/>
          <w:bCs w:val="1"/>
          <w:i w:val="1"/>
          <w:iCs w:val="1"/>
          <w:color w:val="auto"/>
        </w:rPr>
        <w:t>The agreements governing some of the Company’s financings contain various covenants and restrictions that limit management’s discretion in operating the business and could prevent management from engaging in some activities that may be beneficial to the Company’s business.</w:t>
      </w:r>
    </w:p>
    <w:p>
      <w:pPr>
        <w:spacing w:after="0" w:line="75" w:lineRule="exact"/>
        <w:rPr>
          <w:sz w:val="20"/>
          <w:szCs w:val="20"/>
          <w:color w:val="auto"/>
        </w:rPr>
      </w:pPr>
    </w:p>
    <w:p>
      <w:pPr>
        <w:ind w:left="60" w:right="119" w:firstLine="427"/>
        <w:spacing w:after="0" w:line="336" w:lineRule="auto"/>
        <w:rPr>
          <w:sz w:val="20"/>
          <w:szCs w:val="20"/>
          <w:color w:val="auto"/>
        </w:rPr>
      </w:pPr>
      <w:r>
        <w:rPr>
          <w:rFonts w:ascii="Arial" w:cs="Arial" w:eastAsia="Arial" w:hAnsi="Arial"/>
          <w:sz w:val="17"/>
          <w:szCs w:val="17"/>
          <w:color w:val="auto"/>
        </w:rPr>
        <w:t>The agreements governing the Company’s financing, including its credit facility, accounts receivable securitization program and the indentures governing the Company’s outstanding notes, contain various covenants and restrictions that, in certain circumstances, limit the Company’s ability, and the ability of certain subsidiaries, to:</w:t>
      </w:r>
    </w:p>
    <w:p>
      <w:pPr>
        <w:spacing w:after="0" w:line="57" w:lineRule="exact"/>
        <w:rPr>
          <w:sz w:val="20"/>
          <w:szCs w:val="20"/>
          <w:color w:val="auto"/>
        </w:rPr>
      </w:pPr>
    </w:p>
    <w:p>
      <w:pPr>
        <w:ind w:left="820" w:hanging="32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 liens on assets;</w:t>
      </w:r>
    </w:p>
    <w:p>
      <w:pPr>
        <w:spacing w:after="0" w:line="157" w:lineRule="exact"/>
        <w:rPr>
          <w:rFonts w:ascii="Arial" w:cs="Arial" w:eastAsia="Arial" w:hAnsi="Arial"/>
          <w:sz w:val="18"/>
          <w:szCs w:val="18"/>
          <w:color w:val="auto"/>
        </w:rPr>
      </w:pPr>
    </w:p>
    <w:p>
      <w:pPr>
        <w:ind w:left="820" w:right="79" w:hanging="324"/>
        <w:spacing w:after="0" w:line="32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restricted payments (including, under certain circumstances, paying dividends on common stock or redeeming or repurchasing common stock);</w:t>
      </w:r>
    </w:p>
    <w:p>
      <w:pPr>
        <w:sectPr>
          <w:pgSz w:w="11900" w:h="16838" w:orient="portrait"/>
          <w:cols w:equalWidth="0" w:num="1">
            <w:col w:w="9019"/>
          </w:cols>
          <w:pgMar w:left="1440" w:top="517" w:right="1440"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820" w:hanging="32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the Company’s assets;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debt; or</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58" w:lineRule="exact"/>
        <w:rPr>
          <w:sz w:val="20"/>
          <w:szCs w:val="20"/>
          <w:color w:val="auto"/>
        </w:rPr>
      </w:pPr>
    </w:p>
    <w:p>
      <w:pPr>
        <w:ind w:left="60" w:right="439" w:firstLine="427"/>
        <w:spacing w:after="0" w:line="310" w:lineRule="auto"/>
        <w:rPr>
          <w:sz w:val="20"/>
          <w:szCs w:val="20"/>
          <w:color w:val="auto"/>
        </w:rPr>
      </w:pPr>
      <w:r>
        <w:rPr>
          <w:rFonts w:ascii="Arial" w:cs="Arial" w:eastAsia="Arial" w:hAnsi="Arial"/>
          <w:sz w:val="18"/>
          <w:szCs w:val="18"/>
          <w:color w:val="auto"/>
        </w:rPr>
        <w:t>As a result of these covenants and restrictions, the Company may be limited in the future in how it conducts its business and may be unable to raise additional debt, repurchase common stock, pay a dividend, compete effectively or make further investments.</w:t>
      </w:r>
    </w:p>
    <w:p>
      <w:pPr>
        <w:spacing w:after="0" w:line="143" w:lineRule="exact"/>
        <w:rPr>
          <w:sz w:val="20"/>
          <w:szCs w:val="20"/>
          <w:color w:val="auto"/>
        </w:rPr>
      </w:pPr>
    </w:p>
    <w:p>
      <w:pPr>
        <w:jc w:val="both"/>
        <w:ind w:left="60" w:right="579"/>
        <w:spacing w:after="0" w:line="336" w:lineRule="auto"/>
        <w:rPr>
          <w:sz w:val="20"/>
          <w:szCs w:val="20"/>
          <w:color w:val="auto"/>
        </w:rPr>
      </w:pPr>
      <w:r>
        <w:rPr>
          <w:rFonts w:ascii="Arial" w:cs="Arial" w:eastAsia="Arial" w:hAnsi="Arial"/>
          <w:sz w:val="17"/>
          <w:szCs w:val="17"/>
          <w:b w:val="1"/>
          <w:bCs w:val="1"/>
          <w:i w:val="1"/>
          <w:iCs w:val="1"/>
          <w:color w:val="auto"/>
        </w:rPr>
        <w:t>Changes in tax rules and regulations, changes in interpretation of tax rules and regulations, changes in business performance or unfavorable assessments from tax audits could adversely affect the Company’s effective tax rates, deferred taxes, financial condition and results of operations.</w:t>
      </w:r>
    </w:p>
    <w:p>
      <w:pPr>
        <w:spacing w:after="0" w:line="57" w:lineRule="exact"/>
        <w:rPr>
          <w:sz w:val="20"/>
          <w:szCs w:val="20"/>
          <w:color w:val="auto"/>
        </w:rPr>
      </w:pPr>
    </w:p>
    <w:p>
      <w:pPr>
        <w:ind w:left="60" w:right="99" w:firstLine="427"/>
        <w:spacing w:after="0" w:line="304" w:lineRule="auto"/>
        <w:rPr>
          <w:sz w:val="20"/>
          <w:szCs w:val="20"/>
          <w:color w:val="auto"/>
        </w:rPr>
      </w:pPr>
      <w:r>
        <w:rPr>
          <w:rFonts w:ascii="Arial" w:cs="Arial" w:eastAsia="Arial" w:hAnsi="Arial"/>
          <w:sz w:val="18"/>
          <w:szCs w:val="18"/>
          <w:color w:val="auto"/>
        </w:rPr>
        <w:t>As a multinational corporation, the Company is subject to the tax laws and regulations of the United States and many foreign jurisdictions. From time to time, regulations may be enacted that could adversely affect the Company’s tax positions. There can be no assurance that the Company’s cash flow, and in some cases the effective tax rate, will not be adversely affected by these potential changes in regulations or by changes in the interpretation of existing tax law and regulations.</w:t>
      </w:r>
    </w:p>
    <w:p>
      <w:pPr>
        <w:spacing w:after="0" w:line="80" w:lineRule="exact"/>
        <w:rPr>
          <w:sz w:val="20"/>
          <w:szCs w:val="20"/>
          <w:color w:val="auto"/>
        </w:rPr>
      </w:pPr>
    </w:p>
    <w:p>
      <w:pPr>
        <w:ind w:left="60" w:right="99" w:firstLine="427"/>
        <w:spacing w:after="0" w:line="349" w:lineRule="auto"/>
        <w:rPr>
          <w:sz w:val="20"/>
          <w:szCs w:val="20"/>
          <w:color w:val="auto"/>
        </w:rPr>
      </w:pPr>
      <w:r>
        <w:rPr>
          <w:rFonts w:ascii="Arial" w:cs="Arial" w:eastAsia="Arial" w:hAnsi="Arial"/>
          <w:sz w:val="16"/>
          <w:szCs w:val="16"/>
          <w:color w:val="auto"/>
        </w:rPr>
        <w:t>On December 22, 2017, the U.S. federal government enacted tax legislation (the “Tax Cuts and Jobs Act” or the “Act”) which includes provisions to lower the corporate income tax rate, impose new taxes on certain foreign earnings, limit deductibility of certain U.S. costs and levy a one-time deemed repatriation tax on accumulated offshore earnings, among others. The Act is subject to interpretation and implementation guidance by both federal and state tax authorities, as well as amendments and technical corrections. Any or all of these could impact the Company unfavorably.</w:t>
      </w:r>
    </w:p>
    <w:p>
      <w:pPr>
        <w:spacing w:after="0" w:line="53" w:lineRule="exact"/>
        <w:rPr>
          <w:sz w:val="20"/>
          <w:szCs w:val="20"/>
          <w:color w:val="auto"/>
        </w:rPr>
      </w:pPr>
    </w:p>
    <w:p>
      <w:pPr>
        <w:ind w:left="60" w:right="119" w:firstLine="427"/>
        <w:spacing w:after="0" w:line="301"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net operating loss carryovers and carrybacks to offset 100% of taxable income for taxable years beginning before 2021. In addition, the CARES Act allows net operating losses incurred in fiscal 2019, 2020, and 2021 to be carried back to each of the five preceding taxable fiscal years to generate a refund of previously paid income taxes. The CARES Act is subject to interpretation and implementation guidance by both federal and state tax authorities, as well as amendments and technical corrections. Any or all of these could impact the Company unfavorably.</w:t>
      </w:r>
    </w:p>
    <w:p>
      <w:pPr>
        <w:spacing w:after="0" w:line="86" w:lineRule="exact"/>
        <w:rPr>
          <w:sz w:val="20"/>
          <w:szCs w:val="20"/>
          <w:color w:val="auto"/>
        </w:rPr>
      </w:pPr>
    </w:p>
    <w:p>
      <w:pPr>
        <w:ind w:left="60" w:right="59" w:firstLine="427"/>
        <w:spacing w:after="0" w:line="364" w:lineRule="auto"/>
        <w:rPr>
          <w:sz w:val="20"/>
          <w:szCs w:val="20"/>
          <w:color w:val="auto"/>
        </w:rPr>
      </w:pPr>
      <w:r>
        <w:rPr>
          <w:rFonts w:ascii="Arial" w:cs="Arial" w:eastAsia="Arial" w:hAnsi="Arial"/>
          <w:sz w:val="16"/>
          <w:szCs w:val="16"/>
          <w:color w:val="auto"/>
        </w:rPr>
        <w:t>Many countries are adopting provisions to align their international tax rules with the Base Erosion and Profit Shifting Project, led by the Organisation for Economic Co-operation and Development, to standardize and modernize global corporate tax policy. These provisions, individually or as a whole, may negatively impact taxation of international business.</w:t>
      </w:r>
    </w:p>
    <w:p>
      <w:pPr>
        <w:spacing w:after="0" w:line="40" w:lineRule="exact"/>
        <w:rPr>
          <w:sz w:val="20"/>
          <w:szCs w:val="20"/>
          <w:color w:val="auto"/>
        </w:rPr>
      </w:pPr>
    </w:p>
    <w:p>
      <w:pPr>
        <w:ind w:left="60" w:right="159" w:firstLine="427"/>
        <w:spacing w:after="0" w:line="354" w:lineRule="auto"/>
        <w:rPr>
          <w:sz w:val="20"/>
          <w:szCs w:val="20"/>
          <w:color w:val="auto"/>
        </w:rPr>
      </w:pPr>
      <w:r>
        <w:rPr>
          <w:rFonts w:ascii="Arial" w:cs="Arial" w:eastAsia="Arial" w:hAnsi="Arial"/>
          <w:sz w:val="16"/>
          <w:szCs w:val="16"/>
          <w:color w:val="auto"/>
        </w:rPr>
        <w:t>The tax laws and regulations of the various countries where the Company has operations are extremely complex and subject to varying interpretations. Although the Company believes that its historical tax positions are sound and consistent with applicable laws, regulations and existing precedent, there can be no assurance that these tax positions will not be challenged by relevant tax authorities or that the Company would be successful in defending against any such challenge.</w:t>
      </w:r>
    </w:p>
    <w:p>
      <w:pPr>
        <w:spacing w:after="0" w:line="48" w:lineRule="exact"/>
        <w:rPr>
          <w:sz w:val="20"/>
          <w:szCs w:val="20"/>
          <w:color w:val="auto"/>
        </w:rPr>
      </w:pPr>
    </w:p>
    <w:p>
      <w:pPr>
        <w:jc w:val="both"/>
        <w:ind w:left="60" w:right="359" w:firstLine="427"/>
        <w:spacing w:after="0" w:line="310" w:lineRule="auto"/>
        <w:rPr>
          <w:sz w:val="20"/>
          <w:szCs w:val="20"/>
          <w:color w:val="auto"/>
        </w:rPr>
      </w:pPr>
      <w:r>
        <w:rPr>
          <w:rFonts w:ascii="Arial" w:cs="Arial" w:eastAsia="Arial" w:hAnsi="Arial"/>
          <w:sz w:val="18"/>
          <w:szCs w:val="18"/>
          <w:color w:val="auto"/>
        </w:rPr>
        <w:t>The Company’s future income tax expense could also be favorably or adversely affected by changes in the mix of earnings in countries with differing statutory tax rates, changes in the valuation of deferred tax assets and liabilities and changes to its operating structure.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39"/>
        <w:spacing w:after="0" w:line="310" w:lineRule="auto"/>
        <w:rPr>
          <w:sz w:val="20"/>
          <w:szCs w:val="20"/>
          <w:color w:val="auto"/>
        </w:rPr>
      </w:pPr>
      <w:r>
        <w:rPr>
          <w:rFonts w:ascii="Arial" w:cs="Arial" w:eastAsia="Arial" w:hAnsi="Arial"/>
          <w:sz w:val="18"/>
          <w:szCs w:val="18"/>
          <w:b w:val="1"/>
          <w:bCs w:val="1"/>
          <w:i w:val="1"/>
          <w:iCs w:val="1"/>
          <w:color w:val="auto"/>
        </w:rPr>
        <w:t>If the Company fails to maintain effective internal controls, it may not be able to report its financial results accurately or timely, or prevent or detect fraud, which could have an adverse effect on the Company’s business or the market price of the Company’s securities.</w:t>
      </w:r>
    </w:p>
    <w:p>
      <w:pPr>
        <w:spacing w:after="0" w:line="75" w:lineRule="exact"/>
        <w:rPr>
          <w:sz w:val="20"/>
          <w:szCs w:val="20"/>
          <w:color w:val="auto"/>
        </w:rPr>
      </w:pPr>
    </w:p>
    <w:p>
      <w:pPr>
        <w:ind w:left="60" w:right="159" w:firstLine="427"/>
        <w:spacing w:after="0" w:line="339" w:lineRule="auto"/>
        <w:rPr>
          <w:sz w:val="20"/>
          <w:szCs w:val="20"/>
          <w:color w:val="auto"/>
        </w:rPr>
      </w:pPr>
      <w:r>
        <w:rPr>
          <w:rFonts w:ascii="Arial" w:cs="Arial" w:eastAsia="Arial" w:hAnsi="Arial"/>
          <w:sz w:val="16"/>
          <w:szCs w:val="16"/>
          <w:color w:val="auto"/>
        </w:rPr>
        <w:t>Effective internal controls are necessary for the Company to provide reliable financial reports, safeguard its assets and to effectively prevent or detect fraud. If the Company cannot provide reliable financial reports and effectively safeguard its assets and prevent or detect fraudulent activity, its brand and operating results could be harmed. Internal controls over financial reporting are intended to prevent or detect material misstatements in its financial reporting or material fraudulent activity. Although such controls are inherently limited and may not identify all immaterial activity which could aggregate into a material misstatement, such limitations include the possibility of human error, the circumvention or overriding of controls, or fraud. Therefore, even effective internal controls cannot provide absolute assurance with respect to the preparation and fair presentation of financial statements and prevention of all fraud and loss of assets. Management continuously evaluates the effectiveness of the design and operation of the Company’s internal controls. However, if the Company fails to maintain the adequacy of its internal controls, including any failure to implement required new or improved internal controls, or if the Company experiences difficulties in their implementation, the Company’s business and operating results could be harmed. Additionally, the Company may be subject to sanctions or investigations by regulatory authorities, and the Company could fail to meet its reporting obligations, all of which could have an adverse effect on its business or the market price of the Company’s securities.</w:t>
      </w:r>
    </w:p>
    <w:p>
      <w:pPr>
        <w:spacing w:after="0" w:line="61" w:lineRule="exact"/>
        <w:rPr>
          <w:sz w:val="20"/>
          <w:szCs w:val="20"/>
          <w:color w:val="auto"/>
        </w:rPr>
      </w:pPr>
    </w:p>
    <w:p>
      <w:pPr>
        <w:ind w:left="60" w:right="219"/>
        <w:spacing w:after="0" w:line="324" w:lineRule="auto"/>
        <w:rPr>
          <w:sz w:val="20"/>
          <w:szCs w:val="20"/>
          <w:color w:val="auto"/>
        </w:rPr>
      </w:pPr>
      <w:r>
        <w:rPr>
          <w:rFonts w:ascii="Arial" w:cs="Arial" w:eastAsia="Arial" w:hAnsi="Arial"/>
          <w:sz w:val="18"/>
          <w:szCs w:val="18"/>
          <w:b w:val="1"/>
          <w:bCs w:val="1"/>
          <w:i w:val="1"/>
          <w:iCs w:val="1"/>
          <w:color w:val="auto"/>
        </w:rPr>
        <w:t>The Company’s acquisition strategy may not produce the expected benefits, which may adversely affect the Company’s results of operations.</w:t>
      </w:r>
    </w:p>
    <w:p>
      <w:pPr>
        <w:spacing w:after="0" w:line="62" w:lineRule="exact"/>
        <w:rPr>
          <w:sz w:val="20"/>
          <w:szCs w:val="20"/>
          <w:color w:val="auto"/>
        </w:rPr>
      </w:pPr>
    </w:p>
    <w:p>
      <w:pPr>
        <w:ind w:left="60" w:right="79" w:firstLine="427"/>
        <w:spacing w:after="0" w:line="338" w:lineRule="auto"/>
        <w:rPr>
          <w:sz w:val="20"/>
          <w:szCs w:val="20"/>
          <w:color w:val="auto"/>
        </w:rPr>
      </w:pPr>
      <w:r>
        <w:rPr>
          <w:rFonts w:ascii="Arial" w:cs="Arial" w:eastAsia="Arial" w:hAnsi="Arial"/>
          <w:sz w:val="16"/>
          <w:szCs w:val="16"/>
          <w:color w:val="auto"/>
        </w:rPr>
        <w:t>Avnet has made, and expects to continue to make, strategic acquisitions or investments in companies around the world to further its strategic objectives and support key business initiatives. Acquisitions and investments involve risks and uncertainties, some of which may differ from those associated with Avnet’s historical operations. The risks relating to such acquisitions and investments include, but are not limited to, risks relating to expanding into emerging markets and business areas, adding additional product lines and services, impacting existing customer and supplier relationships, incurring costs or liabilities associated with the companies acquired, incurring potential impairment charges on acquired goodwill and other intangible assets and diverting management’s attention from existing business operations. As a result, the Company’s profitability may be negatively impacted. In addition, the Company may not be successful in integrating the acquired businesses or the integration may be more difficult, costly or time-consuming than anticipated. Further, any litigation relating to a potential acquisition will result in an increase in the expenses associated with the acquisition or cause a delay in completing the acquisition, thereby impacting the Company’s profitability. The Company may experience disruptions that could, depending on the size of the acquisition, have an adverse effect on its business, especially where an acquisition target may have pre-existing compliance issues or pre-existing deficiencies or material weaknesses in internal controls over financial reporting. Furthermore, the Company may not realize all of the anticipated benefits from its acquisitions, which could adversely affect the Company’s financial performance.</w:t>
      </w:r>
    </w:p>
    <w:p>
      <w:pPr>
        <w:spacing w:after="0" w:line="69" w:lineRule="exact"/>
        <w:rPr>
          <w:sz w:val="20"/>
          <w:szCs w:val="20"/>
          <w:color w:val="auto"/>
        </w:rPr>
      </w:pPr>
    </w:p>
    <w:p>
      <w:pPr>
        <w:ind w:left="60" w:right="959"/>
        <w:spacing w:after="0" w:line="357" w:lineRule="auto"/>
        <w:rPr>
          <w:sz w:val="20"/>
          <w:szCs w:val="20"/>
          <w:color w:val="auto"/>
        </w:rPr>
      </w:pPr>
      <w:r>
        <w:rPr>
          <w:rFonts w:ascii="Arial" w:cs="Arial" w:eastAsia="Arial" w:hAnsi="Arial"/>
          <w:sz w:val="17"/>
          <w:szCs w:val="17"/>
          <w:b w:val="1"/>
          <w:bCs w:val="1"/>
          <w:i w:val="1"/>
          <w:iCs w:val="1"/>
          <w:color w:val="auto"/>
        </w:rPr>
        <w:t>The Company may become involved in legal proceedings that could cause it to incur substantial costs, divert management’s efforts or require it to pay substantial damages or licensing fees.</w:t>
      </w:r>
    </w:p>
    <w:p>
      <w:pPr>
        <w:spacing w:after="0" w:line="39" w:lineRule="exact"/>
        <w:rPr>
          <w:sz w:val="20"/>
          <w:szCs w:val="20"/>
          <w:color w:val="auto"/>
        </w:rPr>
      </w:pPr>
    </w:p>
    <w:p>
      <w:pPr>
        <w:ind w:left="60" w:right="239" w:firstLine="427"/>
        <w:spacing w:after="0" w:line="344" w:lineRule="auto"/>
        <w:rPr>
          <w:sz w:val="20"/>
          <w:szCs w:val="20"/>
          <w:color w:val="auto"/>
        </w:rPr>
      </w:pPr>
      <w:r>
        <w:rPr>
          <w:rFonts w:ascii="Arial" w:cs="Arial" w:eastAsia="Arial" w:hAnsi="Arial"/>
          <w:sz w:val="16"/>
          <w:szCs w:val="16"/>
          <w:color w:val="auto"/>
        </w:rPr>
        <w:t>From time to time, the Company may become involved in legal proceedings, including government investigations, that arise out of the ordinary conduct of the Company’s business, including matters involving intellectual property rights, commercial matters, merger-related matters, product liability and other actions. The Company may be obligated to indemnify and defend its customers if the products or services the Company sells are alleged to infringe any third party’s intellectual property rights. While the Company may be able to seek indemnification from its suppliers for itself and its customers against such claims, there is no assurance that it will be successful in realizing such indemnification or that the Company will be fully protected against such claims. However, the Company is exposed to potential liability for</w:t>
      </w:r>
    </w:p>
    <w:p>
      <w:pPr>
        <w:sectPr>
          <w:pgSz w:w="11900" w:h="16838" w:orient="portrait"/>
          <w:cols w:equalWidth="0" w:num="1">
            <w:col w:w="9019"/>
          </w:cols>
          <w:pgMar w:left="1440" w:top="517" w:right="1440"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right="159"/>
        <w:spacing w:after="0" w:line="319" w:lineRule="auto"/>
        <w:rPr>
          <w:sz w:val="20"/>
          <w:szCs w:val="20"/>
          <w:color w:val="auto"/>
        </w:rPr>
      </w:pPr>
      <w:r>
        <w:rPr>
          <w:rFonts w:ascii="Arial" w:cs="Arial" w:eastAsia="Arial" w:hAnsi="Arial"/>
          <w:sz w:val="17"/>
          <w:szCs w:val="17"/>
          <w:color w:val="auto"/>
        </w:rPr>
        <w:t>technology and products that it develops for which it has no indemnification protections. If an infringement claim against the Company is successful, the Company may be required to pay damages or seek royalty or license arrangements, which may not be available on commercially reasonable terms. The Company may have to stop selling certain products or services, which could affect its ability to compete effectively. In addition, the Company’s expanding business activities may include the assembly or manufacture of electronic component products and systems. Product defects, whether caused by a design, assembly, manufacture or component failure or error, or manufacturing processes not in compliance with applicable statutory and regulatory requirements may result in product liability claims, product recalls, fines and penalties. Product liability risks could be particularly significant with respect to aerospace, automotive and medical applications because of the risk of serious harm to users of such products. Legal proceedings could result in substantial costs and diversion of management’s efforts and other resources and could have an adverse effect on the Company’s operations and business reputation.</w:t>
      </w:r>
    </w:p>
    <w:p>
      <w:pPr>
        <w:spacing w:after="0" w:line="72" w:lineRule="exact"/>
        <w:rPr>
          <w:sz w:val="20"/>
          <w:szCs w:val="20"/>
          <w:color w:val="auto"/>
        </w:rPr>
      </w:pPr>
    </w:p>
    <w:p>
      <w:pPr>
        <w:ind w:left="60" w:right="99"/>
        <w:spacing w:after="0" w:line="324" w:lineRule="auto"/>
        <w:rPr>
          <w:sz w:val="20"/>
          <w:szCs w:val="20"/>
          <w:color w:val="auto"/>
        </w:rPr>
      </w:pPr>
      <w:r>
        <w:rPr>
          <w:rFonts w:ascii="Arial" w:cs="Arial" w:eastAsia="Arial" w:hAnsi="Arial"/>
          <w:sz w:val="18"/>
          <w:szCs w:val="18"/>
          <w:b w:val="1"/>
          <w:bCs w:val="1"/>
          <w:i w:val="1"/>
          <w:iCs w:val="1"/>
          <w:color w:val="auto"/>
        </w:rPr>
        <w:t>In order to be successful, the Company must attract, retain, train, motivate and develop key employees, and failure to do so could adversely impact the Company’s results and strategic initiatives.</w:t>
      </w:r>
    </w:p>
    <w:p>
      <w:pPr>
        <w:spacing w:after="0" w:line="62" w:lineRule="exact"/>
        <w:rPr>
          <w:sz w:val="20"/>
          <w:szCs w:val="20"/>
          <w:color w:val="auto"/>
        </w:rPr>
      </w:pPr>
    </w:p>
    <w:p>
      <w:pPr>
        <w:ind w:left="60" w:right="119" w:firstLine="427"/>
        <w:spacing w:after="0" w:line="319" w:lineRule="auto"/>
        <w:rPr>
          <w:sz w:val="20"/>
          <w:szCs w:val="20"/>
          <w:color w:val="auto"/>
        </w:rPr>
      </w:pPr>
      <w:r>
        <w:rPr>
          <w:rFonts w:ascii="Arial" w:cs="Arial" w:eastAsia="Arial" w:hAnsi="Arial"/>
          <w:sz w:val="17"/>
          <w:szCs w:val="17"/>
          <w:color w:val="auto"/>
        </w:rPr>
        <w:t>Identifying, developing internally or hiring externally, training and retaining qualified employees are critical to the Company’s future, and competition for experienced employees in the Company’s industry can be intense. Restrictions on immigration or changes in immigration laws, including related to visa restrictions, may limit the Company’s acquisition of talent in key business areas. Changing demographics and labor work force trends may result in a loss of knowledge and skills as experienced workers leave the Company. In addition, as global opportunities and industry demand shifts, and as the Company expands its offerings, realignment, training and hiring of skilled personnel may not be sufficiently rapid. From time to time the Company has effected restructurings, which eliminate a number of positions. Even if such personnel are not directly affected by the restructuring effort, such terminations can have a negative impact on morale and the Company’s ability to attract and hire new qualified personnel in the future. If the Company loses existing qualified personnel or is unable to hire new qualified personnel, as needed, the Company’s business, financial condition and results of operations could be seriously harmed.</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Failure to comply with the requirements of environmental regulations could adversely affect the Company’s business.</w:t>
      </w:r>
    </w:p>
    <w:p>
      <w:pPr>
        <w:spacing w:after="0" w:line="192" w:lineRule="exact"/>
        <w:rPr>
          <w:sz w:val="20"/>
          <w:szCs w:val="20"/>
          <w:color w:val="auto"/>
        </w:rPr>
      </w:pPr>
    </w:p>
    <w:p>
      <w:pPr>
        <w:ind w:left="60" w:right="159" w:firstLine="427"/>
        <w:spacing w:after="0" w:line="321" w:lineRule="auto"/>
        <w:rPr>
          <w:sz w:val="20"/>
          <w:szCs w:val="20"/>
          <w:color w:val="auto"/>
        </w:rPr>
      </w:pPr>
      <w:r>
        <w:rPr>
          <w:rFonts w:ascii="Arial" w:cs="Arial" w:eastAsia="Arial" w:hAnsi="Arial"/>
          <w:sz w:val="17"/>
          <w:szCs w:val="17"/>
          <w:color w:val="auto"/>
        </w:rPr>
        <w:t>The Company is subject to various federal, state, local and foreign laws and regulations addressing environmental and other impacts from product disposal, use of hazardous materials in products, recycling of products at the end of their useful life and other related matters. While the Company strives to ensure it is in full compliance with all applicable regulations, certain of these regulations impose liability without fault. Additionally, the Company may be held responsible for the prior activities of an entity it acquired. Failure to comply with these regulations could result in substantial costs, fines and civil or criminal sanctions, as well as third-party claims for property damage or personal injury. Further, environmental laws may become more stringent over time, imposing greater compliance costs and increasing risks and penalties associated with violations.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43" w:lineRule="exact"/>
        <w:rPr>
          <w:sz w:val="20"/>
          <w:szCs w:val="20"/>
          <w:color w:val="auto"/>
        </w:rPr>
      </w:pPr>
    </w:p>
    <w:p>
      <w:pPr>
        <w:ind w:left="60" w:right="119" w:firstLine="427"/>
        <w:spacing w:after="0" w:line="395" w:lineRule="auto"/>
        <w:rPr>
          <w:sz w:val="20"/>
          <w:szCs w:val="20"/>
          <w:color w:val="auto"/>
        </w:rPr>
      </w:pPr>
      <w:r>
        <w:rPr>
          <w:rFonts w:ascii="Arial" w:cs="Arial" w:eastAsia="Arial" w:hAnsi="Arial"/>
          <w:sz w:val="16"/>
          <w:szCs w:val="16"/>
          <w:color w:val="auto"/>
        </w:rPr>
        <w:t>The Company owns and leases approximately 2.1 million and 4.8 million square feet of space, respectively, of which approximately 25% is located in the United States. The following table summarizes certain of the Company’s key</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facilities: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0"/>
        </w:trPr>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Approximate</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6"/>
              </w:rPr>
              <w:t>Leased</w:t>
            </w:r>
          </w:p>
        </w:tc>
        <w:tc>
          <w:tcPr>
            <w:tcW w:w="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Square</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9"/>
              </w:rPr>
              <w:t>or</w:t>
            </w: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Footage</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c>
          <w:tcPr>
            <w:tcW w:w="100" w:type="dxa"/>
            <w:vAlign w:val="bottom"/>
          </w:tcPr>
          <w:p>
            <w:pPr>
              <w:spacing w:after="0"/>
              <w:rPr>
                <w:sz w:val="20"/>
                <w:szCs w:val="20"/>
                <w:color w:val="auto"/>
              </w:rPr>
            </w:pPr>
          </w:p>
        </w:tc>
        <w:tc>
          <w:tcPr>
            <w:tcW w:w="4320" w:type="dxa"/>
            <w:vAlign w:val="bottom"/>
            <w:gridSpan w:val="2"/>
          </w:tcPr>
          <w:p>
            <w:pPr>
              <w:ind w:left="1640"/>
              <w:spacing w:after="0"/>
              <w:rPr>
                <w:sz w:val="20"/>
                <w:szCs w:val="20"/>
                <w:color w:val="auto"/>
              </w:rPr>
            </w:pPr>
            <w:r>
              <w:rPr>
                <w:rFonts w:ascii="Arial" w:cs="Arial" w:eastAsia="Arial" w:hAnsi="Arial"/>
                <w:sz w:val="18"/>
                <w:szCs w:val="18"/>
                <w:b w:val="1"/>
                <w:bCs w:val="1"/>
                <w:color w:val="auto"/>
              </w:rPr>
              <w:t>Primary Use</w:t>
            </w:r>
          </w:p>
        </w:tc>
      </w:tr>
      <w:tr>
        <w:trPr>
          <w:trHeight w:val="216"/>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Chandler, Arizona</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400,000</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10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EC warehousing and value-added operations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Tongeren, Belgium</w:t>
            </w:r>
          </w:p>
        </w:tc>
        <w:tc>
          <w:tcPr>
            <w:tcW w:w="1140" w:type="dxa"/>
            <w:vAlign w:val="bottom"/>
          </w:tcPr>
          <w:p>
            <w:pPr>
              <w:ind w:left="240"/>
              <w:spacing w:after="0"/>
              <w:rPr>
                <w:sz w:val="20"/>
                <w:szCs w:val="20"/>
                <w:color w:val="auto"/>
              </w:rPr>
            </w:pPr>
            <w:r>
              <w:rPr>
                <w:rFonts w:ascii="Arial" w:cs="Arial" w:eastAsia="Arial" w:hAnsi="Arial"/>
                <w:sz w:val="18"/>
                <w:szCs w:val="18"/>
                <w:color w:val="auto"/>
              </w:rPr>
              <w:t>390,000</w:t>
            </w:r>
          </w:p>
        </w:tc>
        <w:tc>
          <w:tcPr>
            <w:tcW w:w="2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Leeds, United Kingdom</w:t>
            </w:r>
          </w:p>
        </w:tc>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360,000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6"/>
              </w:rPr>
              <w:t>Future Farnell warehousing and value-added operations</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Leeds, United Kingdom</w:t>
            </w:r>
          </w:p>
        </w:tc>
        <w:tc>
          <w:tcPr>
            <w:tcW w:w="1140" w:type="dxa"/>
            <w:vAlign w:val="bottom"/>
          </w:tcPr>
          <w:p>
            <w:pPr>
              <w:ind w:left="260"/>
              <w:spacing w:after="0"/>
              <w:rPr>
                <w:sz w:val="20"/>
                <w:szCs w:val="20"/>
                <w:color w:val="auto"/>
              </w:rPr>
            </w:pPr>
            <w:r>
              <w:rPr>
                <w:rFonts w:ascii="Arial" w:cs="Arial" w:eastAsia="Arial" w:hAnsi="Arial"/>
                <w:sz w:val="18"/>
                <w:szCs w:val="18"/>
                <w:color w:val="auto"/>
              </w:rPr>
              <w:t>330,000</w:t>
            </w:r>
          </w:p>
        </w:tc>
        <w:tc>
          <w:tcPr>
            <w:tcW w:w="2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w w:val="94"/>
              </w:rPr>
              <w:t>Current Farnell warehousing and value-added operations</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Poing, Germany</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4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Gaffney, South Carolina</w:t>
            </w:r>
          </w:p>
        </w:tc>
        <w:tc>
          <w:tcPr>
            <w:tcW w:w="1140" w:type="dxa"/>
            <w:vAlign w:val="bottom"/>
          </w:tcPr>
          <w:p>
            <w:pPr>
              <w:ind w:left="260"/>
              <w:spacing w:after="0"/>
              <w:rPr>
                <w:sz w:val="20"/>
                <w:szCs w:val="20"/>
                <w:color w:val="auto"/>
              </w:rPr>
            </w:pPr>
            <w:r>
              <w:rPr>
                <w:rFonts w:ascii="Arial" w:cs="Arial" w:eastAsia="Arial" w:hAnsi="Arial"/>
                <w:sz w:val="18"/>
                <w:szCs w:val="18"/>
                <w:color w:val="auto"/>
              </w:rPr>
              <w:t>220,000</w:t>
            </w:r>
          </w:p>
        </w:tc>
        <w:tc>
          <w:tcPr>
            <w:tcW w:w="2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rPr>
              <w:t>Farnell warehousing</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 China</w:t>
            </w:r>
          </w:p>
        </w:tc>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210,000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EC warehousing</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Phoenix, Arizona</w:t>
            </w:r>
          </w:p>
        </w:tc>
        <w:tc>
          <w:tcPr>
            <w:tcW w:w="1140" w:type="dxa"/>
            <w:vAlign w:val="bottom"/>
          </w:tcPr>
          <w:p>
            <w:pPr>
              <w:ind w:left="260"/>
              <w:spacing w:after="0"/>
              <w:rPr>
                <w:sz w:val="20"/>
                <w:szCs w:val="20"/>
                <w:color w:val="auto"/>
              </w:rPr>
            </w:pPr>
            <w:r>
              <w:rPr>
                <w:rFonts w:ascii="Arial" w:cs="Arial" w:eastAsia="Arial" w:hAnsi="Arial"/>
                <w:sz w:val="18"/>
                <w:szCs w:val="18"/>
                <w:color w:val="auto"/>
              </w:rPr>
              <w:t>180,000</w:t>
            </w:r>
          </w:p>
        </w:tc>
        <w:tc>
          <w:tcPr>
            <w:tcW w:w="2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rPr>
              <w:t>Corporate and EC Americas headquarters</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Chandler, Arizona</w:t>
            </w:r>
          </w:p>
        </w:tc>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4"/>
              </w:rPr>
              <w:t>EC warehousing, integration and value-added operations</w:t>
            </w:r>
          </w:p>
        </w:tc>
      </w:tr>
    </w:tbl>
    <w:p>
      <w:pPr>
        <w:spacing w:after="0" w:line="215" w:lineRule="exact"/>
        <w:rPr>
          <w:sz w:val="20"/>
          <w:szCs w:val="20"/>
          <w:color w:val="auto"/>
        </w:rPr>
      </w:pPr>
    </w:p>
    <w:p>
      <w:pPr>
        <w:ind w:left="60" w:right="259" w:firstLine="427"/>
        <w:spacing w:after="0" w:line="263" w:lineRule="auto"/>
        <w:rPr>
          <w:sz w:val="20"/>
          <w:szCs w:val="20"/>
          <w:color w:val="auto"/>
        </w:rPr>
      </w:pPr>
      <w:r>
        <w:rPr>
          <w:rFonts w:ascii="Arial" w:cs="Arial" w:eastAsia="Arial" w:hAnsi="Arial"/>
          <w:sz w:val="18"/>
          <w:szCs w:val="18"/>
          <w:color w:val="auto"/>
        </w:rPr>
        <w:t>See Note 5, “Property, plant and equipment, net” and Note 11, “Leases” to the Company’s consolidated financial statements included in Item 8 of this Annual Report on Form 10-K for additional information on property and equipment and operating leases.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43" w:lineRule="exact"/>
        <w:rPr>
          <w:sz w:val="20"/>
          <w:szCs w:val="20"/>
          <w:color w:val="auto"/>
        </w:rPr>
      </w:pPr>
    </w:p>
    <w:p>
      <w:pPr>
        <w:ind w:left="60" w:right="179" w:firstLine="427"/>
        <w:spacing w:after="0" w:line="32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69" w:lineRule="exact"/>
        <w:rPr>
          <w:sz w:val="20"/>
          <w:szCs w:val="20"/>
          <w:color w:val="auto"/>
        </w:rPr>
      </w:pPr>
    </w:p>
    <w:p>
      <w:pPr>
        <w:jc w:val="both"/>
        <w:ind w:left="60" w:right="299" w:firstLine="427"/>
        <w:spacing w:after="0" w:line="354" w:lineRule="auto"/>
        <w:rPr>
          <w:sz w:val="20"/>
          <w:szCs w:val="20"/>
          <w:color w:val="auto"/>
        </w:rPr>
      </w:pPr>
      <w:r>
        <w:rPr>
          <w:rFonts w:ascii="Arial" w:cs="Arial" w:eastAsia="Arial" w:hAnsi="Arial"/>
          <w:sz w:val="16"/>
          <w:szCs w:val="16"/>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left="60" w:right="499"/>
        <w:spacing w:after="0" w:line="32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common stock is listed on the Nasdaq Global Select Market under the symbol AVT.</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599" w:firstLine="427"/>
        <w:spacing w:after="0" w:line="395" w:lineRule="auto"/>
        <w:rPr>
          <w:sz w:val="20"/>
          <w:szCs w:val="20"/>
          <w:color w:val="auto"/>
        </w:rPr>
      </w:pPr>
      <w:r>
        <w:rPr>
          <w:rFonts w:ascii="Arial" w:cs="Arial" w:eastAsia="Arial" w:hAnsi="Arial"/>
          <w:sz w:val="16"/>
          <w:szCs w:val="16"/>
          <w:color w:val="auto"/>
        </w:rPr>
        <w:t>The declaration and payment of future dividends will be at the discretion of the Board of Directors and will be dependent upon the Company’s financial condition, results of operations, capital requirements, and other factors the</w:t>
      </w:r>
    </w:p>
    <w:p>
      <w:pPr>
        <w:sectPr>
          <w:pgSz w:w="11900" w:h="16838" w:orient="portrait"/>
          <w:cols w:equalWidth="0" w:num="1">
            <w:col w:w="9019"/>
          </w:cols>
          <w:pgMar w:left="1440" w:top="517" w:right="1440"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right="159"/>
        <w:spacing w:after="0" w:line="357" w:lineRule="auto"/>
        <w:rPr>
          <w:sz w:val="20"/>
          <w:szCs w:val="20"/>
          <w:color w:val="auto"/>
        </w:rPr>
      </w:pPr>
      <w:r>
        <w:rPr>
          <w:rFonts w:ascii="Arial" w:cs="Arial" w:eastAsia="Arial" w:hAnsi="Arial"/>
          <w:sz w:val="17"/>
          <w:szCs w:val="17"/>
          <w:color w:val="auto"/>
        </w:rPr>
        <w:t>Board of Directors considers relevant. In addition, certain of the Company’s debt facilities may restrict the declaration and payment of dividends, depending upon the Company’s then current compliance with certain covenants.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Record Holders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July 25, 2020, there were 1,623 registered holders of record of Avnet’s common stock.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Graphs and Cumulative Total Returns</w:t>
      </w:r>
    </w:p>
    <w:p>
      <w:pPr>
        <w:spacing w:after="0" w:line="229" w:lineRule="exact"/>
        <w:rPr>
          <w:sz w:val="20"/>
          <w:szCs w:val="20"/>
          <w:color w:val="auto"/>
        </w:rPr>
      </w:pPr>
    </w:p>
    <w:p>
      <w:pPr>
        <w:ind w:left="60" w:right="99" w:firstLine="427"/>
        <w:spacing w:after="0" w:line="304" w:lineRule="auto"/>
        <w:rPr>
          <w:sz w:val="20"/>
          <w:szCs w:val="20"/>
          <w:color w:val="auto"/>
        </w:rPr>
      </w:pPr>
      <w:r>
        <w:rPr>
          <w:rFonts w:ascii="Arial" w:cs="Arial" w:eastAsia="Arial" w:hAnsi="Arial"/>
          <w:sz w:val="18"/>
          <w:szCs w:val="18"/>
          <w:color w:val="auto"/>
        </w:rPr>
        <w:t>The graph below matches the cumulative 5-year total return of holders of Avnet’s common stock with the cumulative total returns of the Nasdaq Composite Index and a customized peer group of five companies that includes: Agilysys Inc., Arrow Electronics Inc., Insight Enterprises Inc., Scansource Inc., and Synnex Corp. The graph assumes that the value of the investment in Avnet’s common stock, in each index, and in the peer group (including reinvestment of dividends) was $100 on 6/27/2015 and tracks it through 6/27/2020.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187960</wp:posOffset>
            </wp:positionV>
            <wp:extent cx="5554980" cy="4448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54980" cy="444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2340" w:type="dxa"/>
            <w:vAlign w:val="bottom"/>
          </w:tcPr>
          <w:p>
            <w:pPr>
              <w:spacing w:after="0"/>
              <w:rPr>
                <w:sz w:val="20"/>
                <w:szCs w:val="20"/>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rPr>
              <w:t>6/27/2015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7/2/2016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7/1/2017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6/30/2018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6/29/2019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6/27/2020</w:t>
            </w:r>
          </w:p>
        </w:tc>
        <w:tc>
          <w:tcPr>
            <w:tcW w:w="60" w:type="dxa"/>
            <w:vAlign w:val="bottom"/>
          </w:tcPr>
          <w:p>
            <w:pPr>
              <w:spacing w:after="0"/>
              <w:rPr>
                <w:sz w:val="20"/>
                <w:szCs w:val="20"/>
                <w:color w:val="auto"/>
              </w:rPr>
            </w:pPr>
          </w:p>
        </w:tc>
      </w:tr>
      <w:tr>
        <w:trPr>
          <w:trHeight w:val="216"/>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Avnet, Inc.</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97.23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95.44</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107.23</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115.26</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67.93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Nasdaq Composite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98.32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126.14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155.91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168.04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213.32</w:t>
            </w:r>
          </w:p>
        </w:tc>
        <w:tc>
          <w:tcPr>
            <w:tcW w:w="6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129.58</w:t>
            </w:r>
          </w:p>
        </w:tc>
        <w:tc>
          <w:tcPr>
            <w:tcW w:w="60" w:type="dxa"/>
            <w:vAlign w:val="bottom"/>
            <w:shd w:val="clear" w:color="auto" w:fill="CCEEFF"/>
          </w:tcPr>
          <w:p>
            <w:pPr>
              <w:spacing w:after="0"/>
              <w:rPr>
                <w:sz w:val="18"/>
                <w:szCs w:val="18"/>
                <w:color w:val="auto"/>
              </w:rPr>
            </w:pPr>
          </w:p>
        </w:tc>
      </w:tr>
    </w:tbl>
    <w:p>
      <w:pPr>
        <w:spacing w:after="0" w:line="13"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The stock price performance included in this graph is not necessarily indicative of future stock price performance</w:t>
      </w:r>
      <w:r>
        <w:rPr>
          <w:rFonts w:ascii="Arial" w:cs="Arial" w:eastAsia="Arial" w:hAnsi="Arial"/>
          <w:sz w:val="17"/>
          <w:szCs w:val="17"/>
          <w:color w:val="auto"/>
        </w:rPr>
        <w:t>.</w:t>
      </w:r>
    </w:p>
    <w:p>
      <w:pPr>
        <w:spacing w:after="0" w:line="2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right="99" w:firstLine="427"/>
        <w:spacing w:after="0" w:line="306" w:lineRule="auto"/>
        <w:rPr>
          <w:sz w:val="20"/>
          <w:szCs w:val="20"/>
          <w:color w:val="auto"/>
        </w:rPr>
      </w:pPr>
      <w:r>
        <w:rPr>
          <w:rFonts w:ascii="Arial" w:cs="Arial" w:eastAsia="Arial" w:hAnsi="Arial"/>
          <w:sz w:val="18"/>
          <w:szCs w:val="18"/>
          <w:color w:val="auto"/>
        </w:rPr>
        <w:t>In August 2019, the Company’s Board of Directors amended the Company’s existing share repurchase program, increasing the cumulative total of authorized share repurchases to $2.95 billion of common stock. During the fourth quarter of fiscal 2020, the Company did not repurchase any shares under the share repurchase program, which is part of a publicly announced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0" w:right="99" w:firstLine="427"/>
        <w:spacing w:after="0" w:line="336" w:lineRule="auto"/>
        <w:rPr>
          <w:sz w:val="20"/>
          <w:szCs w:val="20"/>
          <w:color w:val="auto"/>
        </w:rPr>
      </w:pPr>
      <w:r>
        <w:rPr>
          <w:rFonts w:ascii="Arial" w:cs="Arial" w:eastAsia="Arial" w:hAnsi="Arial"/>
          <w:sz w:val="17"/>
          <w:szCs w:val="17"/>
          <w:color w:val="auto"/>
        </w:rPr>
        <w:t xml:space="preserve">The following selected financial data has been derived from the Company’s consolidated financial statements. The data set forth below should be read in conjunction with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and the consolidated financial statements and notes thereto.</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85"/>
              </w:rPr>
              <w:t>June 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70"/>
              <w:spacing w:after="0" w:line="198" w:lineRule="exact"/>
              <w:rPr>
                <w:sz w:val="20"/>
                <w:szCs w:val="20"/>
                <w:color w:val="auto"/>
              </w:rPr>
            </w:pPr>
            <w:r>
              <w:rPr>
                <w:rFonts w:ascii="Arial" w:cs="Arial" w:eastAsia="Arial" w:hAnsi="Arial"/>
                <w:sz w:val="18"/>
                <w:szCs w:val="18"/>
                <w:b w:val="1"/>
                <w:bCs w:val="1"/>
                <w:color w:val="auto"/>
                <w:w w:val="88"/>
              </w:rPr>
              <w:t>June 29,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2"/>
              </w:rPr>
              <w:t>July 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2"/>
              </w:rPr>
              <w:t>July 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7"/>
          </w:tcPr>
          <w:p>
            <w:pPr>
              <w:ind w:left="640"/>
              <w:spacing w:after="0" w:line="202" w:lineRule="exact"/>
              <w:rPr>
                <w:sz w:val="20"/>
                <w:szCs w:val="20"/>
                <w:color w:val="auto"/>
              </w:rPr>
            </w:pPr>
            <w:r>
              <w:rPr>
                <w:rFonts w:ascii="Arial" w:cs="Arial" w:eastAsia="Arial" w:hAnsi="Arial"/>
                <w:sz w:val="18"/>
                <w:szCs w:val="18"/>
                <w:b w:val="1"/>
                <w:bCs w:val="1"/>
                <w:color w:val="auto"/>
                <w:w w:val="94"/>
              </w:rPr>
              <w:t>(Millions, except</w:t>
            </w:r>
          </w:p>
        </w:tc>
        <w:tc>
          <w:tcPr>
            <w:tcW w:w="10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2"/>
              </w:rPr>
              <w:t>for per share</w:t>
            </w:r>
          </w:p>
        </w:tc>
        <w:tc>
          <w:tcPr>
            <w:tcW w:w="10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82"/>
              </w:rPr>
              <w:t>and ratio data)</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Consolidated Statements of Operations: </w:t>
            </w:r>
            <w:r>
              <w:rPr>
                <w:rFonts w:ascii="Arial" w:cs="Arial" w:eastAsia="Arial" w:hAnsi="Arial"/>
                <w:sz w:val="25"/>
                <w:szCs w:val="25"/>
                <w:color w:val="auto"/>
                <w:vertAlign w:val="superscript"/>
              </w:rPr>
              <w: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Sales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17,634.3</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19,518.6</w:t>
            </w:r>
          </w:p>
        </w:tc>
        <w:tc>
          <w:tcPr>
            <w:tcW w:w="16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19,036.9</w:t>
            </w:r>
          </w:p>
        </w:tc>
        <w:tc>
          <w:tcPr>
            <w:tcW w:w="16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17,440.0</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16,740.6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Operating (loss) income </w:t>
            </w:r>
            <w:r>
              <w:rPr>
                <w:rFonts w:ascii="Arial" w:cs="Arial" w:eastAsia="Arial" w:hAnsi="Arial"/>
                <w:sz w:val="25"/>
                <w:szCs w:val="25"/>
                <w:color w:val="auto"/>
                <w:vertAlign w:val="superscript"/>
              </w:rPr>
              <w:t>(b)(c)(d)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Net income (loss) </w:t>
            </w:r>
            <w:r>
              <w:rPr>
                <w:rFonts w:ascii="Arial" w:cs="Arial" w:eastAsia="Arial" w:hAnsi="Arial"/>
                <w:sz w:val="25"/>
                <w:szCs w:val="25"/>
                <w:color w:val="auto"/>
                <w:vertAlign w:val="superscript"/>
              </w:rPr>
              <w: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120"/>
              <w:spacing w:after="0"/>
              <w:rPr>
                <w:sz w:val="20"/>
                <w:szCs w:val="20"/>
                <w:color w:val="auto"/>
              </w:rPr>
            </w:pPr>
            <w:r>
              <w:rPr>
                <w:rFonts w:ascii="Arial" w:cs="Arial" w:eastAsia="Arial" w:hAnsi="Arial"/>
                <w:sz w:val="18"/>
                <w:szCs w:val="18"/>
                <w:color w:val="auto"/>
              </w:rPr>
              <w:t>Earnings - diluted: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Earnings (loss) from continuing operations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w w:val="94"/>
              </w:rPr>
              <w:t>Earnings (loss) from discontinued operations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Earnings (loss) per share - diluted</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Cash dividends per share</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0.84</w:t>
            </w:r>
          </w:p>
        </w:tc>
        <w:tc>
          <w:tcPr>
            <w:tcW w:w="1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0.80</w:t>
            </w:r>
          </w:p>
        </w:tc>
        <w:tc>
          <w:tcPr>
            <w:tcW w:w="1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0.74</w:t>
            </w:r>
          </w:p>
        </w:tc>
        <w:tc>
          <w:tcPr>
            <w:tcW w:w="1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0.70</w:t>
            </w:r>
          </w:p>
        </w:tc>
        <w:tc>
          <w:tcPr>
            <w:tcW w:w="1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0.68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Weighted-average shares outstanding - 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128,651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133,173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Consolidated Balance Sheets: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25"/>
                <w:szCs w:val="25"/>
                <w:color w:val="auto"/>
                <w:vertAlign w:val="superscript"/>
              </w:rPr>
              <w:t>(f)</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4,048.4</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4,297.8</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4,641.1</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8,105.2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8,564.6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9,596.8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9,699.6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11,239.8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3,726.4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4,140.5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4,685.1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5,182.1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w w:val="91"/>
              </w:rPr>
              <w:t>Operating (loss) income as a percentage of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as a percentage of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Quick ratio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ratio</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Total debt to capital ratio</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27.7 %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29.4 %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26.1 %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25.6 %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40"/>
        </w:trPr>
        <w:tc>
          <w:tcPr>
            <w:tcW w:w="2240" w:type="dxa"/>
            <w:vAlign w:val="bottom"/>
            <w:tcBorders>
              <w:bottom w:val="single" w:sz="8" w:color="auto"/>
            </w:tcBorders>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40" w:right="439" w:hanging="390"/>
        <w:spacing w:after="0" w:line="32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February 2017, the Company completed the sale of its TS business and as such, the results of that business are classified as discontinued operations in all periods presented.</w:t>
      </w:r>
    </w:p>
    <w:p>
      <w:pPr>
        <w:spacing w:after="0" w:line="129" w:lineRule="exact"/>
        <w:rPr>
          <w:rFonts w:ascii="Arial" w:cs="Arial" w:eastAsia="Arial" w:hAnsi="Arial"/>
          <w:sz w:val="18"/>
          <w:szCs w:val="18"/>
          <w:color w:val="auto"/>
        </w:rPr>
      </w:pPr>
    </w:p>
    <w:p>
      <w:pPr>
        <w:ind w:left="440" w:right="119" w:hanging="390"/>
        <w:spacing w:after="0" w:line="364"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summary consolidated financial data for fiscal 2018 and prior has been retrospectively restated to reflect the Company’s adoption of Accounting Standards Update No. 2017-07, </w:t>
      </w:r>
      <w:r>
        <w:rPr>
          <w:rFonts w:ascii="Arial" w:cs="Arial" w:eastAsia="Arial" w:hAnsi="Arial"/>
          <w:sz w:val="16"/>
          <w:szCs w:val="16"/>
          <w:i w:val="1"/>
          <w:iCs w:val="1"/>
          <w:color w:val="auto"/>
        </w:rPr>
        <w:t xml:space="preserve">Compensation - Retirement Benefits (Topic 715)-Improving the Presentation of Net Periodic Cost and Net Periodic Postretirement Benefit Cost </w:t>
      </w:r>
      <w:r>
        <w:rPr>
          <w:rFonts w:ascii="Arial" w:cs="Arial" w:eastAsia="Arial" w:hAnsi="Arial"/>
          <w:sz w:val="16"/>
          <w:szCs w:val="16"/>
          <w:color w:val="auto"/>
        </w:rPr>
        <w:t>("ASU No. 2017-07").</w:t>
      </w:r>
    </w:p>
    <w:p>
      <w:pPr>
        <w:spacing w:after="0" w:line="121" w:lineRule="exact"/>
        <w:rPr>
          <w:rFonts w:ascii="Arial" w:cs="Arial" w:eastAsia="Arial" w:hAnsi="Arial"/>
          <w:sz w:val="16"/>
          <w:szCs w:val="16"/>
          <w:color w:val="auto"/>
        </w:rPr>
      </w:pPr>
    </w:p>
    <w:p>
      <w:pPr>
        <w:jc w:val="both"/>
        <w:ind w:left="460" w:right="359" w:hanging="410"/>
        <w:spacing w:after="0" w:line="39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fiscal years presented include restructuring, integration and other expenses from continuing operations, which totaled $81.9 million in fiscal 2020, $108.1 million in fiscal 2019, $145.1 million in fiscal 2018, $137.4 million in</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fiscal 2017, and $44.8 million in fiscal 2016.</w:t>
      </w:r>
    </w:p>
    <w:p>
      <w:pPr>
        <w:spacing w:after="0" w:line="239" w:lineRule="exact"/>
        <w:rPr>
          <w:sz w:val="20"/>
          <w:szCs w:val="20"/>
          <w:color w:val="auto"/>
        </w:rPr>
      </w:pPr>
    </w:p>
    <w:p>
      <w:pPr>
        <w:ind w:left="440" w:right="159" w:hanging="390"/>
        <w:spacing w:after="0" w:line="310"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fiscal years presented include amortization of acquired intangible assets and other, which totaled $81.6 million in fiscal 2020, $84.3 million in fiscal 2019, $91.9 million in fiscal 2018, $54.5 million in fiscal 2017, and $9.8 million in fiscal 2016.</w:t>
      </w:r>
    </w:p>
    <w:p>
      <w:pPr>
        <w:spacing w:after="0" w:line="142" w:lineRule="exact"/>
        <w:rPr>
          <w:rFonts w:ascii="Arial" w:cs="Arial" w:eastAsia="Arial" w:hAnsi="Arial"/>
          <w:sz w:val="18"/>
          <w:szCs w:val="18"/>
          <w:color w:val="auto"/>
        </w:rPr>
      </w:pPr>
    </w:p>
    <w:p>
      <w:pPr>
        <w:ind w:left="460" w:right="259" w:hanging="410"/>
        <w:spacing w:after="0" w:line="30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fiscal years presented were impacted by expense or income amounts that impact the comparability between years including a goodwill and intangible asset impairment expenses of $144.1 million in fiscal 2020, goodwill impairment expenses of $137.4 million in fiscal 2019, goodwill impairment expenses of $181.4 million and a one-time mandatory deemed repatriation tax expense of $230.0 million in fiscal 2018, and a gain on disposal of the TS business of $222.4 million after tax in fiscal 2017.</w:t>
      </w:r>
    </w:p>
    <w:p>
      <w:pPr>
        <w:spacing w:after="0" w:line="147" w:lineRule="exact"/>
        <w:rPr>
          <w:rFonts w:ascii="Arial" w:cs="Arial" w:eastAsia="Arial" w:hAnsi="Arial"/>
          <w:sz w:val="18"/>
          <w:szCs w:val="18"/>
          <w:color w:val="auto"/>
        </w:rPr>
      </w:pPr>
    </w:p>
    <w:p>
      <w:pPr>
        <w:ind w:left="460" w:right="459" w:hanging="410"/>
        <w:spacing w:after="0" w:line="357"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calculation of working capital is defined as current assets less current liabilities. See the “Liquidity” section contained in Item 7 of this Annual Report on Form 10-K for further discussion on liquidity.</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color w:val="auto"/>
              </w:rPr>
              <w:t>Summary of quarterly results:</w:t>
            </w: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0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First</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Second</w:t>
            </w:r>
          </w:p>
        </w:tc>
        <w:tc>
          <w:tcPr>
            <w:tcW w:w="200" w:type="dxa"/>
            <w:vAlign w:val="bottom"/>
          </w:tcPr>
          <w:p>
            <w:pPr>
              <w:spacing w:after="0"/>
              <w:rPr>
                <w:sz w:val="24"/>
                <w:szCs w:val="24"/>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Fourth</w:t>
            </w:r>
          </w:p>
        </w:tc>
        <w:tc>
          <w:tcPr>
            <w:tcW w:w="40" w:type="dxa"/>
            <w:vAlign w:val="bottom"/>
          </w:tcPr>
          <w:p>
            <w:pPr>
              <w:spacing w:after="0"/>
              <w:rPr>
                <w:sz w:val="24"/>
                <w:szCs w:val="24"/>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b w:val="1"/>
                <w:bCs w:val="1"/>
                <w:color w:val="auto"/>
              </w:rPr>
              <w:t>Fiscal</w:t>
            </w:r>
          </w:p>
        </w:tc>
      </w:tr>
      <w:tr>
        <w:trPr>
          <w:trHeight w:val="247"/>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Borders>
              <w:bottom w:val="single" w:sz="8" w:color="auto"/>
            </w:tcBorders>
          </w:tcPr>
          <w:p>
            <w:pPr>
              <w:jc w:val="right"/>
              <w:ind w:right="70"/>
              <w:spacing w:after="0" w:line="240" w:lineRule="exact"/>
              <w:rPr>
                <w:sz w:val="20"/>
                <w:szCs w:val="20"/>
                <w:color w:val="auto"/>
              </w:rPr>
            </w:pPr>
            <w:r>
              <w:rPr>
                <w:rFonts w:ascii="Arial" w:cs="Arial" w:eastAsia="Arial" w:hAnsi="Arial"/>
                <w:sz w:val="18"/>
                <w:szCs w:val="18"/>
                <w:b w:val="1"/>
                <w:bCs w:val="1"/>
                <w:color w:val="auto"/>
              </w:rPr>
              <w:t>Year</w:t>
            </w:r>
            <w:r>
              <w:rPr>
                <w:rFonts w:ascii="Arial" w:cs="Arial" w:eastAsia="Arial" w:hAnsi="Arial"/>
                <w:sz w:val="26"/>
                <w:szCs w:val="26"/>
                <w:color w:val="auto"/>
                <w:vertAlign w:val="superscript"/>
              </w:rPr>
              <w:t>(a)</w:t>
            </w:r>
          </w:p>
        </w:tc>
        <w:tc>
          <w:tcPr>
            <w:tcW w:w="6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80" w:type="dxa"/>
            <w:vAlign w:val="bottom"/>
            <w:gridSpan w:val="5"/>
          </w:tcPr>
          <w:p>
            <w:pPr>
              <w:ind w:left="160"/>
              <w:spacing w:after="0" w:line="202" w:lineRule="exact"/>
              <w:rPr>
                <w:sz w:val="20"/>
                <w:szCs w:val="20"/>
                <w:color w:val="auto"/>
              </w:rPr>
            </w:pPr>
            <w:r>
              <w:rPr>
                <w:rFonts w:ascii="Arial" w:cs="Arial" w:eastAsia="Arial" w:hAnsi="Arial"/>
                <w:sz w:val="18"/>
                <w:szCs w:val="18"/>
                <w:b w:val="1"/>
                <w:bCs w:val="1"/>
                <w:color w:val="auto"/>
                <w:w w:val="84"/>
              </w:rPr>
              <w:t>(Millions, except per share</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1"/>
              </w:rPr>
              <w:t>amounts)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2020</w:t>
            </w:r>
            <w:r>
              <w:rPr>
                <w:rFonts w:ascii="Arial" w:cs="Arial" w:eastAsia="Arial" w:hAnsi="Arial"/>
                <w:sz w:val="25"/>
                <w:szCs w:val="25"/>
                <w:color w:val="auto"/>
                <w:vertAlign w:val="superscript"/>
              </w:rPr>
              <w:t>(b)</w:t>
            </w: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Sales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$ 4,630.0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$ 4,534.8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$ 4,309.8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$ 4,159.7</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$ 17,634.3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(128.7)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line="216" w:lineRule="exact"/>
              <w:rPr>
                <w:sz w:val="20"/>
                <w:szCs w:val="20"/>
                <w:color w:val="auto"/>
              </w:rPr>
            </w:pPr>
            <w:r>
              <w:rPr>
                <w:rFonts w:ascii="Arial" w:cs="Arial" w:eastAsia="Arial" w:hAnsi="Arial"/>
                <w:sz w:val="17"/>
                <w:szCs w:val="17"/>
                <w:b w:val="1"/>
                <w:bCs w:val="1"/>
                <w:color w:val="auto"/>
              </w:rPr>
              <w:t>2019</w:t>
            </w:r>
            <w:r>
              <w:rPr>
                <w:rFonts w:ascii="Arial" w:cs="Arial" w:eastAsia="Arial" w:hAnsi="Arial"/>
                <w:sz w:val="25"/>
                <w:szCs w:val="25"/>
                <w:color w:val="auto"/>
                <w:vertAlign w:val="superscript"/>
              </w:rPr>
              <w:t>(c)</w:t>
            </w: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$ 5,089.9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$ 5,049.0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$ 4,698.8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$ 4,680.9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$ 19,518.6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636.8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595.1</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2,486.1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20"/>
                <w:szCs w:val="20"/>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215"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Quarters may not total to the fiscal year due to rounding and differences in the diluted share count.</w:t>
      </w:r>
    </w:p>
    <w:p>
      <w:pPr>
        <w:spacing w:after="0" w:line="238" w:lineRule="exact"/>
        <w:rPr>
          <w:rFonts w:ascii="Arial" w:cs="Arial" w:eastAsia="Arial" w:hAnsi="Arial"/>
          <w:sz w:val="18"/>
          <w:szCs w:val="18"/>
          <w:color w:val="auto"/>
        </w:rPr>
      </w:pPr>
    </w:p>
    <w:p>
      <w:pPr>
        <w:ind w:left="380" w:right="159" w:hanging="330"/>
        <w:spacing w:after="0" w:line="301"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quarter of fiscal 2020 net income was impacted by restructuring, integration and other expenses of $18.4 million after tax, and a discrete income tax benefit of $13.6 million. Second quarter results were impacted by restructuring, integration and other expenses of $10.9 million after tax and a discrete income tax expense of $4.1 million. Third quarter results were impacted by restructuring, integration and other expenses of $14.8 million after tax, goodwill and intangible asset impairment expenses of $139.6 million after tax and a discrete income tax benefit of $15.1 million. Fourth quarter results were impacted by restructuring, integration and other expenses of $19.1 million after tax, a goodwill and intangible asset impairment expenses adjustment of $2.0 million and a discrete income tax benefit of $23.0 million.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380" w:right="179" w:hanging="330"/>
        <w:spacing w:after="0" w:line="301"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First quarter of fiscal 2019 net income was impacted by restructuring, integration and other expenses of $11.5 million after tax, and a discrete income tax expense of $8.2 million. Second quarter results were impacted by restructuring, integration and other expenses of $46.6 million after tax and a discrete income tax expense of $16.7 million. Third quarter results were impacted by restructuring, integration and other expenses of $2.6 million after tax and a discrete income tax expense of $4.1 million. Fourth quarter results were impacted by restructuring, integration and other expenses of $20.7 million after tax, a goodwill impairment expense of $118.8 million after tax and a discrete income tax benefit of $20.9 million.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43" w:lineRule="exact"/>
        <w:rPr>
          <w:sz w:val="20"/>
          <w:szCs w:val="20"/>
          <w:color w:val="auto"/>
        </w:rPr>
      </w:pPr>
    </w:p>
    <w:p>
      <w:pPr>
        <w:ind w:left="60" w:right="119" w:firstLine="427"/>
        <w:spacing w:after="0" w:line="304" w:lineRule="auto"/>
        <w:rPr>
          <w:sz w:val="20"/>
          <w:szCs w:val="20"/>
          <w:color w:val="auto"/>
        </w:rPr>
      </w:pPr>
      <w:r>
        <w:rPr>
          <w:rFonts w:ascii="Arial" w:cs="Arial" w:eastAsia="Arial" w:hAnsi="Arial"/>
          <w:sz w:val="18"/>
          <w:szCs w:val="18"/>
          <w:color w:val="auto"/>
        </w:rPr>
        <w:t>For an understanding of Avnet and the significant factors that influenced the Company’s performance during the past three fiscal years, the following discussion should be read in conjunction with the description of the business appearing in Item 1 of this Report and the consolidated financial statements, including the related notes and schedule, and other information appearing in Item 8 of this Report. The Company operates on a “52/53 week” fiscal year. Fiscal years 2020, 2019 and 2018 all contain 52 weeks.</w:t>
      </w:r>
    </w:p>
    <w:p>
      <w:pPr>
        <w:spacing w:after="0" w:line="80" w:lineRule="exact"/>
        <w:rPr>
          <w:sz w:val="20"/>
          <w:szCs w:val="20"/>
          <w:color w:val="auto"/>
        </w:rPr>
      </w:pPr>
    </w:p>
    <w:p>
      <w:pPr>
        <w:ind w:left="60" w:right="279" w:firstLine="427"/>
        <w:spacing w:after="0" w:line="344" w:lineRule="auto"/>
        <w:rPr>
          <w:sz w:val="20"/>
          <w:szCs w:val="20"/>
          <w:color w:val="auto"/>
        </w:rPr>
      </w:pPr>
      <w:r>
        <w:rPr>
          <w:rFonts w:ascii="Arial" w:cs="Arial" w:eastAsia="Arial" w:hAnsi="Arial"/>
          <w:sz w:val="16"/>
          <w:szCs w:val="16"/>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EMEA and Asia, are referred to as “constant currency.”</w:t>
      </w:r>
    </w:p>
    <w:p>
      <w:pPr>
        <w:spacing w:after="0" w:line="58" w:lineRule="exact"/>
        <w:rPr>
          <w:sz w:val="20"/>
          <w:szCs w:val="20"/>
          <w:color w:val="auto"/>
        </w:rPr>
      </w:pPr>
    </w:p>
    <w:p>
      <w:pPr>
        <w:ind w:left="60" w:right="539" w:firstLine="427"/>
        <w:spacing w:after="0" w:line="395" w:lineRule="auto"/>
        <w:rPr>
          <w:sz w:val="20"/>
          <w:szCs w:val="20"/>
          <w:color w:val="auto"/>
        </w:rPr>
      </w:pPr>
      <w:r>
        <w:rPr>
          <w:rFonts w:ascii="Arial" w:cs="Arial" w:eastAsia="Arial" w:hAnsi="Arial"/>
          <w:sz w:val="16"/>
          <w:szCs w:val="16"/>
          <w:color w:val="auto"/>
        </w:rPr>
        <w:t>In addition to disclosing financial results that are determined in accordance with generally accepted accounting principles in the U.S. (“GAAP”), the Company also discloses certain non-GAAP financial information, including:</w:t>
      </w:r>
    </w:p>
    <w:p>
      <w:pPr>
        <w:spacing w:after="0" w:line="15" w:lineRule="exact"/>
        <w:rPr>
          <w:sz w:val="20"/>
          <w:szCs w:val="20"/>
          <w:color w:val="auto"/>
        </w:rPr>
      </w:pPr>
    </w:p>
    <w:p>
      <w:pPr>
        <w:ind w:left="820" w:right="199" w:hanging="324"/>
        <w:spacing w:after="0" w:line="302"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the prior year sales are adjusted for divestitures by adjusting Avnet’s prior periods to exclude the sales of divested businesses as if the divestitures had occurred at the beginning of the earliest period presented. Sales taking into account these adjustments are referred to as “organic sales.”</w:t>
      </w:r>
    </w:p>
    <w:p>
      <w:pPr>
        <w:spacing w:after="0" w:line="84" w:lineRule="exact"/>
        <w:rPr>
          <w:rFonts w:ascii="Arial" w:cs="Arial" w:eastAsia="Arial" w:hAnsi="Arial"/>
          <w:sz w:val="18"/>
          <w:szCs w:val="18"/>
          <w:color w:val="auto"/>
        </w:rPr>
      </w:pPr>
    </w:p>
    <w:p>
      <w:pPr>
        <w:ind w:left="820" w:right="139" w:hanging="324"/>
        <w:spacing w:after="0" w:line="313"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Operating income excluding (i) restructuring, integration and other expenses (see Restructuring, Integration and Other Expenses in this MD&amp;A), (ii) goodwill and intangible asset impairment expenses, and (iii) amortization of acquired intangible assets and other is referred to as “adjusted operating income.” The reconciliation of operating income to adjusted operating income is presented in the following table:</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Years Ended</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5"/>
              </w:rPr>
              <w:t>June 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June 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85"/>
              </w:rPr>
              <w:t>(Thousands)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108,144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Goodwill and intangible asset impairment expenses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6"/>
              </w:rPr>
              <w:t>Amortization of acquired intangible assets and other</w:t>
            </w:r>
          </w:p>
        </w:tc>
        <w:tc>
          <w:tcPr>
            <w:tcW w:w="13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81,555</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84,257</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operating income</w:t>
            </w: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302,889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695,708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627,706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40" w:type="dxa"/>
            <w:vAlign w:val="bottom"/>
            <w:vMerge w:val="restart"/>
          </w:tcPr>
          <w:p>
            <w:pPr>
              <w:jc w:val="right"/>
              <w:ind w:right="8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28"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firstLine="427"/>
        <w:spacing w:after="0" w:line="346" w:lineRule="auto"/>
        <w:rPr>
          <w:sz w:val="20"/>
          <w:szCs w:val="20"/>
          <w:color w:val="auto"/>
        </w:rPr>
      </w:pPr>
      <w:r>
        <w:rPr>
          <w:rFonts w:ascii="Arial" w:cs="Arial" w:eastAsia="Arial" w:hAnsi="Arial"/>
          <w:sz w:val="16"/>
          <w:szCs w:val="16"/>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Significant Risks and Uncertainties</w:t>
      </w:r>
    </w:p>
    <w:p>
      <w:pPr>
        <w:spacing w:after="0" w:line="225" w:lineRule="exact"/>
        <w:rPr>
          <w:sz w:val="20"/>
          <w:szCs w:val="20"/>
          <w:color w:val="auto"/>
        </w:rPr>
      </w:pPr>
    </w:p>
    <w:p>
      <w:pPr>
        <w:ind w:left="60" w:right="79" w:firstLine="427"/>
        <w:spacing w:after="0" w:line="302" w:lineRule="auto"/>
        <w:rPr>
          <w:sz w:val="20"/>
          <w:szCs w:val="20"/>
          <w:color w:val="auto"/>
        </w:rPr>
      </w:pPr>
      <w:r>
        <w:rPr>
          <w:rFonts w:ascii="Arial" w:cs="Arial" w:eastAsia="Arial" w:hAnsi="Arial"/>
          <w:sz w:val="18"/>
          <w:szCs w:val="18"/>
          <w:color w:val="auto"/>
        </w:rPr>
        <w:t>The COVID-19 pandemic has negatively impacted the global economy, disrupted global supply chains, constrained work force participation, disrupted logistics and distribution systems, and created significant volatility and disruption of financial markets. As the scope and duration of the COVID-19 pandemic is unknown and the extent of its economic impact continues to evolve globally, there is significant uncertainty related to the ultimate impact it will have on the Company’s business, its employees, results of operations and financial condition, and to what extent the Company’s actions to mitigate such impacts will be successful and sufficient.</w:t>
      </w:r>
    </w:p>
    <w:p>
      <w:pPr>
        <w:spacing w:after="0" w:line="152" w:lineRule="exact"/>
        <w:rPr>
          <w:sz w:val="20"/>
          <w:szCs w:val="20"/>
          <w:color w:val="auto"/>
        </w:rPr>
      </w:pPr>
    </w:p>
    <w:p>
      <w:pPr>
        <w:ind w:left="60" w:right="119" w:firstLine="427"/>
        <w:spacing w:after="0" w:line="301" w:lineRule="auto"/>
        <w:rPr>
          <w:sz w:val="20"/>
          <w:szCs w:val="20"/>
          <w:color w:val="auto"/>
        </w:rPr>
      </w:pPr>
      <w:r>
        <w:rPr>
          <w:rFonts w:ascii="Arial" w:cs="Arial" w:eastAsia="Arial" w:hAnsi="Arial"/>
          <w:sz w:val="18"/>
          <w:szCs w:val="18"/>
          <w:color w:val="auto"/>
        </w:rPr>
        <w:t>During the second half of fiscal 2020, the Company experienced increased logistics costs, softer product demand, price constraints, longer lead times in certain regions, reduction in global distribution center utilization, and shipping delays. The Company’s suppliers and customers were also negatively impacted, including delays in the production and export of products. The impact to the Company’s customers may also result in an increase in past due accounts receivable or customer bankruptcies. To mitigate the impact of COVID-19, the Company has implemented business continuity plans, with a focus on employee safety and mitigation of business disruptions. The Company is also taking steps to conserve cash and effectively manage its debt.</w:t>
      </w:r>
    </w:p>
    <w:p>
      <w:pPr>
        <w:spacing w:after="0" w:line="167" w:lineRule="exact"/>
        <w:rPr>
          <w:sz w:val="20"/>
          <w:szCs w:val="20"/>
          <w:color w:val="auto"/>
        </w:rPr>
      </w:pPr>
    </w:p>
    <w:p>
      <w:pPr>
        <w:ind w:left="60" w:right="179" w:firstLine="427"/>
        <w:spacing w:after="0" w:line="325" w:lineRule="auto"/>
        <w:rPr>
          <w:sz w:val="20"/>
          <w:szCs w:val="20"/>
          <w:color w:val="auto"/>
        </w:rPr>
      </w:pPr>
      <w:r>
        <w:rPr>
          <w:rFonts w:ascii="Arial" w:cs="Arial" w:eastAsia="Arial" w:hAnsi="Arial"/>
          <w:sz w:val="17"/>
          <w:szCs w:val="17"/>
          <w:color w:val="auto"/>
        </w:rPr>
        <w:t>The COVID-19 pandemic has had a negative impact on the Company’s results of operations and financial performance for the second half of fiscal 2020, and the Company expects it will likely continue to have a negative impact on its sales, earnings and cash flows into fiscal 2021. Accordingly, current results and financial condition discussed herein may not be indicative of future operating results and trends. See the risk factor regarding the impacts of the COVID-19 pandemic included in Part I—Item 1A of this Annual Report on Form 10-K.</w:t>
      </w:r>
    </w:p>
    <w:p>
      <w:pPr>
        <w:spacing w:after="0" w:line="134" w:lineRule="exact"/>
        <w:rPr>
          <w:sz w:val="20"/>
          <w:szCs w:val="20"/>
          <w:color w:val="auto"/>
        </w:rPr>
      </w:pPr>
    </w:p>
    <w:p>
      <w:pPr>
        <w:ind w:left="60" w:right="79" w:firstLine="427"/>
        <w:spacing w:after="0" w:line="304" w:lineRule="auto"/>
        <w:rPr>
          <w:sz w:val="20"/>
          <w:szCs w:val="20"/>
          <w:color w:val="auto"/>
        </w:rPr>
      </w:pPr>
      <w:r>
        <w:rPr>
          <w:rFonts w:ascii="Arial" w:cs="Arial" w:eastAsia="Arial" w:hAnsi="Arial"/>
          <w:sz w:val="18"/>
          <w:szCs w:val="18"/>
          <w:color w:val="auto"/>
        </w:rPr>
        <w:t>Additionally, the Company received notice from TI in the second quarter of fiscal 2020 that it planned to terminate the Company’s distribution agreement by December 2020 due to the evolution of its strategy. As a result of the termination, the Company will experience lower sales and gross profit in the future if the impact of the termination is not offset by sales growth, gross margin improvements or operating cost reductions from strategic initiatives designed to mitigate such impacts.</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39" w:lineRule="exact"/>
        <w:rPr>
          <w:sz w:val="20"/>
          <w:szCs w:val="20"/>
          <w:color w:val="auto"/>
        </w:rPr>
      </w:pPr>
    </w:p>
    <w:p>
      <w:pPr>
        <w:ind w:left="60" w:right="319" w:firstLine="427"/>
        <w:spacing w:after="0" w:line="304" w:lineRule="auto"/>
        <w:rPr>
          <w:sz w:val="20"/>
          <w:szCs w:val="20"/>
          <w:color w:val="auto"/>
        </w:rPr>
      </w:pPr>
      <w:r>
        <w:rPr>
          <w:rFonts w:ascii="Arial" w:cs="Arial" w:eastAsia="Arial" w:hAnsi="Arial"/>
          <w:sz w:val="18"/>
          <w:szCs w:val="18"/>
          <w:color w:val="auto"/>
        </w:rPr>
        <w:t>Sales for fiscal 2020 were $17.63 billion, a decrease of 9.7% from fiscal 2019 sales of $19.52 billion. Sales in constant currency decreased by 8.7% year over year. The year-over-year sales decline, which occurred in both operating groups and across all three regions, was primarily due to lower demand resulting from the continuation of the global industry-wide slowdown that started in the second half of fiscal 2019 and impacts on demand from the COVID-19 pandemic.</w:t>
      </w:r>
    </w:p>
    <w:p>
      <w:pPr>
        <w:spacing w:after="0" w:line="80" w:lineRule="exact"/>
        <w:rPr>
          <w:sz w:val="20"/>
          <w:szCs w:val="20"/>
          <w:color w:val="auto"/>
        </w:rPr>
      </w:pPr>
    </w:p>
    <w:p>
      <w:pPr>
        <w:ind w:left="60" w:right="119" w:firstLine="427"/>
        <w:spacing w:after="0" w:line="395" w:lineRule="auto"/>
        <w:rPr>
          <w:sz w:val="20"/>
          <w:szCs w:val="20"/>
          <w:color w:val="auto"/>
        </w:rPr>
      </w:pPr>
      <w:r>
        <w:rPr>
          <w:rFonts w:ascii="Arial" w:cs="Arial" w:eastAsia="Arial" w:hAnsi="Arial"/>
          <w:sz w:val="16"/>
          <w:szCs w:val="16"/>
          <w:color w:val="auto"/>
        </w:rPr>
        <w:t>Gross profit margin for fiscal 2020 of 11.7% decreased 104 basis points from fiscal 2019. The year-over-year decline was primarily due to a combination of product and customer mix, geographical market mix and overall declines</w:t>
      </w:r>
    </w:p>
    <w:p>
      <w:pPr>
        <w:sectPr>
          <w:pgSz w:w="11900" w:h="16838" w:orient="portrait"/>
          <w:cols w:equalWidth="0" w:num="1">
            <w:col w:w="9019"/>
          </w:cols>
          <w:pgMar w:left="1440" w:top="517" w:right="1440"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color w:val="auto"/>
        </w:rPr>
        <w:t>in gross profit margin due to the global industry-wide slowdown and the COVID-19 pandemic.</w:t>
      </w:r>
    </w:p>
    <w:p>
      <w:pPr>
        <w:spacing w:after="0" w:line="158" w:lineRule="exact"/>
        <w:rPr>
          <w:sz w:val="20"/>
          <w:szCs w:val="20"/>
          <w:color w:val="auto"/>
        </w:rPr>
      </w:pPr>
    </w:p>
    <w:p>
      <w:pPr>
        <w:ind w:left="60" w:right="99" w:firstLine="427"/>
        <w:spacing w:after="0" w:line="304" w:lineRule="auto"/>
        <w:rPr>
          <w:sz w:val="20"/>
          <w:szCs w:val="20"/>
          <w:color w:val="auto"/>
        </w:rPr>
      </w:pPr>
      <w:r>
        <w:rPr>
          <w:rFonts w:ascii="Arial" w:cs="Arial" w:eastAsia="Arial" w:hAnsi="Arial"/>
          <w:sz w:val="18"/>
          <w:szCs w:val="18"/>
          <w:color w:val="auto"/>
        </w:rPr>
        <w:t>Operating loss was $4.6 million in fiscal 2020, representing a 101.3% decrease compared with fiscal 2019 operating income of $365.9 million. Operating loss margin was 0.0% in fiscal 2020 as compared with 1.9% operating income margin in fiscal 2019. Adjusted operating income margin was 1.7% in fiscal 2020 as compared to 3.6% in fiscal 2019, a decline of 184 basis points. The decrease in adjusted operating income and adjusted operating income margin is primarily due to the decrease in sales and gross profit margin.</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Sales</w:t>
      </w:r>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Three-Year Analysis of Sales: By Operating Group and Geography</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provides a year-over-year summary of sales for the Company and its operating groups.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7"/>
          </w:tcPr>
          <w:p>
            <w:pPr>
              <w:jc w:val="right"/>
              <w:ind w:right="461"/>
              <w:spacing w:after="0"/>
              <w:rPr>
                <w:sz w:val="20"/>
                <w:szCs w:val="20"/>
                <w:color w:val="auto"/>
              </w:rPr>
            </w:pPr>
            <w:r>
              <w:rPr>
                <w:rFonts w:ascii="Arial" w:cs="Arial" w:eastAsia="Arial" w:hAnsi="Arial"/>
                <w:sz w:val="18"/>
                <w:szCs w:val="18"/>
                <w:b w:val="1"/>
                <w:bCs w:val="1"/>
                <w:color w:val="auto"/>
                <w:w w:val="97"/>
              </w:rPr>
              <w:t>Years Ended</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5"/>
              </w:rPr>
              <w:t>June 27,</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3"/>
          </w:tcPr>
          <w:p>
            <w:pPr>
              <w:jc w:val="right"/>
              <w:ind w:right="287"/>
              <w:spacing w:after="0" w:line="198" w:lineRule="exact"/>
              <w:rPr>
                <w:sz w:val="20"/>
                <w:szCs w:val="20"/>
                <w:color w:val="auto"/>
              </w:rPr>
            </w:pPr>
            <w:r>
              <w:rPr>
                <w:rFonts w:ascii="Arial" w:cs="Arial" w:eastAsia="Arial" w:hAnsi="Arial"/>
                <w:sz w:val="18"/>
                <w:szCs w:val="18"/>
                <w:b w:val="1"/>
                <w:bCs w:val="1"/>
                <w:color w:val="auto"/>
                <w:w w:val="99"/>
              </w:rPr>
              <w:t>% of</w:t>
            </w:r>
          </w:p>
        </w:tc>
        <w:tc>
          <w:tcPr>
            <w:tcW w:w="7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85"/>
              </w:rPr>
              <w:t>June 29,</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4"/>
          </w:tcPr>
          <w:p>
            <w:pPr>
              <w:jc w:val="right"/>
              <w:ind w:right="281"/>
              <w:spacing w:after="0" w:line="198" w:lineRule="exact"/>
              <w:rPr>
                <w:sz w:val="20"/>
                <w:szCs w:val="20"/>
                <w:color w:val="auto"/>
              </w:rPr>
            </w:pPr>
            <w:r>
              <w:rPr>
                <w:rFonts w:ascii="Arial" w:cs="Arial" w:eastAsia="Arial" w:hAnsi="Arial"/>
                <w:sz w:val="18"/>
                <w:szCs w:val="18"/>
                <w:b w:val="1"/>
                <w:bCs w:val="1"/>
                <w:color w:val="auto"/>
                <w:w w:val="99"/>
              </w:rPr>
              <w:t>% of</w:t>
            </w:r>
          </w:p>
        </w:tc>
        <w:tc>
          <w:tcPr>
            <w:tcW w:w="74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7"/>
                <w:szCs w:val="17"/>
                <w:color w:val="auto"/>
              </w:rPr>
            </w:pPr>
          </w:p>
        </w:tc>
        <w:tc>
          <w:tcPr>
            <w:tcW w:w="86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86"/>
              </w:rPr>
              <w:t>2020 to</w:t>
            </w:r>
          </w:p>
        </w:tc>
        <w:tc>
          <w:tcPr>
            <w:tcW w:w="6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86"/>
              </w:rPr>
              <w:t>2019 to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Total</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Total</w:t>
            </w:r>
          </w:p>
        </w:tc>
        <w:tc>
          <w:tcPr>
            <w:tcW w:w="26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Total</w:t>
            </w:r>
          </w:p>
        </w:tc>
        <w:tc>
          <w:tcPr>
            <w:tcW w:w="280" w:type="dxa"/>
            <w:vAlign w:val="bottom"/>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w w:val="83"/>
              </w:rPr>
              <w:t>(Dollars</w:t>
            </w:r>
          </w:p>
        </w:tc>
        <w:tc>
          <w:tcPr>
            <w:tcW w:w="26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w w:val="87"/>
              </w:rPr>
              <w:t>in</w:t>
            </w:r>
          </w:p>
        </w:tc>
        <w:tc>
          <w:tcPr>
            <w:tcW w:w="82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w w:val="91"/>
              </w:rPr>
              <w:t>millions)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Sales by Operating Group:</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EC</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16,340.1</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92.7 % $</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18,060.3</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92.5 % $</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17,543.6</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92.2 %</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Farnell</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tcBorders>
              <w:top w:val="single" w:sz="8" w:color="CCEEFF"/>
              <w:bottom w:val="single" w:sz="8" w:color="CCEEFF"/>
            </w:tcBorders>
          </w:tcPr>
          <w:p>
            <w:pPr>
              <w:ind w:left="80"/>
              <w:spacing w:after="0" w:line="203" w:lineRule="exact"/>
              <w:rPr>
                <w:sz w:val="20"/>
                <w:szCs w:val="20"/>
                <w:color w:val="auto"/>
              </w:rPr>
            </w:pPr>
            <w:r>
              <w:rPr>
                <w:rFonts w:ascii="Arial" w:cs="Arial" w:eastAsia="Arial" w:hAnsi="Arial"/>
                <w:sz w:val="18"/>
                <w:szCs w:val="18"/>
                <w:color w:val="auto"/>
              </w:rPr>
              <w:t>Total Avnet</w:t>
            </w:r>
          </w:p>
        </w:tc>
        <w:tc>
          <w:tcPr>
            <w:tcW w:w="4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17,634.3</w:t>
            </w:r>
          </w:p>
        </w:tc>
        <w:tc>
          <w:tcPr>
            <w:tcW w:w="120" w:type="dxa"/>
            <w:vAlign w:val="bottom"/>
            <w:tcBorders>
              <w:top w:val="single" w:sz="8" w:color="CCEEFF"/>
              <w:bottom w:val="single" w:sz="8" w:color="CCEEFF"/>
            </w:tcBorders>
          </w:tcPr>
          <w:p>
            <w:pPr>
              <w:spacing w:after="0"/>
              <w:rPr>
                <w:sz w:val="21"/>
                <w:szCs w:val="21"/>
                <w:color w:val="auto"/>
              </w:rPr>
            </w:pPr>
          </w:p>
        </w:tc>
        <w:tc>
          <w:tcPr>
            <w:tcW w:w="420" w:type="dxa"/>
            <w:vAlign w:val="bottom"/>
            <w:tcBorders>
              <w:top w:val="single" w:sz="8" w:color="CCEEFF"/>
              <w:bottom w:val="single" w:sz="8" w:color="CCEEFF"/>
            </w:tcBorders>
          </w:tcPr>
          <w:p>
            <w:pPr>
              <w:spacing w:after="0"/>
              <w:rPr>
                <w:sz w:val="21"/>
                <w:szCs w:val="21"/>
                <w:color w:val="auto"/>
              </w:rPr>
            </w:pPr>
          </w:p>
        </w:tc>
        <w:tc>
          <w:tcPr>
            <w:tcW w:w="26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19,518.6</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420" w:type="dxa"/>
            <w:vAlign w:val="bottom"/>
            <w:tcBorders>
              <w:top w:val="single" w:sz="8" w:color="CCEEFF"/>
              <w:bottom w:val="single" w:sz="8" w:color="CCEEFF"/>
            </w:tcBorders>
          </w:tcPr>
          <w:p>
            <w:pPr>
              <w:spacing w:after="0"/>
              <w:rPr>
                <w:sz w:val="21"/>
                <w:szCs w:val="21"/>
                <w:color w:val="auto"/>
              </w:rPr>
            </w:pPr>
          </w:p>
        </w:tc>
        <w:tc>
          <w:tcPr>
            <w:tcW w:w="260" w:type="dxa"/>
            <w:vAlign w:val="bottom"/>
            <w:tcBorders>
              <w:top w:val="single" w:sz="8" w:color="CCEEFF"/>
              <w:bottom w:val="single" w:sz="8" w:color="CCEEFF"/>
            </w:tcBorders>
            <w:gridSpan w:val="2"/>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19,036.9</w:t>
            </w:r>
          </w:p>
        </w:tc>
        <w:tc>
          <w:tcPr>
            <w:tcW w:w="120" w:type="dxa"/>
            <w:vAlign w:val="bottom"/>
            <w:tcBorders>
              <w:top w:val="single" w:sz="8" w:color="CCEEFF"/>
              <w:bottom w:val="single" w:sz="8" w:color="CCEEFF"/>
            </w:tcBorders>
          </w:tcPr>
          <w:p>
            <w:pPr>
              <w:spacing w:after="0"/>
              <w:rPr>
                <w:sz w:val="21"/>
                <w:szCs w:val="21"/>
                <w:color w:val="auto"/>
              </w:rPr>
            </w:pPr>
          </w:p>
        </w:tc>
        <w:tc>
          <w:tcPr>
            <w:tcW w:w="42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CCEEFF"/>
              <w:bottom w:val="single" w:sz="8" w:color="CCEEFF"/>
            </w:tcBorders>
          </w:tcPr>
          <w:p>
            <w:pPr>
              <w:spacing w:after="0"/>
              <w:rPr>
                <w:sz w:val="21"/>
                <w:szCs w:val="21"/>
                <w:color w:val="auto"/>
              </w:rPr>
            </w:pPr>
          </w:p>
        </w:tc>
        <w:tc>
          <w:tcPr>
            <w:tcW w:w="6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CCEEFF"/>
              <w:bottom w:val="single" w:sz="8" w:color="CCEEFF"/>
            </w:tcBorders>
          </w:tcPr>
          <w:p>
            <w:pPr>
              <w:spacing w:after="0"/>
              <w:rPr>
                <w:sz w:val="21"/>
                <w:szCs w:val="21"/>
                <w:color w:val="auto"/>
              </w:rPr>
            </w:pPr>
          </w:p>
        </w:tc>
        <w:tc>
          <w:tcPr>
            <w:tcW w:w="64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b w:val="1"/>
                <w:bCs w:val="1"/>
                <w:color w:val="auto"/>
                <w:w w:val="87"/>
              </w:rPr>
              <w:t>Sales by Geographic Region: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Americas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4,755.3</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27.0 %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5,135.8</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26.3 %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5,011.4</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26.3 %</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EMEA</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5,753.4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6,762.9</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6,790.9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Asia/Pacific</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7,619.9</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Borders>
              <w:top w:val="single" w:sz="8" w:color="CCEEFF"/>
            </w:tcBorders>
          </w:tcPr>
          <w:p>
            <w:pPr>
              <w:ind w:left="80"/>
              <w:spacing w:after="0" w:line="203" w:lineRule="exact"/>
              <w:rPr>
                <w:sz w:val="20"/>
                <w:szCs w:val="20"/>
                <w:color w:val="auto"/>
              </w:rPr>
            </w:pPr>
            <w:r>
              <w:rPr>
                <w:rFonts w:ascii="Arial" w:cs="Arial" w:eastAsia="Arial" w:hAnsi="Arial"/>
                <w:sz w:val="18"/>
                <w:szCs w:val="18"/>
                <w:color w:val="auto"/>
              </w:rPr>
              <w:t>Total Avnet</w:t>
            </w: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17,634.3</w:t>
            </w: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19,518.6</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gridSpan w:val="2"/>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19,036.9</w:t>
            </w: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provides a comparison of reported and organic sales for fiscal 2020 to fiscal 2019.</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Reported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0"/>
              </w:rPr>
              <w:t>Sales</w:t>
            </w:r>
          </w:p>
        </w:tc>
        <w:tc>
          <w:tcPr>
            <w:tcW w:w="180" w:type="dxa"/>
            <w:vAlign w:val="bottom"/>
          </w:tcPr>
          <w:p>
            <w:pPr>
              <w:spacing w:after="0"/>
              <w:rPr>
                <w:sz w:val="18"/>
                <w:szCs w:val="18"/>
                <w:color w:val="auto"/>
              </w:rPr>
            </w:pPr>
          </w:p>
        </w:tc>
        <w:tc>
          <w:tcPr>
            <w:tcW w:w="150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4"/>
              </w:rPr>
              <w:t>Sales</w:t>
            </w: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As Reported</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Organic</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as Reported</w:t>
            </w:r>
          </w:p>
        </w:tc>
        <w:tc>
          <w:tcPr>
            <w:tcW w:w="180" w:type="dxa"/>
            <w:vAlign w:val="bottom"/>
          </w:tcPr>
          <w:p>
            <w:pPr>
              <w:spacing w:after="0"/>
              <w:rPr>
                <w:sz w:val="18"/>
                <w:szCs w:val="18"/>
                <w:color w:val="auto"/>
              </w:rPr>
            </w:pPr>
          </w:p>
        </w:tc>
        <w:tc>
          <w:tcPr>
            <w:tcW w:w="150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8"/>
              </w:rPr>
              <w:t>as Reported</w:t>
            </w: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and</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Year-Year %</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and Organic</w:t>
            </w:r>
          </w:p>
        </w:tc>
        <w:tc>
          <w:tcPr>
            <w:tcW w:w="180" w:type="dxa"/>
            <w:vAlign w:val="bottom"/>
          </w:tcPr>
          <w:p>
            <w:pPr>
              <w:spacing w:after="0"/>
              <w:rPr>
                <w:sz w:val="18"/>
                <w:szCs w:val="18"/>
                <w:color w:val="auto"/>
              </w:rPr>
            </w:pPr>
          </w:p>
        </w:tc>
        <w:tc>
          <w:tcPr>
            <w:tcW w:w="150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91"/>
              </w:rPr>
              <w:t>and Organic</w:t>
            </w: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Organic</w:t>
            </w: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Change in</w:t>
            </w: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Fiscal</w:t>
            </w:r>
          </w:p>
        </w:tc>
        <w:tc>
          <w:tcPr>
            <w:tcW w:w="180" w:type="dxa"/>
            <w:vAlign w:val="bottom"/>
          </w:tcPr>
          <w:p>
            <w:pPr>
              <w:spacing w:after="0"/>
              <w:rPr>
                <w:sz w:val="18"/>
                <w:szCs w:val="18"/>
                <w:color w:val="auto"/>
              </w:rPr>
            </w:pPr>
          </w:p>
        </w:tc>
        <w:tc>
          <w:tcPr>
            <w:tcW w:w="150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6"/>
              </w:rPr>
              <w:t>Fiscal</w:t>
            </w: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Year-Year</w:t>
            </w: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Constant</w:t>
            </w:r>
          </w:p>
        </w:tc>
        <w:tc>
          <w:tcPr>
            <w:tcW w:w="0" w:type="dxa"/>
            <w:vAlign w:val="bottom"/>
          </w:tcPr>
          <w:p>
            <w:pPr>
              <w:spacing w:after="0"/>
              <w:rPr>
                <w:sz w:val="1"/>
                <w:szCs w:val="1"/>
                <w:color w:val="auto"/>
              </w:rPr>
            </w:pPr>
          </w:p>
        </w:tc>
      </w:tr>
      <w:tr>
        <w:trPr>
          <w:trHeight w:val="249"/>
        </w:trPr>
        <w:tc>
          <w:tcPr>
            <w:tcW w:w="2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center"/>
              <w:ind w:right="90"/>
              <w:spacing w:after="0" w:line="242" w:lineRule="exact"/>
              <w:rPr>
                <w:sz w:val="20"/>
                <w:szCs w:val="20"/>
                <w:color w:val="auto"/>
              </w:rPr>
            </w:pPr>
            <w:r>
              <w:rPr>
                <w:rFonts w:ascii="Arial" w:cs="Arial" w:eastAsia="Arial" w:hAnsi="Arial"/>
                <w:sz w:val="18"/>
                <w:szCs w:val="18"/>
                <w:b w:val="1"/>
                <w:bCs w:val="1"/>
                <w:color w:val="auto"/>
                <w:w w:val="84"/>
              </w:rPr>
              <w:t>2020</w:t>
            </w:r>
            <w:r>
              <w:rPr>
                <w:rFonts w:ascii="Arial" w:cs="Arial" w:eastAsia="Arial" w:hAnsi="Arial"/>
                <w:sz w:val="26"/>
                <w:szCs w:val="26"/>
                <w:b w:val="1"/>
                <w:bCs w:val="1"/>
                <w:color w:val="auto"/>
                <w:w w:val="84"/>
                <w:vertAlign w:val="superscript"/>
              </w:rPr>
              <w:t>(1)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center"/>
              <w:ind w:right="90"/>
              <w:spacing w:after="0" w:line="242" w:lineRule="exact"/>
              <w:rPr>
                <w:sz w:val="20"/>
                <w:szCs w:val="20"/>
                <w:color w:val="auto"/>
              </w:rPr>
            </w:pPr>
            <w:r>
              <w:rPr>
                <w:rFonts w:ascii="Arial" w:cs="Arial" w:eastAsia="Arial" w:hAnsi="Arial"/>
                <w:sz w:val="18"/>
                <w:szCs w:val="18"/>
                <w:b w:val="1"/>
                <w:bCs w:val="1"/>
                <w:color w:val="auto"/>
                <w:w w:val="84"/>
              </w:rPr>
              <w:t>2019</w:t>
            </w:r>
            <w:r>
              <w:rPr>
                <w:rFonts w:ascii="Arial" w:cs="Arial" w:eastAsia="Arial" w:hAnsi="Arial"/>
                <w:sz w:val="26"/>
                <w:szCs w:val="26"/>
                <w:b w:val="1"/>
                <w:bCs w:val="1"/>
                <w:color w:val="auto"/>
                <w:w w:val="84"/>
                <w:vertAlign w:val="superscript"/>
              </w:rPr>
              <w:t>(1)</w:t>
            </w:r>
          </w:p>
        </w:tc>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in</w:t>
            </w: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 Change</w:t>
            </w: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Currency</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(Dollars</w:t>
            </w:r>
          </w:p>
        </w:tc>
        <w:tc>
          <w:tcPr>
            <w:tcW w:w="280" w:type="dxa"/>
            <w:vAlign w:val="bottom"/>
            <w:vMerge w:val="continue"/>
          </w:tcPr>
          <w:p>
            <w:pPr>
              <w:spacing w:after="0"/>
              <w:rPr>
                <w:sz w:val="17"/>
                <w:szCs w:val="17"/>
                <w:color w:val="auto"/>
              </w:rPr>
            </w:pPr>
          </w:p>
        </w:tc>
        <w:tc>
          <w:tcPr>
            <w:tcW w:w="1320" w:type="dxa"/>
            <w:vAlign w:val="bottom"/>
            <w:tcBorders>
              <w:top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w w:val="70"/>
              </w:rPr>
              <w:t>millions)</w:t>
            </w:r>
          </w:p>
        </w:tc>
        <w:tc>
          <w:tcPr>
            <w:tcW w:w="28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19,518.6</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Avnet by region</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5,135.8</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300" w:type="dxa"/>
            <w:vAlign w:val="bottom"/>
          </w:tcPr>
          <w:p>
            <w:pPr>
              <w:ind w:left="120"/>
              <w:spacing w:after="0"/>
              <w:rPr>
                <w:sz w:val="20"/>
                <w:szCs w:val="20"/>
                <w:color w:val="auto"/>
              </w:rPr>
            </w:pPr>
            <w:r>
              <w:rPr>
                <w:rFonts w:ascii="Arial" w:cs="Arial" w:eastAsia="Arial" w:hAnsi="Arial"/>
                <w:sz w:val="18"/>
                <w:szCs w:val="18"/>
                <w:color w:val="auto"/>
              </w:rPr>
              <w:t>EMEA</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5,753.4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6,762.9</w:t>
            </w:r>
          </w:p>
        </w:tc>
        <w:tc>
          <w:tcPr>
            <w:tcW w:w="28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7,619.9</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Arial" w:cs="Arial" w:eastAsia="Arial" w:hAnsi="Arial"/>
                <w:sz w:val="18"/>
                <w:szCs w:val="18"/>
                <w:color w:val="auto"/>
              </w:rPr>
              <w:t>Avnet by segment</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16,340.1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18,060.3</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300" w:type="dxa"/>
            <w:vAlign w:val="bottom"/>
          </w:tcPr>
          <w:p>
            <w:pPr>
              <w:ind w:left="120"/>
              <w:spacing w:after="0"/>
              <w:rPr>
                <w:sz w:val="20"/>
                <w:szCs w:val="20"/>
                <w:color w:val="auto"/>
              </w:rPr>
            </w:pPr>
            <w:r>
              <w:rPr>
                <w:rFonts w:ascii="Arial" w:cs="Arial" w:eastAsia="Arial" w:hAnsi="Arial"/>
                <w:sz w:val="18"/>
                <w:szCs w:val="18"/>
                <w:color w:val="auto"/>
              </w:rPr>
              <w:t>Farnell</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1,294.2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1,458.3</w:t>
            </w:r>
          </w:p>
        </w:tc>
        <w:tc>
          <w:tcPr>
            <w:tcW w:w="28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128270</wp:posOffset>
            </wp:positionV>
            <wp:extent cx="1414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64"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24"/>
          <w:szCs w:val="24"/>
          <w:color w:val="auto"/>
          <w:vertAlign w:val="superscript"/>
        </w:rPr>
      </w:pPr>
      <w:r>
        <w:rPr>
          <w:rFonts w:ascii="Arial" w:cs="Arial" w:eastAsia="Arial" w:hAnsi="Arial"/>
          <w:sz w:val="16"/>
          <w:szCs w:val="16"/>
          <w:color w:val="auto"/>
        </w:rPr>
        <w:t>Sales from acquisitions in fiscal 2020 and fiscal 2019 were not material.</w:t>
      </w:r>
    </w:p>
    <w:p>
      <w:pPr>
        <w:spacing w:after="0" w:line="221" w:lineRule="exact"/>
        <w:rPr>
          <w:sz w:val="20"/>
          <w:szCs w:val="20"/>
          <w:color w:val="auto"/>
        </w:rPr>
      </w:pPr>
    </w:p>
    <w:p>
      <w:pPr>
        <w:ind w:left="60" w:right="539" w:firstLine="427"/>
        <w:spacing w:after="0" w:line="395" w:lineRule="auto"/>
        <w:rPr>
          <w:sz w:val="20"/>
          <w:szCs w:val="20"/>
          <w:color w:val="auto"/>
        </w:rPr>
      </w:pPr>
      <w:r>
        <w:rPr>
          <w:rFonts w:ascii="Arial" w:cs="Arial" w:eastAsia="Arial" w:hAnsi="Arial"/>
          <w:sz w:val="16"/>
          <w:szCs w:val="16"/>
          <w:color w:val="auto"/>
        </w:rPr>
        <w:t>Avnet’s sales for fiscal 2020 were $17.63 billion, a decrease of $1.88 billion, or 9.7%, from fiscal 2019 sales of $19.52 billion with all three regions of both operating groups contributing to the decline. Sales in constant currency</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239"/>
        <w:spacing w:after="0" w:line="324" w:lineRule="auto"/>
        <w:rPr>
          <w:sz w:val="20"/>
          <w:szCs w:val="20"/>
          <w:color w:val="auto"/>
        </w:rPr>
      </w:pPr>
      <w:r>
        <w:rPr>
          <w:rFonts w:ascii="Arial" w:cs="Arial" w:eastAsia="Arial" w:hAnsi="Arial"/>
          <w:sz w:val="18"/>
          <w:szCs w:val="18"/>
          <w:color w:val="auto"/>
        </w:rPr>
        <w:t>decreased 8.7% year over year. These decreases are primarily due to lower demand resulting from the continuation of the global industry-wide slowdown and the impacts from the COVID-19 pandemic.</w:t>
      </w:r>
    </w:p>
    <w:p>
      <w:pPr>
        <w:spacing w:after="0" w:line="143" w:lineRule="exact"/>
        <w:rPr>
          <w:sz w:val="20"/>
          <w:szCs w:val="20"/>
          <w:color w:val="auto"/>
        </w:rPr>
      </w:pPr>
    </w:p>
    <w:p>
      <w:pPr>
        <w:jc w:val="both"/>
        <w:ind w:left="60" w:right="79" w:firstLine="427"/>
        <w:spacing w:after="0" w:line="310" w:lineRule="auto"/>
        <w:rPr>
          <w:sz w:val="20"/>
          <w:szCs w:val="20"/>
          <w:color w:val="auto"/>
        </w:rPr>
      </w:pPr>
      <w:r>
        <w:rPr>
          <w:rFonts w:ascii="Arial" w:cs="Arial" w:eastAsia="Arial" w:hAnsi="Arial"/>
          <w:sz w:val="18"/>
          <w:szCs w:val="18"/>
          <w:color w:val="auto"/>
        </w:rPr>
        <w:t>EC sales in fiscal 2020 were $16.34 billion, representing a 9.5% decrease over fiscal 2019 sales. EC sales in constant currency declined 8.7% year over year. Farnell sales in fiscal 2020 were $1.29 billion, a decrease of 11.3% over fiscal 2019 sales. Farnell sales in constant currency declined 9.5% year over year.</w:t>
      </w:r>
    </w:p>
    <w:p>
      <w:pPr>
        <w:spacing w:after="0" w:line="143" w:lineRule="exact"/>
        <w:rPr>
          <w:sz w:val="20"/>
          <w:szCs w:val="20"/>
          <w:color w:val="auto"/>
        </w:rPr>
      </w:pPr>
    </w:p>
    <w:p>
      <w:pPr>
        <w:jc w:val="both"/>
        <w:ind w:left="60" w:right="299" w:firstLine="427"/>
        <w:spacing w:after="0" w:line="310" w:lineRule="auto"/>
        <w:rPr>
          <w:sz w:val="20"/>
          <w:szCs w:val="20"/>
          <w:color w:val="auto"/>
        </w:rPr>
      </w:pPr>
      <w:r>
        <w:rPr>
          <w:rFonts w:ascii="Arial" w:cs="Arial" w:eastAsia="Arial" w:hAnsi="Arial"/>
          <w:sz w:val="18"/>
          <w:szCs w:val="18"/>
          <w:color w:val="auto"/>
        </w:rPr>
        <w:t>On a regional basis, sales in fiscal 2020 declined 7.4% in the Americas, 12.4% in EMEA in constant currency and 6.5% in Asia in constant currency as a result of the global industry-wide slowdown and the impacts from the COVID-19 pandemic in the second half of fiscal 2020.</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Gross Profit Margin</w:t>
      </w:r>
    </w:p>
    <w:p>
      <w:pPr>
        <w:spacing w:after="0" w:line="239" w:lineRule="exact"/>
        <w:rPr>
          <w:sz w:val="20"/>
          <w:szCs w:val="20"/>
          <w:color w:val="auto"/>
        </w:rPr>
      </w:pPr>
    </w:p>
    <w:p>
      <w:pPr>
        <w:ind w:left="60" w:right="79" w:firstLine="427"/>
        <w:spacing w:after="0" w:line="301" w:lineRule="auto"/>
        <w:rPr>
          <w:sz w:val="20"/>
          <w:szCs w:val="20"/>
          <w:color w:val="auto"/>
        </w:rPr>
      </w:pPr>
      <w:r>
        <w:rPr>
          <w:rFonts w:ascii="Arial" w:cs="Arial" w:eastAsia="Arial" w:hAnsi="Arial"/>
          <w:sz w:val="18"/>
          <w:szCs w:val="18"/>
          <w:color w:val="auto"/>
        </w:rPr>
        <w:t>Gross profit in fiscal 2020 was $2.06 billion, a decrease of $422.6 million, or 17.0%, compared to fiscal 2019, driven primarily by the decline in sales. Gross profit margin of 11.7% in fiscal 2020 decreased 104 basis points from the prior year driven by declines in gross profit margins in both operating groups. The declines in gross profit margins in both operating groups are primarily due to a combination of unfavorable changes in product and customer mix, geographical market mix and overall declines in gross profit margin due to current market conditions including the impacts of the COVID-19 pandemic. Sales in the higher margin western regions represented approximately 60% of sales in fiscal 2020 as compared to 61% during fiscal 2019.</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60" w:right="219" w:firstLine="427"/>
        <w:spacing w:after="0" w:line="304" w:lineRule="auto"/>
        <w:rPr>
          <w:sz w:val="20"/>
          <w:szCs w:val="20"/>
          <w:color w:val="auto"/>
        </w:rPr>
      </w:pPr>
      <w:r>
        <w:rPr>
          <w:rFonts w:ascii="Arial" w:cs="Arial" w:eastAsia="Arial" w:hAnsi="Arial"/>
          <w:sz w:val="18"/>
          <w:szCs w:val="18"/>
          <w:color w:val="auto"/>
        </w:rPr>
        <w:t>Selling, general and administrative expenses (“SG&amp;A expenses”) in fiscal 2020 were $1.84 billion, a decrease of $32.5 million, or 1.7%, compared to fiscal 2019. The year-over-year decrease in SG&amp;A expenses was primarily due to decreases in sales, cost savings from restructuring and other cost saving initiatives and the favorable impact of changes in foreign currency translation offset by additional costs incurred to implement business continuity plans in response to the COVID-19 pandemic.</w:t>
      </w:r>
    </w:p>
    <w:p>
      <w:pPr>
        <w:spacing w:after="0" w:line="161" w:lineRule="exact"/>
        <w:rPr>
          <w:sz w:val="20"/>
          <w:szCs w:val="20"/>
          <w:color w:val="auto"/>
        </w:rPr>
      </w:pPr>
    </w:p>
    <w:p>
      <w:pPr>
        <w:ind w:left="60" w:right="279" w:firstLine="427"/>
        <w:spacing w:after="0" w:line="349" w:lineRule="auto"/>
        <w:rPr>
          <w:sz w:val="20"/>
          <w:szCs w:val="20"/>
          <w:color w:val="auto"/>
        </w:rPr>
      </w:pPr>
      <w:r>
        <w:rPr>
          <w:rFonts w:ascii="Arial" w:cs="Arial" w:eastAsia="Arial" w:hAnsi="Arial"/>
          <w:sz w:val="16"/>
          <w:szCs w:val="16"/>
          <w:color w:val="auto"/>
        </w:rPr>
        <w:t>Metrics that management monitors with respect to its operating expenses are SG&amp;A expenses as a percentage of sales and as a percentage of gross profit. In fiscal 2020, SG&amp;A expenses as a percentage of sales were 10.4% and as a percentage of gross profit were 89.3%, as compared with 9.6% and 75.4%, respectively, in fiscal 2019. The increase in SG&amp;A expenses as a percentage of both sales and gross profit is primarily the result of the decrease in sales and gross profit margin. Amortization expense, which is included within SG&amp;A expenses, was relatively consistent year over year.</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 and Intangible Asset Impairment Expenses</w:t>
      </w:r>
    </w:p>
    <w:p>
      <w:pPr>
        <w:spacing w:after="0" w:line="225" w:lineRule="exact"/>
        <w:rPr>
          <w:sz w:val="20"/>
          <w:szCs w:val="20"/>
          <w:color w:val="auto"/>
        </w:rPr>
      </w:pPr>
    </w:p>
    <w:p>
      <w:pPr>
        <w:ind w:left="60" w:right="179" w:firstLine="427"/>
        <w:spacing w:after="0" w:line="306" w:lineRule="auto"/>
        <w:rPr>
          <w:sz w:val="20"/>
          <w:szCs w:val="20"/>
          <w:color w:val="auto"/>
        </w:rPr>
      </w:pPr>
      <w:r>
        <w:rPr>
          <w:rFonts w:ascii="Arial" w:cs="Arial" w:eastAsia="Arial" w:hAnsi="Arial"/>
          <w:sz w:val="18"/>
          <w:szCs w:val="18"/>
          <w:color w:val="auto"/>
        </w:rPr>
        <w:t>The Company incurred $144.1 million of goodwill and intangible asset impairment expenses primarily during the third quarter of fiscal 2020. See Note 6, “Goodwill, intangible assets and impairment” to the Company’s consolidated financial statements included in Item 8 of this Annual Report on Form 10-K for additional information related to goodwill impairment and intangible asset impairment expenses.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Restructuring, Integration and Other Expenses</w:t>
      </w:r>
    </w:p>
    <w:p>
      <w:pPr>
        <w:spacing w:after="0" w:line="225" w:lineRule="exact"/>
        <w:rPr>
          <w:sz w:val="20"/>
          <w:szCs w:val="20"/>
          <w:color w:val="auto"/>
        </w:rPr>
      </w:pPr>
    </w:p>
    <w:p>
      <w:pPr>
        <w:ind w:left="60" w:right="99" w:firstLine="427"/>
        <w:spacing w:after="0" w:line="354" w:lineRule="auto"/>
        <w:rPr>
          <w:sz w:val="20"/>
          <w:szCs w:val="20"/>
          <w:color w:val="auto"/>
        </w:rPr>
      </w:pPr>
      <w:r>
        <w:rPr>
          <w:rFonts w:ascii="Arial" w:cs="Arial" w:eastAsia="Arial" w:hAnsi="Arial"/>
          <w:sz w:val="16"/>
          <w:szCs w:val="16"/>
          <w:color w:val="auto"/>
        </w:rPr>
        <w:t>As a result of management’s focus on improving operating efficiencies and further integrating the acquisition of Farnell, the Company has incurred certain restructuring costs. These costs also relate to the continued transformation of the Company’s information technology, distribution center footprint and business operations. In addition, the Company incurred integration, accelerated depreciation and other costs. Integration costs are primarily related to the integration of</w:t>
      </w:r>
    </w:p>
    <w:p>
      <w:pPr>
        <w:sectPr>
          <w:pgSz w:w="11900" w:h="16838" w:orient="portrait"/>
          <w:cols w:equalWidth="0" w:num="1">
            <w:col w:w="9019"/>
          </w:cols>
          <w:pgMar w:left="1440" w:top="517" w:right="1440"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right="259"/>
        <w:spacing w:after="0" w:line="346" w:lineRule="auto"/>
        <w:rPr>
          <w:sz w:val="20"/>
          <w:szCs w:val="20"/>
          <w:color w:val="auto"/>
        </w:rPr>
      </w:pPr>
      <w:r>
        <w:rPr>
          <w:rFonts w:ascii="Arial" w:cs="Arial" w:eastAsia="Arial" w:hAnsi="Arial"/>
          <w:sz w:val="16"/>
          <w:szCs w:val="16"/>
          <w:color w:val="auto"/>
        </w:rPr>
        <w:t>acquired businesses including Farnell, the integration of certain regional and global businesses, and incremental costs incurred as part of the consolidation, relocation, sale and closure of distribution centers and office facilities. Accelerated depreciation relates to the incremental depreciation expense incurred related to the shortening of the estimated useful life for certain information technology assets. Other costs consist primarily of any other miscellaneous costs that relate to restructuring, integration and other expenses, including acquisition related costs, specific and incremental costs incurred associated with the impacts of the COVID-19 pandemic and estimated costs to settle outstanding legal proceedings.</w:t>
      </w:r>
    </w:p>
    <w:p>
      <w:pPr>
        <w:spacing w:after="0" w:line="123" w:lineRule="exact"/>
        <w:rPr>
          <w:sz w:val="20"/>
          <w:szCs w:val="20"/>
          <w:color w:val="auto"/>
        </w:rPr>
      </w:pPr>
    </w:p>
    <w:p>
      <w:pPr>
        <w:ind w:left="60" w:right="99" w:firstLine="427"/>
        <w:spacing w:after="0" w:line="322" w:lineRule="auto"/>
        <w:rPr>
          <w:sz w:val="20"/>
          <w:szCs w:val="20"/>
          <w:color w:val="auto"/>
        </w:rPr>
      </w:pPr>
      <w:r>
        <w:rPr>
          <w:rFonts w:ascii="Arial" w:cs="Arial" w:eastAsia="Arial" w:hAnsi="Arial"/>
          <w:sz w:val="17"/>
          <w:szCs w:val="17"/>
          <w:color w:val="auto"/>
        </w:rPr>
        <w:t>The Company recorded $45.5 million for restructuring costs in fiscal 2020, and expects to realize approximately $52.0 million in incremental annualized operating costs savings as a result of such restructuring actions. Restructuring expenses consisted of $34.7 million for severance, $3.7 million for facility exit costs, and $7.1 million for non-cash asset impairments expense primarily related to information technology software. The Company also incurred integration costs of $13.9 million, accelerated depreciation of $10.9 million, other costs of $13.4 million and a reversal of $1.8 million for changes in estimates for costs associated with prior year restructuring actions. The after-tax impact of restructuring, integration and other expenses were $63.2 million and $0.63 per share on a diluted basis.</w:t>
      </w:r>
    </w:p>
    <w:p>
      <w:pPr>
        <w:spacing w:after="0" w:line="149" w:lineRule="exact"/>
        <w:rPr>
          <w:sz w:val="20"/>
          <w:szCs w:val="20"/>
          <w:color w:val="auto"/>
        </w:rPr>
      </w:pPr>
    </w:p>
    <w:p>
      <w:pPr>
        <w:ind w:left="60" w:right="139" w:firstLine="427"/>
        <w:spacing w:after="0" w:line="324" w:lineRule="auto"/>
        <w:rPr>
          <w:sz w:val="20"/>
          <w:szCs w:val="20"/>
          <w:color w:val="auto"/>
        </w:rPr>
      </w:pPr>
      <w:r>
        <w:rPr>
          <w:rFonts w:ascii="Arial" w:cs="Arial" w:eastAsia="Arial" w:hAnsi="Arial"/>
          <w:sz w:val="18"/>
          <w:szCs w:val="18"/>
          <w:color w:val="auto"/>
        </w:rPr>
        <w:t>See Note 17, “Restructuring expenses” to the Company’s consolidated financial statements included in Item 8 of this Annual Report on Form 10-K for additional information related to restructuring expenses.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ind w:left="60" w:right="99" w:firstLine="427"/>
        <w:spacing w:after="0" w:line="300" w:lineRule="auto"/>
        <w:rPr>
          <w:sz w:val="20"/>
          <w:szCs w:val="20"/>
          <w:color w:val="auto"/>
        </w:rPr>
      </w:pPr>
      <w:r>
        <w:rPr>
          <w:rFonts w:ascii="Arial" w:cs="Arial" w:eastAsia="Arial" w:hAnsi="Arial"/>
          <w:sz w:val="18"/>
          <w:szCs w:val="18"/>
          <w:color w:val="auto"/>
        </w:rPr>
        <w:t>Operating loss for fiscal 2020 was $4.6 million, representing a 101.3% decrease as compared with fiscal 2019 operating income of $365.9 million. The year-over-year decrease in operating income was primarily driven by declines in sales, gross profit margin, and increased impairment expenses offset by reductions in restructuring, integration and other expenses as compared to fiscal 2019. Operating loss margin was 0.0% in fiscal 2020 compared to operating income margin of 1.9% in fiscal 2019. Both years included impairment expenses, amortization of acquired intangibles, and restructuring, integration and other expenses. Excluding these amounts, adjusted operating income was $302.9 million, or 1.7% of sales, in fiscal 2020 as compared with $695.7 million, or 3.6% of sales, in fiscal 2019. The year-over-year decrease in adjusted operating income was primarily driven by the decline in sales and gross profit margin, partially offset by lower SG&amp;A expenses.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and Other Financing Expenses, Net</w:t>
      </w:r>
    </w:p>
    <w:p>
      <w:pPr>
        <w:spacing w:after="0" w:line="239" w:lineRule="exact"/>
        <w:rPr>
          <w:sz w:val="20"/>
          <w:szCs w:val="20"/>
          <w:color w:val="auto"/>
        </w:rPr>
      </w:pPr>
    </w:p>
    <w:p>
      <w:pPr>
        <w:ind w:left="60" w:right="219" w:firstLine="427"/>
        <w:spacing w:after="0" w:line="306" w:lineRule="auto"/>
        <w:rPr>
          <w:sz w:val="20"/>
          <w:szCs w:val="20"/>
          <w:color w:val="auto"/>
        </w:rPr>
      </w:pPr>
      <w:r>
        <w:rPr>
          <w:rFonts w:ascii="Arial" w:cs="Arial" w:eastAsia="Arial" w:hAnsi="Arial"/>
          <w:sz w:val="18"/>
          <w:szCs w:val="18"/>
          <w:color w:val="auto"/>
        </w:rPr>
        <w:t>Interest and other financing expenses for fiscal 2020 was $122.7 million, a decrease of $12.1 million, or 9.0%, compared with interest and other financing expenses of $134.9 million in fiscal 2019. The decrease in interest and other financing expenses in fiscal 2020 compared to fiscal 2019 was primarily related to lower outstanding borrowings in fiscal 2020 as compared to fiscal 2019.</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jc w:val="both"/>
        <w:ind w:left="60" w:right="339" w:firstLine="427"/>
        <w:spacing w:after="0" w:line="310" w:lineRule="auto"/>
        <w:rPr>
          <w:sz w:val="20"/>
          <w:szCs w:val="20"/>
          <w:color w:val="auto"/>
        </w:rPr>
      </w:pPr>
      <w:r>
        <w:rPr>
          <w:rFonts w:ascii="Arial" w:cs="Arial" w:eastAsia="Arial" w:hAnsi="Arial"/>
          <w:sz w:val="18"/>
          <w:szCs w:val="18"/>
          <w:color w:val="auto"/>
        </w:rPr>
        <w:t>In fiscal 2020, the Company had $0.7 million of other expense as compared with $11.2 million of other income in fiscal 2019. Other expense included $15.3 million of equity investment impairment expense in fiscal 2020, representing most of the difference between years.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8" w:lineRule="exact"/>
        <w:rPr>
          <w:sz w:val="20"/>
          <w:szCs w:val="20"/>
          <w:color w:val="auto"/>
        </w:rPr>
      </w:pPr>
    </w:p>
    <w:p>
      <w:pPr>
        <w:ind w:left="60" w:right="299" w:firstLine="427"/>
        <w:spacing w:after="0" w:line="304" w:lineRule="auto"/>
        <w:rPr>
          <w:sz w:val="20"/>
          <w:szCs w:val="20"/>
          <w:color w:val="auto"/>
        </w:rPr>
      </w:pPr>
      <w:r>
        <w:rPr>
          <w:rFonts w:ascii="Arial" w:cs="Arial" w:eastAsia="Arial" w:hAnsi="Arial"/>
          <w:sz w:val="18"/>
          <w:szCs w:val="18"/>
          <w:color w:val="auto"/>
        </w:rPr>
        <w:t>Avnet’s effective tax rate on loss before income taxes from continuing operations was a benefit of 76.9% in fiscal 2020 as compared with an effective tax rate of 25.7% on fiscal 2019 income before income taxes. Included in the fiscal 2020 effective tax rate is a tax benefit arising from the reduction in value of certain businesses for tax purposes, partially offset by the establishment of valuation allowances against deferred tax assets that the Company no longer expects to realize the future benefit from.</w:t>
      </w:r>
    </w:p>
    <w:p>
      <w:pPr>
        <w:spacing w:after="0" w:line="147" w:lineRule="exact"/>
        <w:rPr>
          <w:sz w:val="20"/>
          <w:szCs w:val="20"/>
          <w:color w:val="auto"/>
        </w:rPr>
      </w:pPr>
    </w:p>
    <w:p>
      <w:pPr>
        <w:ind w:left="60" w:right="359" w:firstLine="427"/>
        <w:spacing w:after="0" w:line="324" w:lineRule="auto"/>
        <w:rPr>
          <w:sz w:val="20"/>
          <w:szCs w:val="20"/>
          <w:color w:val="auto"/>
        </w:rPr>
      </w:pPr>
      <w:r>
        <w:rPr>
          <w:rFonts w:ascii="Arial" w:cs="Arial" w:eastAsia="Arial" w:hAnsi="Arial"/>
          <w:sz w:val="18"/>
          <w:szCs w:val="18"/>
          <w:color w:val="auto"/>
        </w:rPr>
        <w:t>See Note 9, “Income taxes” to the Company’s consolidated financial statements included in Item 8 of this Annual Report on Form 10-K for further discussion on the effective tax rate.</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Loss from Discontinued Operations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Loss from discontinued operations was $1.5 million in fiscal 2020 compared to $3.8 million in fiscal 2019.</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left="60" w:right="279" w:firstLine="427"/>
        <w:spacing w:after="0" w:line="310" w:lineRule="auto"/>
        <w:rPr>
          <w:sz w:val="20"/>
          <w:szCs w:val="20"/>
          <w:color w:val="auto"/>
        </w:rPr>
      </w:pPr>
      <w:r>
        <w:rPr>
          <w:rFonts w:ascii="Arial" w:cs="Arial" w:eastAsia="Arial" w:hAnsi="Arial"/>
          <w:sz w:val="18"/>
          <w:szCs w:val="18"/>
          <w:color w:val="auto"/>
        </w:rPr>
        <w:t>As a result of the factors described in the preceding sections of this MD&amp;A, the Company’s net loss in fiscal 2020 was $31.1 million, or $0.31 of loss per share on a diluted basis, compared with net income of $176.3 million, or $1.59 of earnings per share on a diluted basis, in fiscal 2019.</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Fiscal 2019 Comparison to Fiscal 2018</w:t>
      </w:r>
    </w:p>
    <w:p>
      <w:pPr>
        <w:spacing w:after="0" w:line="225" w:lineRule="exact"/>
        <w:rPr>
          <w:sz w:val="20"/>
          <w:szCs w:val="20"/>
          <w:color w:val="auto"/>
        </w:rPr>
      </w:pPr>
    </w:p>
    <w:p>
      <w:pPr>
        <w:ind w:left="60" w:right="399" w:firstLine="427"/>
        <w:spacing w:after="0" w:line="336" w:lineRule="auto"/>
        <w:rPr>
          <w:sz w:val="20"/>
          <w:szCs w:val="20"/>
          <w:color w:val="auto"/>
        </w:rPr>
      </w:pPr>
      <w:r>
        <w:rPr>
          <w:rFonts w:ascii="Arial" w:cs="Arial" w:eastAsia="Arial" w:hAnsi="Arial"/>
          <w:sz w:val="17"/>
          <w:szCs w:val="17"/>
          <w:color w:val="auto"/>
        </w:rPr>
        <w:t>For comparison of the Company’s results of operations for fiscal 2019 and fiscal 2018, see “Management’s Discussion and Analysis of Financial Condition and Results of Operations” in Part II, Item 7 of the Company’s Annual Report on Form 10-K for the fiscal year ended June 29, 2019 filed with the SEC on August 15, 2019.</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left="60" w:right="299" w:firstLine="427"/>
        <w:spacing w:after="0" w:line="383" w:lineRule="auto"/>
        <w:rPr>
          <w:sz w:val="20"/>
          <w:szCs w:val="20"/>
          <w:color w:val="auto"/>
        </w:rPr>
      </w:pPr>
      <w:r>
        <w:rPr>
          <w:rFonts w:ascii="Arial" w:cs="Arial" w:eastAsia="Arial" w:hAnsi="Arial"/>
          <w:sz w:val="15"/>
          <w:szCs w:val="15"/>
          <w:color w:val="auto"/>
        </w:rPr>
        <w:t>The Company generated $730.2 million of cash from its operating activities in fiscal 2020 as compared to $591.1 million in fiscal 2019. These operating cash flows from continuing operations are comprised of: (i) cash flows generated from net income (loss) from continuing operations, adjusted for the impact of non-cash and other items, which includes depreciation and amortization expense, impairment expenses, deferred income taxes, stock-based compensation expense</w:t>
      </w:r>
    </w:p>
    <w:p>
      <w:pPr>
        <w:sectPr>
          <w:pgSz w:w="11900" w:h="16838" w:orient="portrait"/>
          <w:cols w:equalWidth="0" w:num="1">
            <w:col w:w="9019"/>
          </w:cols>
          <w:pgMar w:left="1440" w:top="517" w:right="1440"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right="99"/>
        <w:spacing w:after="0" w:line="344" w:lineRule="auto"/>
        <w:rPr>
          <w:sz w:val="20"/>
          <w:szCs w:val="20"/>
          <w:color w:val="auto"/>
        </w:rPr>
      </w:pPr>
      <w:r>
        <w:rPr>
          <w:rFonts w:ascii="Arial" w:cs="Arial" w:eastAsia="Arial" w:hAnsi="Arial"/>
          <w:sz w:val="16"/>
          <w:szCs w:val="16"/>
          <w:color w:val="auto"/>
        </w:rPr>
        <w:t>and other non-cash items (including provisions for doubtful accounts and net periodic pension costs), and (ii) cash flows used for, or generated from, working capital and other, excluding cash and cash equivalents. Cash generated from working capital and other was $335.1 million during fiscal 2020, including decreases in accounts receivable of $221.5 million and inventories of $266.8 million, partially offset by decreases in accounts payable of $107.0 million and accrued expenses and other of $46.2 million. Comparatively, cash used for working capital and other was $4.6 million during fiscal 2019, including decreases in accounts payable of $377.9 million and accrued expenses and other of $173.7 million, partially offset by decreases in accounts receivable of $465.0 million and inventories of $81.9 million.</w:t>
      </w:r>
    </w:p>
    <w:p>
      <w:pPr>
        <w:spacing w:after="0" w:line="125" w:lineRule="exact"/>
        <w:rPr>
          <w:sz w:val="20"/>
          <w:szCs w:val="20"/>
          <w:color w:val="auto"/>
        </w:rPr>
      </w:pPr>
    </w:p>
    <w:p>
      <w:pPr>
        <w:ind w:left="60" w:right="259" w:firstLine="427"/>
        <w:spacing w:after="0" w:line="324" w:lineRule="auto"/>
        <w:rPr>
          <w:sz w:val="20"/>
          <w:szCs w:val="20"/>
          <w:color w:val="auto"/>
        </w:rPr>
      </w:pPr>
      <w:r>
        <w:rPr>
          <w:rFonts w:ascii="Arial" w:cs="Arial" w:eastAsia="Arial" w:hAnsi="Arial"/>
          <w:sz w:val="18"/>
          <w:szCs w:val="18"/>
          <w:color w:val="auto"/>
        </w:rPr>
        <w:t>In fiscal 2019, the Company used $56.3 million of cash from discontinued operations operating activities primarily associated with income tax payments.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left="60" w:right="79" w:firstLine="427"/>
        <w:spacing w:after="0" w:line="329" w:lineRule="auto"/>
        <w:rPr>
          <w:sz w:val="20"/>
          <w:szCs w:val="20"/>
          <w:color w:val="auto"/>
        </w:rPr>
      </w:pPr>
      <w:r>
        <w:rPr>
          <w:rFonts w:ascii="Arial" w:cs="Arial" w:eastAsia="Arial" w:hAnsi="Arial"/>
          <w:sz w:val="17"/>
          <w:szCs w:val="17"/>
          <w:color w:val="auto"/>
        </w:rPr>
        <w:t>During fiscal 2020, the Company repaid $302.0 million of notes and $227.3 million under the Securitization Program and received net proceeds of $223.1 million under the Credit Facility. During fiscal 2020, the Company paid dividends on common stock of $84.0 million and repurchased $237.8 million of common stock. Included in other, net is approximately $9.3 million of cash paid related to contingent earn out payments made on acquisitions.</w:t>
      </w:r>
    </w:p>
    <w:p>
      <w:pPr>
        <w:spacing w:after="0" w:line="130" w:lineRule="exact"/>
        <w:rPr>
          <w:sz w:val="20"/>
          <w:szCs w:val="20"/>
          <w:color w:val="auto"/>
        </w:rPr>
      </w:pPr>
    </w:p>
    <w:p>
      <w:pPr>
        <w:ind w:left="60" w:right="239" w:firstLine="427"/>
        <w:spacing w:after="0" w:line="329" w:lineRule="auto"/>
        <w:rPr>
          <w:sz w:val="20"/>
          <w:szCs w:val="20"/>
          <w:color w:val="auto"/>
        </w:rPr>
      </w:pPr>
      <w:r>
        <w:rPr>
          <w:rFonts w:ascii="Arial" w:cs="Arial" w:eastAsia="Arial" w:hAnsi="Arial"/>
          <w:sz w:val="17"/>
          <w:szCs w:val="17"/>
          <w:color w:val="auto"/>
        </w:rPr>
        <w:t>During fiscal 2019, the Company received net proceeds of $122.3 million under the Securitization Program and repaid $61.7 million from borrowings of bank credit facilities and other debt. During fiscal 2019, the Company paid dividends on common stock of $87.2 million and repurchased $568.7 million of common stock. Additionally, included in other, net is approximately $20.2 million of cash received from the exercises of stock options.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left="60" w:right="79" w:firstLine="427"/>
        <w:spacing w:after="0" w:line="302" w:lineRule="auto"/>
        <w:rPr>
          <w:sz w:val="20"/>
          <w:szCs w:val="20"/>
          <w:color w:val="auto"/>
        </w:rPr>
      </w:pPr>
      <w:r>
        <w:rPr>
          <w:rFonts w:ascii="Arial" w:cs="Arial" w:eastAsia="Arial" w:hAnsi="Arial"/>
          <w:sz w:val="18"/>
          <w:szCs w:val="18"/>
          <w:color w:val="auto"/>
        </w:rPr>
        <w:t>During fiscal 2020, the Company used $73.5 million for capital expenditures primarily related to warehouse and facilities, and information technology hardware and software costs compared to $122.7 million in fiscal 2019. During fiscal 2020, the Company used $51.5 million of cash for acquisitions, which is net of the cash acquired, compared to $56.4 million of cash for acquisitions, which is net of the cash acquired in fiscal 2019. In addition, the Company paid $12.8 million for other investing activities during fiscal 2020. Included in other, net is $41.7 million of cash received from the sale of real estate in EMEA in fiscal 2019.</w:t>
      </w:r>
    </w:p>
    <w:p>
      <w:pPr>
        <w:spacing w:after="0" w:line="152" w:lineRule="exact"/>
        <w:rPr>
          <w:sz w:val="20"/>
          <w:szCs w:val="20"/>
          <w:color w:val="auto"/>
        </w:rPr>
      </w:pPr>
    </w:p>
    <w:p>
      <w:pPr>
        <w:ind w:left="60" w:right="79" w:firstLine="427"/>
        <w:spacing w:after="0" w:line="324" w:lineRule="auto"/>
        <w:rPr>
          <w:sz w:val="20"/>
          <w:szCs w:val="20"/>
          <w:color w:val="auto"/>
        </w:rPr>
      </w:pPr>
      <w:r>
        <w:rPr>
          <w:rFonts w:ascii="Arial" w:cs="Arial" w:eastAsia="Arial" w:hAnsi="Arial"/>
          <w:sz w:val="18"/>
          <w:szCs w:val="18"/>
          <w:color w:val="auto"/>
        </w:rPr>
        <w:t>During fiscal 2019, the Company received $123.5 million of cash from investing activities of discontinued operations from the sale of the TS business.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25" w:lineRule="exact"/>
        <w:rPr>
          <w:sz w:val="20"/>
          <w:szCs w:val="20"/>
          <w:color w:val="auto"/>
        </w:rPr>
      </w:pPr>
    </w:p>
    <w:p>
      <w:pPr>
        <w:ind w:left="60" w:right="219" w:firstLine="427"/>
        <w:spacing w:after="0" w:line="349" w:lineRule="auto"/>
        <w:rPr>
          <w:sz w:val="20"/>
          <w:szCs w:val="20"/>
          <w:color w:val="auto"/>
        </w:rPr>
      </w:pPr>
      <w:r>
        <w:rPr>
          <w:rFonts w:ascii="Arial" w:cs="Arial" w:eastAsia="Arial" w:hAnsi="Arial"/>
          <w:sz w:val="16"/>
          <w:szCs w:val="16"/>
          <w:color w:val="auto"/>
        </w:rPr>
        <w:t>The Company uses a variety of financing arrangements, both short-term and long-term, to fund its operations in addition to cash generated from operating activities. The Company also uses several sources of funding so that it does not become overly dependent on one source of financing and to achieve a lower cost of funding through the use of different alternatives. These financing arrangements include public debt, short-term and long-term bank loans, a revolving credit facility (the “Credit Facility”) and an accounts receivable securitization program (the “Securitization Program”).</w:t>
      </w:r>
    </w:p>
    <w:p>
      <w:pPr>
        <w:spacing w:after="0" w:line="120"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Avnet generally guarantees its subsidiaries’ obligations under such debt facilities. Outstanding borrowings under such forms of debt at the end of fiscal 2020 was $1.5 million.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59" w:firstLine="427"/>
        <w:spacing w:after="0" w:line="325" w:lineRule="auto"/>
        <w:rPr>
          <w:sz w:val="20"/>
          <w:szCs w:val="20"/>
          <w:color w:val="auto"/>
        </w:rPr>
      </w:pPr>
      <w:r>
        <w:rPr>
          <w:rFonts w:ascii="Arial" w:cs="Arial" w:eastAsia="Arial" w:hAnsi="Arial"/>
          <w:sz w:val="17"/>
          <w:szCs w:val="17"/>
          <w:color w:val="auto"/>
        </w:rPr>
        <w:t>As an alternative form of financing outside of the United States, the Company sells certain of its trade accounts receivable on a non-recourse basis to third-party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receivables are recorded within “Interest and other financing expenses, net” and were not material.</w:t>
      </w:r>
    </w:p>
    <w:p>
      <w:pPr>
        <w:spacing w:after="0" w:line="148" w:lineRule="exact"/>
        <w:rPr>
          <w:sz w:val="20"/>
          <w:szCs w:val="20"/>
          <w:color w:val="auto"/>
        </w:rPr>
      </w:pPr>
    </w:p>
    <w:p>
      <w:pPr>
        <w:ind w:left="60" w:right="219" w:firstLine="427"/>
        <w:spacing w:after="0" w:line="310" w:lineRule="auto"/>
        <w:rPr>
          <w:sz w:val="20"/>
          <w:szCs w:val="20"/>
          <w:color w:val="auto"/>
        </w:rPr>
      </w:pPr>
      <w:r>
        <w:rPr>
          <w:rFonts w:ascii="Arial" w:cs="Arial" w:eastAsia="Arial" w:hAnsi="Arial"/>
          <w:sz w:val="18"/>
          <w:szCs w:val="18"/>
          <w:color w:val="auto"/>
        </w:rPr>
        <w:t>See Note 7, “Debt” to the Company’s consolidated financial statements included in Item 8 of this Annual Report on Form 10-K for additional information on financing transactions including the Credit Facility, the Securitization Program and the outstanding Notes as of June 27, 2020.</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Covenants and Conditions</w:t>
      </w:r>
    </w:p>
    <w:p>
      <w:pPr>
        <w:spacing w:after="0" w:line="225" w:lineRule="exact"/>
        <w:rPr>
          <w:sz w:val="20"/>
          <w:szCs w:val="20"/>
          <w:color w:val="auto"/>
        </w:rPr>
      </w:pPr>
    </w:p>
    <w:p>
      <w:pPr>
        <w:ind w:left="60" w:right="79" w:firstLine="427"/>
        <w:spacing w:after="0" w:line="320" w:lineRule="auto"/>
        <w:rPr>
          <w:sz w:val="20"/>
          <w:szCs w:val="20"/>
          <w:color w:val="auto"/>
        </w:rPr>
      </w:pPr>
      <w:r>
        <w:rPr>
          <w:rFonts w:ascii="Arial" w:cs="Arial" w:eastAsia="Arial" w:hAnsi="Arial"/>
          <w:sz w:val="17"/>
          <w:szCs w:val="17"/>
          <w:color w:val="auto"/>
        </w:rPr>
        <w:t>The Company’s Securitization Program requires the Company to maintain certain minimum interest coverage and leverage ratios in order to continue utilizing the Securitization Program. The Securitization Program also contains certain covenants relating to the quality of the receivables sold. If these conditions are not met, the Company may not be able to borrow any additional funds and the financial institutions may consider this an amortization event, as defined in the Securitization Program agreements,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The Company was in compliance with all covenants of the Securitization Program as of June 27, 2020.</w:t>
      </w:r>
    </w:p>
    <w:p>
      <w:pPr>
        <w:spacing w:after="0" w:line="152" w:lineRule="exact"/>
        <w:rPr>
          <w:sz w:val="20"/>
          <w:szCs w:val="20"/>
          <w:color w:val="auto"/>
        </w:rPr>
      </w:pPr>
    </w:p>
    <w:p>
      <w:pPr>
        <w:ind w:left="60" w:right="99" w:firstLine="427"/>
        <w:spacing w:after="0" w:line="310" w:lineRule="auto"/>
        <w:rPr>
          <w:sz w:val="20"/>
          <w:szCs w:val="20"/>
          <w:color w:val="auto"/>
        </w:rPr>
      </w:pPr>
      <w:r>
        <w:rPr>
          <w:rFonts w:ascii="Arial" w:cs="Arial" w:eastAsia="Arial" w:hAnsi="Arial"/>
          <w:sz w:val="18"/>
          <w:szCs w:val="18"/>
          <w:color w:val="auto"/>
        </w:rPr>
        <w:t>On July 31, 2020, the Company amended the Securitization Program, which among other changes, extended the term of the Securitization Program to July 30, 2021 and eliminated the minimum interest coverage and maximum leverage financial covenants.</w:t>
      </w:r>
    </w:p>
    <w:p>
      <w:pPr>
        <w:spacing w:after="0" w:line="143"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The Company’s Credit Facility contains certain covenants with various limitations on debt incurrence, share repurchases, dividends, investments and capital expenditures and also includes financial covenants requiring the Company to maintain minimum interest coverage and leverage ratios. The Company was in compliance with all covenants of the Credit Facility as of June 27, 2020.</w:t>
      </w:r>
    </w:p>
    <w:p>
      <w:pPr>
        <w:spacing w:after="0" w:line="146" w:lineRule="exact"/>
        <w:rPr>
          <w:sz w:val="20"/>
          <w:szCs w:val="20"/>
          <w:color w:val="auto"/>
        </w:rPr>
      </w:pPr>
    </w:p>
    <w:p>
      <w:pPr>
        <w:ind w:left="60" w:right="219" w:firstLine="427"/>
        <w:spacing w:after="0" w:line="304" w:lineRule="auto"/>
        <w:rPr>
          <w:sz w:val="20"/>
          <w:szCs w:val="20"/>
          <w:color w:val="auto"/>
        </w:rPr>
      </w:pPr>
      <w:r>
        <w:rPr>
          <w:rFonts w:ascii="Arial" w:cs="Arial" w:eastAsia="Arial" w:hAnsi="Arial"/>
          <w:sz w:val="18"/>
          <w:szCs w:val="18"/>
          <w:color w:val="auto"/>
        </w:rPr>
        <w:t>On August 4, 2020, the Company amended the Credit Facility, which among other changes temporarily reduced the minimum interest coverage covenant for each four fiscal quarter period ending on or around September 30, 2020 through and including June 30, 2021 and temporarily increased the maximum leverage covenant commencing in the four fiscal quarter period ending on or around September 30, 2020 through the four fiscal quarter period ending on or around September 30, 2021.</w:t>
      </w:r>
    </w:p>
    <w:p>
      <w:pPr>
        <w:spacing w:after="0" w:line="161" w:lineRule="exact"/>
        <w:rPr>
          <w:sz w:val="20"/>
          <w:szCs w:val="20"/>
          <w:color w:val="auto"/>
        </w:rPr>
      </w:pPr>
    </w:p>
    <w:p>
      <w:pPr>
        <w:ind w:left="60" w:right="679" w:firstLine="427"/>
        <w:spacing w:after="0" w:line="357" w:lineRule="auto"/>
        <w:rPr>
          <w:sz w:val="20"/>
          <w:szCs w:val="20"/>
          <w:color w:val="auto"/>
        </w:rPr>
      </w:pPr>
      <w:r>
        <w:rPr>
          <w:rFonts w:ascii="Arial" w:cs="Arial" w:eastAsia="Arial" w:hAnsi="Arial"/>
          <w:sz w:val="17"/>
          <w:szCs w:val="17"/>
          <w:color w:val="auto"/>
        </w:rPr>
        <w:t>Management does not believe that the covenants under the Credit Facility or Securitization Program limit the Company’s ability to pursue its intended business strategy or its future financing needs.</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Liquidity</w:t>
      </w:r>
    </w:p>
    <w:p>
      <w:pPr>
        <w:spacing w:after="0" w:line="239" w:lineRule="exact"/>
        <w:rPr>
          <w:sz w:val="20"/>
          <w:szCs w:val="20"/>
          <w:color w:val="auto"/>
        </w:rPr>
      </w:pPr>
    </w:p>
    <w:p>
      <w:pPr>
        <w:ind w:left="60" w:right="79" w:firstLine="427"/>
        <w:spacing w:after="0" w:line="310" w:lineRule="auto"/>
        <w:rPr>
          <w:sz w:val="20"/>
          <w:szCs w:val="20"/>
          <w:color w:val="auto"/>
        </w:rPr>
      </w:pPr>
      <w:r>
        <w:rPr>
          <w:rFonts w:ascii="Arial" w:cs="Arial" w:eastAsia="Arial" w:hAnsi="Arial"/>
          <w:sz w:val="18"/>
          <w:szCs w:val="18"/>
          <w:color w:val="auto"/>
        </w:rPr>
        <w:t>The Company had cash and cash equivalents of $477.0 million as of June 27, 2020, of which $411.2 million was held outside the United States. As of June 29, 2019, the Company had cash and cash equivalents of $546.1 million, of which $476.6 million was held outside of the United States.</w:t>
      </w:r>
    </w:p>
    <w:p>
      <w:pPr>
        <w:sectPr>
          <w:pgSz w:w="11900" w:h="16838" w:orient="portrait"/>
          <w:cols w:equalWidth="0" w:num="1">
            <w:col w:w="9019"/>
          </w:cols>
          <w:pgMar w:left="1440" w:top="517" w:right="144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right="79" w:firstLine="427"/>
        <w:spacing w:after="0" w:line="302" w:lineRule="auto"/>
        <w:rPr>
          <w:sz w:val="20"/>
          <w:szCs w:val="20"/>
          <w:color w:val="auto"/>
        </w:rPr>
      </w:pPr>
      <w:r>
        <w:rPr>
          <w:rFonts w:ascii="Arial" w:cs="Arial" w:eastAsia="Arial" w:hAnsi="Arial"/>
          <w:sz w:val="18"/>
          <w:szCs w:val="18"/>
          <w:color w:val="auto"/>
        </w:rPr>
        <w:t>As of June 27, 2020, there were $230.0 million in borrowings outstanding, $1.6 million in letters of credit issued under the Credit Facility and no borrowing outstanding under the Securitization Program. During fiscal 2020, the Company had an average daily balance outstanding under the Credit Facility of approximately $115.8 million and $336.1 million under the Securitization Program. As of June 27, 2020, the combined availability under the Credit Facility and the Securitization Program was $1.44 billion. On July 31, 2020, subsequent to the end of fiscal 2020, the Company amended and extended the Securitization Program through July 30, 2021.</w:t>
      </w:r>
    </w:p>
    <w:p>
      <w:pPr>
        <w:spacing w:after="0" w:line="152" w:lineRule="exact"/>
        <w:rPr>
          <w:sz w:val="20"/>
          <w:szCs w:val="20"/>
          <w:color w:val="auto"/>
        </w:rPr>
      </w:pPr>
    </w:p>
    <w:p>
      <w:pPr>
        <w:ind w:left="60" w:right="259" w:firstLine="427"/>
        <w:spacing w:after="0" w:line="306"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generated $730.2 million in cash flows from operating activities during the fiscal year ended June 27, 2020 from continuing operations.</w:t>
      </w:r>
    </w:p>
    <w:p>
      <w:pPr>
        <w:spacing w:after="0" w:line="159" w:lineRule="exact"/>
        <w:rPr>
          <w:sz w:val="20"/>
          <w:szCs w:val="20"/>
          <w:color w:val="auto"/>
        </w:rPr>
      </w:pPr>
    </w:p>
    <w:p>
      <w:pPr>
        <w:ind w:left="60" w:right="99" w:firstLine="427"/>
        <w:spacing w:after="0" w:line="321"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This includes the potential impact on liquidity and related compliance with debt covenants as a result of the uncertain future impacts of the COVID-19 pandemic. To the extent the cash balances held in foreign locations cannot be remitted back to the U.S. in a tax efficient manner, those cash balances are generally used for ongoing working capital,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36" w:lineRule="exact"/>
        <w:rPr>
          <w:sz w:val="20"/>
          <w:szCs w:val="20"/>
          <w:color w:val="auto"/>
        </w:rPr>
      </w:pPr>
    </w:p>
    <w:p>
      <w:pPr>
        <w:ind w:left="60" w:right="119" w:firstLine="427"/>
        <w:spacing w:after="0" w:line="322" w:lineRule="auto"/>
        <w:rPr>
          <w:sz w:val="20"/>
          <w:szCs w:val="20"/>
          <w:color w:val="auto"/>
        </w:rPr>
      </w:pPr>
      <w:r>
        <w:rPr>
          <w:rFonts w:ascii="Arial" w:cs="Arial" w:eastAsia="Arial" w:hAnsi="Arial"/>
          <w:sz w:val="17"/>
          <w:szCs w:val="17"/>
          <w:color w:val="auto"/>
        </w:rPr>
        <w:t>The Company continuously monitors and reviews its liquidity position and funding needs. Management believes that the Company’s ability to generate operating cash flows in the future and available borrowing capacity, including capacity for the non-recourse sale of trade accounts receivable, will be sufficient to meet its future liquidity needs. The Company may also renew or replace expiring debt arrangements in the future and management believes the Company will have adequate access to capital markets, if needed. Although the future impact of the COVID-19 pandemic on capital markets and financial institutions is uncertain, the Company has historically and believes it will continue to have the ability in the future to generate operating cash flows in periods of declining sales.</w:t>
      </w:r>
    </w:p>
    <w:p>
      <w:pPr>
        <w:spacing w:after="0" w:line="135" w:lineRule="exact"/>
        <w:rPr>
          <w:sz w:val="20"/>
          <w:szCs w:val="20"/>
          <w:color w:val="auto"/>
        </w:rPr>
      </w:pPr>
    </w:p>
    <w:p>
      <w:pPr>
        <w:ind w:left="60" w:right="179" w:firstLine="427"/>
        <w:spacing w:after="0" w:line="354" w:lineRule="auto"/>
        <w:rPr>
          <w:sz w:val="20"/>
          <w:szCs w:val="20"/>
          <w:color w:val="auto"/>
        </w:rPr>
      </w:pPr>
      <w:r>
        <w:rPr>
          <w:rFonts w:ascii="Arial" w:cs="Arial" w:eastAsia="Arial" w:hAnsi="Arial"/>
          <w:sz w:val="16"/>
          <w:szCs w:val="16"/>
          <w:color w:val="auto"/>
        </w:rPr>
        <w:t>As a result of the evolving impacts of the COVID-19 pandemic and the related uncertain future business conditions, the Company in unlikely to make near-term strategic investments through acquisitions. As the Company implements operating cost saving restructuring plans including plans to reduce operating costs by $75 million annually by the second quarter of fiscal 2021, the Company also expects to use cash for restructuring, integration and other expenses.</w:t>
      </w:r>
    </w:p>
    <w:p>
      <w:pPr>
        <w:spacing w:after="0" w:line="129" w:lineRule="exact"/>
        <w:rPr>
          <w:sz w:val="20"/>
          <w:szCs w:val="20"/>
          <w:color w:val="auto"/>
        </w:rPr>
      </w:pPr>
    </w:p>
    <w:p>
      <w:pPr>
        <w:ind w:left="60" w:right="99" w:firstLine="427"/>
        <w:spacing w:after="0" w:line="302" w:lineRule="auto"/>
        <w:rPr>
          <w:sz w:val="20"/>
          <w:szCs w:val="20"/>
          <w:color w:val="auto"/>
        </w:rPr>
      </w:pPr>
      <w:r>
        <w:rPr>
          <w:rFonts w:ascii="Arial" w:cs="Arial" w:eastAsia="Arial" w:hAnsi="Arial"/>
          <w:sz w:val="18"/>
          <w:szCs w:val="18"/>
          <w:color w:val="auto"/>
        </w:rPr>
        <w:t>As of June 27, 2020, the Company may repurchase up to an aggregate of $469.0 million of the Company’s common stock through a $2.95 billion share repurchase program approved by the Board of Directors. The Company may repurchase stock from time to time at the discretion of management, subject to strategic considerations, market conditions, amended Credit Facility restrictions and other factors. The Company may terminate or limit the share repurchase program at any time without prior notice. The Company has temporarily suspended share repurchases and is unlikely to engage in such repurchases in the near term.</w:t>
      </w:r>
    </w:p>
    <w:p>
      <w:pPr>
        <w:spacing w:after="0" w:line="152"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The Company has historically paid quarterly cash dividends on shares of its common stock, and future dividends are subject to approval by the Board of Directors. During the fourth quarter of fiscal 2020, the Board of Directors approved a dividend of $0.21 per share, which resulted in $20.7 million of dividend payments during the quarter. The payment of future dividends may be restricted by the amended Credit Facility.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59" w:firstLine="427"/>
        <w:spacing w:after="0" w:line="324" w:lineRule="auto"/>
        <w:rPr>
          <w:sz w:val="20"/>
          <w:szCs w:val="20"/>
          <w:color w:val="auto"/>
        </w:rPr>
      </w:pPr>
      <w:r>
        <w:rPr>
          <w:rFonts w:ascii="Arial" w:cs="Arial" w:eastAsia="Arial" w:hAnsi="Arial"/>
          <w:sz w:val="18"/>
          <w:szCs w:val="18"/>
          <w:color w:val="auto"/>
        </w:rPr>
        <w:t xml:space="preserve">See Item 6, </w:t>
      </w:r>
      <w:r>
        <w:rPr>
          <w:rFonts w:ascii="Arial" w:cs="Arial" w:eastAsia="Arial" w:hAnsi="Arial"/>
          <w:sz w:val="18"/>
          <w:szCs w:val="18"/>
          <w:i w:val="1"/>
          <w:iCs w:val="1"/>
          <w:color w:val="auto"/>
        </w:rPr>
        <w:t>Selected Financial Data</w:t>
      </w:r>
      <w:r>
        <w:rPr>
          <w:rFonts w:ascii="Arial" w:cs="Arial" w:eastAsia="Arial" w:hAnsi="Arial"/>
          <w:sz w:val="18"/>
          <w:szCs w:val="18"/>
          <w:color w:val="auto"/>
        </w:rPr>
        <w:t xml:space="preserve"> in Part II of this Annual Report on Form 10-K for additional information on the Company’s liquidity and related ratios.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Long-Term Contractual Obligations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has the following contractual obligations outstanding as of June 27, 2020 (in millions):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w w:val="85"/>
              </w:rPr>
              <w:t>Less than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5"/>
          </w:tcPr>
          <w:p>
            <w:pPr>
              <w:spacing w:after="0"/>
              <w:rPr>
                <w:sz w:val="20"/>
                <w:szCs w:val="20"/>
                <w:color w:val="auto"/>
              </w:rPr>
            </w:pPr>
            <w:r>
              <w:rPr>
                <w:rFonts w:ascii="Arial" w:cs="Arial" w:eastAsia="Arial" w:hAnsi="Arial"/>
                <w:sz w:val="18"/>
                <w:szCs w:val="18"/>
                <w:b w:val="1"/>
                <w:bCs w:val="1"/>
                <w:color w:val="auto"/>
                <w:w w:val="96"/>
              </w:rPr>
              <w:t>Payments due by period</w:t>
            </w:r>
          </w:p>
        </w:tc>
        <w:tc>
          <w:tcPr>
            <w:tcW w:w="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640"/>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w w:val="99"/>
              </w:rPr>
              <w:t>1-3 years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3-5 years</w:t>
            </w:r>
          </w:p>
        </w:tc>
        <w:tc>
          <w:tcPr>
            <w:tcW w:w="10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16"/>
        </w:trPr>
        <w:tc>
          <w:tcPr>
            <w:tcW w:w="3760" w:type="dxa"/>
            <w:vAlign w:val="bottom"/>
            <w:tcBorders>
              <w:top w:val="single" w:sz="8" w:color="CCEEFF"/>
            </w:tcBorders>
            <w:shd w:val="clear" w:color="auto" w:fill="CCEEFF"/>
          </w:tcPr>
          <w:p>
            <w:pPr>
              <w:spacing w:after="0" w:line="216" w:lineRule="exact"/>
              <w:rPr>
                <w:sz w:val="20"/>
                <w:szCs w:val="20"/>
                <w:color w:val="auto"/>
              </w:rPr>
            </w:pPr>
            <w:r>
              <w:rPr>
                <w:rFonts w:ascii="Arial" w:cs="Arial" w:eastAsia="Arial" w:hAnsi="Arial"/>
                <w:sz w:val="17"/>
                <w:szCs w:val="17"/>
                <w:color w:val="auto"/>
              </w:rPr>
              <w:t>Long-term debt obligations</w:t>
            </w:r>
            <w:r>
              <w:rPr>
                <w:rFonts w:ascii="Arial" w:cs="Arial" w:eastAsia="Arial" w:hAnsi="Arial"/>
                <w:sz w:val="25"/>
                <w:szCs w:val="25"/>
                <w:color w:val="auto"/>
                <w:vertAlign w:val="superscript"/>
              </w:rPr>
              <w:t>(1)</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$ 1,431.5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line="216" w:lineRule="exact"/>
              <w:rPr>
                <w:sz w:val="20"/>
                <w:szCs w:val="20"/>
                <w:color w:val="auto"/>
              </w:rPr>
            </w:pPr>
            <w:r>
              <w:rPr>
                <w:rFonts w:ascii="Arial" w:cs="Arial" w:eastAsia="Arial" w:hAnsi="Arial"/>
                <w:sz w:val="17"/>
                <w:szCs w:val="17"/>
                <w:color w:val="auto"/>
              </w:rPr>
              <w:t>Interest expense on long-term debt obligations</w:t>
            </w:r>
            <w:r>
              <w:rPr>
                <w:rFonts w:ascii="Arial" w:cs="Arial" w:eastAsia="Arial" w:hAnsi="Arial"/>
                <w:sz w:val="25"/>
                <w:szCs w:val="25"/>
                <w:color w:val="auto"/>
                <w:vertAlign w:val="superscript"/>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5"/>
                <w:szCs w:val="25"/>
                <w:color w:val="auto"/>
                <w:vertAlign w:val="superscript"/>
              </w:rPr>
              <w:t>(3)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163195</wp:posOffset>
            </wp:positionV>
            <wp:extent cx="14141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10"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Excludes unamortized discount and issuance costs on debt.</w:t>
      </w:r>
    </w:p>
    <w:p>
      <w:pPr>
        <w:spacing w:after="0" w:line="42" w:lineRule="exact"/>
        <w:rPr>
          <w:rFonts w:ascii="Arial" w:cs="Arial" w:eastAsia="Arial" w:hAnsi="Arial"/>
          <w:sz w:val="27"/>
          <w:szCs w:val="27"/>
          <w:color w:val="auto"/>
          <w:vertAlign w:val="superscript"/>
        </w:rPr>
      </w:pPr>
    </w:p>
    <w:p>
      <w:pPr>
        <w:ind w:left="380" w:right="119" w:hanging="330"/>
        <w:spacing w:after="0" w:line="218" w:lineRule="auto"/>
        <w:tabs>
          <w:tab w:leader="none" w:pos="38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Represents interest expense due on debt by using fixed interest rates for fixed rate debt and assuming the same interest rate at the end of fiscal 2020 for variable rate debt.</w:t>
      </w:r>
    </w:p>
    <w:p>
      <w:pPr>
        <w:ind w:left="380" w:hanging="330"/>
        <w:spacing w:after="0" w:line="198" w:lineRule="auto"/>
        <w:tabs>
          <w:tab w:leader="none" w:pos="380"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Excludes imputed interest on operating lease liabilities.</w:t>
      </w:r>
    </w:p>
    <w:p>
      <w:pPr>
        <w:spacing w:after="0" w:line="216" w:lineRule="exact"/>
        <w:rPr>
          <w:sz w:val="20"/>
          <w:szCs w:val="20"/>
          <w:color w:val="auto"/>
        </w:rPr>
      </w:pPr>
    </w:p>
    <w:p>
      <w:pPr>
        <w:ind w:left="60" w:right="139" w:firstLine="427"/>
        <w:spacing w:after="0" w:line="354" w:lineRule="auto"/>
        <w:rPr>
          <w:sz w:val="20"/>
          <w:szCs w:val="20"/>
          <w:color w:val="auto"/>
        </w:rPr>
      </w:pPr>
      <w:r>
        <w:rPr>
          <w:rFonts w:ascii="Arial" w:cs="Arial" w:eastAsia="Arial" w:hAnsi="Arial"/>
          <w:sz w:val="16"/>
          <w:szCs w:val="16"/>
          <w:color w:val="auto"/>
        </w:rPr>
        <w:t>At June 27, 2020, the Company had an estimated liability for income tax contingencies of $116.5 million, which is not included in the above table. Cash payments associated with the settlement of these liabilities that are expected to be paid within the next 12 months is $1.7 million. The settlement period for the remaining amount of the unrecognized tax benefits, including related accrued interest and penalties, cannot be determined and therefore was not included in the table.</w:t>
      </w:r>
    </w:p>
    <w:p>
      <w:pPr>
        <w:spacing w:after="0" w:line="116" w:lineRule="exact"/>
        <w:rPr>
          <w:sz w:val="20"/>
          <w:szCs w:val="20"/>
          <w:color w:val="auto"/>
        </w:rPr>
      </w:pPr>
    </w:p>
    <w:p>
      <w:pPr>
        <w:ind w:left="60" w:right="619" w:firstLine="427"/>
        <w:spacing w:after="0" w:line="324" w:lineRule="auto"/>
        <w:rPr>
          <w:sz w:val="20"/>
          <w:szCs w:val="20"/>
          <w:color w:val="auto"/>
        </w:rPr>
      </w:pPr>
      <w:r>
        <w:rPr>
          <w:rFonts w:ascii="Arial" w:cs="Arial" w:eastAsia="Arial" w:hAnsi="Arial"/>
          <w:sz w:val="18"/>
          <w:szCs w:val="18"/>
          <w:color w:val="auto"/>
        </w:rPr>
        <w:t>The Company does not currently have any material long-term commitments for purchases of inventories from suppliers or for capital expenditures.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43" w:lineRule="exact"/>
        <w:rPr>
          <w:sz w:val="20"/>
          <w:szCs w:val="20"/>
          <w:color w:val="auto"/>
        </w:rPr>
      </w:pPr>
    </w:p>
    <w:p>
      <w:pPr>
        <w:ind w:left="60" w:right="99" w:firstLine="427"/>
        <w:spacing w:after="0" w:line="304" w:lineRule="auto"/>
        <w:rPr>
          <w:sz w:val="20"/>
          <w:szCs w:val="20"/>
          <w:color w:val="auto"/>
        </w:rPr>
      </w:pPr>
      <w:r>
        <w:rPr>
          <w:rFonts w:ascii="Arial" w:cs="Arial" w:eastAsia="Arial" w:hAnsi="Arial"/>
          <w:sz w:val="18"/>
          <w:szCs w:val="18"/>
          <w:color w:val="auto"/>
        </w:rPr>
        <w:t>The Company’s consolidated financial statements have been prepared in accordance with GAAP. The preparation of these consolidated financial statements requires the Company to make estimates and assumptions that affect the reported amounts of assets, liabilities, sales and expenses. These estimates and assumptions are based upon the Company’s continuous evaluation of available information including historical results and anticipated future events. Actual results may differ materially from these estimates.</w:t>
      </w:r>
    </w:p>
    <w:p>
      <w:pPr>
        <w:spacing w:after="0" w:line="147" w:lineRule="exact"/>
        <w:rPr>
          <w:sz w:val="20"/>
          <w:szCs w:val="20"/>
          <w:color w:val="auto"/>
        </w:rPr>
      </w:pPr>
    </w:p>
    <w:p>
      <w:pPr>
        <w:ind w:left="60" w:right="279" w:firstLine="427"/>
        <w:spacing w:after="0" w:line="306" w:lineRule="auto"/>
        <w:rPr>
          <w:sz w:val="20"/>
          <w:szCs w:val="20"/>
          <w:color w:val="auto"/>
        </w:rPr>
      </w:pPr>
      <w:r>
        <w:rPr>
          <w:rFonts w:ascii="Arial" w:cs="Arial" w:eastAsia="Arial" w:hAnsi="Arial"/>
          <w:sz w:val="18"/>
          <w:szCs w:val="18"/>
          <w:color w:val="auto"/>
        </w:rPr>
        <w:t>The Securities and Exchange Commission defines critical accounting policies as those that are, in management’s view, most important to the portrayal of the Company’s financial condition and results of operations and that require significant judgments and estimates. Management believes the Company’s most critical accounting policies at the end of fiscal 2020 relate to:</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Valuation of Inventories</w:t>
      </w:r>
    </w:p>
    <w:p>
      <w:pPr>
        <w:spacing w:after="0" w:line="239" w:lineRule="exact"/>
        <w:rPr>
          <w:sz w:val="20"/>
          <w:szCs w:val="20"/>
          <w:color w:val="auto"/>
        </w:rPr>
      </w:pPr>
    </w:p>
    <w:p>
      <w:pPr>
        <w:ind w:left="60" w:right="139" w:firstLine="427"/>
        <w:spacing w:after="0" w:line="354" w:lineRule="auto"/>
        <w:rPr>
          <w:sz w:val="20"/>
          <w:szCs w:val="20"/>
          <w:color w:val="auto"/>
        </w:rPr>
      </w:pPr>
      <w:r>
        <w:rPr>
          <w:rFonts w:ascii="Arial" w:cs="Arial" w:eastAsia="Arial" w:hAnsi="Arial"/>
          <w:sz w:val="16"/>
          <w:szCs w:val="16"/>
          <w:color w:val="auto"/>
        </w:rPr>
        <w:t>Inventories are recorded at the lower of cost or estimated net realizable value. Inventory cost includes the purchase price of finished goods and also includes any freight cost incurred to receive the inventory into the Company’s distribution centers. The Company’s inventories include electronic components sold into changing, cyclical and competitive markets wherein such inventories may be subject to declines in market value or obsolescence.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right="79" w:firstLine="427"/>
        <w:spacing w:after="0" w:line="319" w:lineRule="auto"/>
        <w:rPr>
          <w:sz w:val="20"/>
          <w:szCs w:val="20"/>
          <w:color w:val="auto"/>
        </w:rPr>
      </w:pPr>
      <w:r>
        <w:rPr>
          <w:rFonts w:ascii="Arial" w:cs="Arial" w:eastAsia="Arial" w:hAnsi="Arial"/>
          <w:sz w:val="17"/>
          <w:szCs w:val="17"/>
          <w:color w:val="auto"/>
        </w:rPr>
        <w:t>The Company regularly evaluates inventories for expected customer demand, obsolescence, current market prices and other factors that may render inventories less marketable. Write-downs are recorded so that inventories reflect the approximate net realizable value and take into account the Company’s contractual provisions with its suppliers, which may provide certain protections to the Company for product obsolescence and price erosion in the form of rights of return, stock rotation rights, obsolescence allowances and price protections. Because of the large number of products and suppliers and the complexity of managing the process around price protections and stock rotations, estimates are made regarding the net realizable value of inventories. Additionally, assumptions about future demand, market conditions and decisions to discontinue certain product lines impact the evaluation of whether to write-down inventories. If assumptions about future demand change or actual market conditions are less favorable than those assumed by management, management would evaluate whether additional write-downs of inventories are required. In any case, actual net realizable values could be different from those currently estimated.</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39" w:lineRule="exact"/>
        <w:rPr>
          <w:sz w:val="20"/>
          <w:szCs w:val="20"/>
          <w:color w:val="auto"/>
        </w:rPr>
      </w:pPr>
    </w:p>
    <w:p>
      <w:pPr>
        <w:ind w:left="60" w:right="79" w:firstLine="427"/>
        <w:spacing w:after="0" w:line="341" w:lineRule="auto"/>
        <w:rPr>
          <w:sz w:val="20"/>
          <w:szCs w:val="20"/>
          <w:color w:val="auto"/>
        </w:rPr>
      </w:pPr>
      <w:r>
        <w:rPr>
          <w:rFonts w:ascii="Arial" w:cs="Arial" w:eastAsia="Arial" w:hAnsi="Arial"/>
          <w:sz w:val="16"/>
          <w:szCs w:val="16"/>
          <w:color w:val="auto"/>
        </w:rPr>
        <w:t>Management’s judgment is required in determining income tax expense, unrecognized tax benefits and in measuring deferred tax assets and liabilities and the valuation allowances recorded against net deferred tax assets. The recoverability of the Company’s net deferred tax assets is dependent upon its ability to generate sufficient future taxable income in certain jurisdictions. In addition, the Company considers historic levels and types of income, expectations and risk associated with estimates of future taxable income and ongoing prudent and feasible tax planning strategies in assessing the need for valuation allowances. Should the Company determine that it is not able to realize all or part of its deferred tax assets in the future, additional valuation allowances may be recorded against the deferred tax assets with a corresponding increase to income tax expense in the period such determination is made. Similarly, should the Company determine that it is able to realize all or part of its deferred tax assets that have an associated valuation allowance established, the Company may release a valuation allowance with a corresponding benefit to income tax expense in the period such determination is made.</w:t>
      </w:r>
    </w:p>
    <w:p>
      <w:pPr>
        <w:spacing w:after="0" w:line="126" w:lineRule="exact"/>
        <w:rPr>
          <w:sz w:val="20"/>
          <w:szCs w:val="20"/>
          <w:color w:val="auto"/>
        </w:rPr>
      </w:pPr>
    </w:p>
    <w:p>
      <w:pPr>
        <w:ind w:left="60" w:right="59" w:firstLine="427"/>
        <w:spacing w:after="0" w:line="346" w:lineRule="auto"/>
        <w:rPr>
          <w:sz w:val="20"/>
          <w:szCs w:val="20"/>
          <w:color w:val="auto"/>
        </w:rPr>
      </w:pPr>
      <w:r>
        <w:rPr>
          <w:rFonts w:ascii="Arial" w:cs="Arial" w:eastAsia="Arial" w:hAnsi="Arial"/>
          <w:sz w:val="16"/>
          <w:szCs w:val="16"/>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tax authorities. There may be differences between the anticipated and actual outcomes of these matters that may result in changes in estimates to such liabilities. To the extent such changes in estimates are necessary, the Company’s effective tax rate may potentially fluctuate. In accordance with the Company’s accounting policy, accrued interest and penalties related to unrecognized tax benefits are recorded as a component of income tax expense.</w:t>
      </w:r>
    </w:p>
    <w:p>
      <w:pPr>
        <w:spacing w:after="0" w:line="123" w:lineRule="exact"/>
        <w:rPr>
          <w:sz w:val="20"/>
          <w:szCs w:val="20"/>
          <w:color w:val="auto"/>
        </w:rPr>
      </w:pPr>
    </w:p>
    <w:p>
      <w:pPr>
        <w:ind w:left="60" w:right="239" w:firstLine="427"/>
        <w:spacing w:after="0" w:line="349" w:lineRule="auto"/>
        <w:rPr>
          <w:sz w:val="20"/>
          <w:szCs w:val="20"/>
          <w:color w:val="auto"/>
        </w:rPr>
      </w:pPr>
      <w:r>
        <w:rPr>
          <w:rFonts w:ascii="Arial" w:cs="Arial" w:eastAsia="Arial" w:hAnsi="Arial"/>
          <w:sz w:val="16"/>
          <w:szCs w:val="16"/>
          <w:color w:val="auto"/>
        </w:rPr>
        <w:t>In determining the Company’s income tax expense, management considers current tax regulations in the numerous jurisdictions in which it operates including the impact of recent tax law and regulation changes in the United States. The Company exercises judgment for interpretation and application of such current tax regulations. Changes to such tax regulations or disagreements with the Company’s interpretation or application by tax authorities in any of the Company’s major jurisdictions may have a significant impact on the Company’s income tax expense.</w:t>
      </w:r>
    </w:p>
    <w:p>
      <w:pPr>
        <w:spacing w:after="0" w:line="134" w:lineRule="exact"/>
        <w:rPr>
          <w:sz w:val="20"/>
          <w:szCs w:val="20"/>
          <w:color w:val="auto"/>
        </w:rPr>
      </w:pPr>
    </w:p>
    <w:p>
      <w:pPr>
        <w:ind w:left="60" w:right="99" w:firstLine="427"/>
        <w:spacing w:after="0" w:line="357" w:lineRule="auto"/>
        <w:rPr>
          <w:sz w:val="20"/>
          <w:szCs w:val="20"/>
          <w:color w:val="auto"/>
        </w:rPr>
      </w:pPr>
      <w:r>
        <w:rPr>
          <w:rFonts w:ascii="Arial" w:cs="Arial" w:eastAsia="Arial" w:hAnsi="Arial"/>
          <w:sz w:val="17"/>
          <w:szCs w:val="17"/>
          <w:color w:val="auto"/>
        </w:rPr>
        <w:t>See Note 9 to the Company’s consolidated financial statements included in Item 8 of this Annual Report on Form 10-K for further discussion on income tax expense, valuation allowances and unrecognized tax benefits.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0" w:right="79" w:firstLine="427"/>
        <w:spacing w:after="0" w:line="395"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Reference Rate Reform on Financial Reporting </w:t>
      </w:r>
      <w:r>
        <w:rPr>
          <w:rFonts w:ascii="Arial" w:cs="Arial" w:eastAsia="Arial" w:hAnsi="Arial"/>
          <w:sz w:val="16"/>
          <w:szCs w:val="16"/>
          <w:color w:val="auto"/>
        </w:rPr>
        <w:t>(“ASU No. 2020-04”), which provides optional guidance to ease the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219"/>
        <w:spacing w:after="0" w:line="306" w:lineRule="auto"/>
        <w:rPr>
          <w:sz w:val="20"/>
          <w:szCs w:val="20"/>
          <w:color w:val="auto"/>
        </w:rPr>
      </w:pPr>
      <w:r>
        <w:rPr>
          <w:rFonts w:ascii="Arial" w:cs="Arial" w:eastAsia="Arial" w:hAnsi="Arial"/>
          <w:sz w:val="18"/>
          <w:szCs w:val="18"/>
          <w:color w:val="auto"/>
        </w:rPr>
        <w:t>potential burden in accounting for reference rate reform on financial reporting. The new guidance provides optional expedients and exceptions for applying generally accepted accounting principles to transactions affected by reference rate reform if certain criteria are met. The Company is currently evaluating the potential effects of adopting the provisions of ASU No. 2020-04.</w:t>
      </w:r>
    </w:p>
    <w:p>
      <w:pPr>
        <w:spacing w:after="0" w:line="159" w:lineRule="exact"/>
        <w:rPr>
          <w:sz w:val="20"/>
          <w:szCs w:val="20"/>
          <w:color w:val="auto"/>
        </w:rPr>
      </w:pPr>
    </w:p>
    <w:p>
      <w:pPr>
        <w:ind w:left="60" w:right="79" w:firstLine="427"/>
        <w:spacing w:after="0" w:line="323" w:lineRule="auto"/>
        <w:rPr>
          <w:sz w:val="20"/>
          <w:szCs w:val="20"/>
          <w:color w:val="auto"/>
        </w:rPr>
      </w:pPr>
      <w:r>
        <w:rPr>
          <w:rFonts w:ascii="Arial" w:cs="Arial" w:eastAsia="Arial" w:hAnsi="Arial"/>
          <w:sz w:val="17"/>
          <w:szCs w:val="17"/>
          <w:color w:val="auto"/>
        </w:rPr>
        <w:t xml:space="preserve">In January 2020, the FASB issued ASU No. 2020-01 - </w:t>
      </w:r>
      <w:r>
        <w:rPr>
          <w:rFonts w:ascii="Arial" w:cs="Arial" w:eastAsia="Arial" w:hAnsi="Arial"/>
          <w:sz w:val="17"/>
          <w:szCs w:val="17"/>
          <w:i w:val="1"/>
          <w:iCs w:val="1"/>
          <w:color w:val="auto"/>
        </w:rPr>
        <w:t>Investments-Equity Securities (Topic 321), Investments-Equity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Method and Joint Ventures (Topic 323), and Derivatives and Hedging (Topic 815)-Clarifying the Interactions between Topic 321, Topic 323, and Topic 815 </w:t>
      </w:r>
      <w:r>
        <w:rPr>
          <w:rFonts w:ascii="Arial" w:cs="Arial" w:eastAsia="Arial" w:hAnsi="Arial"/>
          <w:sz w:val="17"/>
          <w:szCs w:val="17"/>
          <w:color w:val="auto"/>
        </w:rPr>
        <w:t>(“ASU No. 2020-01”), which clarifies the interaction of the accounting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equity securities, equity method investments, and certain derivatives. ASU No. 2020-01 will be effective for the Company in the first quarter of fiscal 2022, and early adoption is permitted. The Company is currently evaluating the potential effects of adopting the provisions of ASU No. 2020-01.</w:t>
      </w:r>
    </w:p>
    <w:p>
      <w:pPr>
        <w:spacing w:after="0" w:line="136" w:lineRule="exact"/>
        <w:rPr>
          <w:sz w:val="20"/>
          <w:szCs w:val="20"/>
          <w:color w:val="auto"/>
        </w:rPr>
      </w:pPr>
    </w:p>
    <w:p>
      <w:pPr>
        <w:ind w:left="60" w:right="159" w:firstLine="427"/>
        <w:spacing w:after="0" w:line="302"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(“ASU No. 2019-12”) which removes certain exceptions to the general principles in Topic 740 and also clarifies and amends existing guidance to improve consistent application. ASU No. 2019-12 will be effective for the Company in the first quarter of fiscal 2022, and early adoption is permitted. Depending on the amendment, adoption may be applied on the retrospective, modified retrospective or prospective basis. The Company is currently evaluating the potential effects of adopting the provisions of ASU No. 2019-12.</w:t>
      </w:r>
    </w:p>
    <w:p>
      <w:pPr>
        <w:spacing w:after="0" w:line="152" w:lineRule="exact"/>
        <w:rPr>
          <w:sz w:val="20"/>
          <w:szCs w:val="20"/>
          <w:color w:val="auto"/>
        </w:rPr>
      </w:pPr>
    </w:p>
    <w:p>
      <w:pPr>
        <w:ind w:left="60" w:right="59" w:firstLine="427"/>
        <w:spacing w:after="0" w:line="344"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 Internal-Use 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350-40): Customer’s Accounting for Implementation Costs Incurred in a Cloud Computing Arrangement That Is a Service Contract (a consensus of the FASB Emerging Issues Task Force) </w:t>
      </w:r>
      <w:r>
        <w:rPr>
          <w:rFonts w:ascii="Arial" w:cs="Arial" w:eastAsia="Arial" w:hAnsi="Arial"/>
          <w:sz w:val="16"/>
          <w:szCs w:val="16"/>
          <w:color w:val="auto"/>
        </w:rPr>
        <w:t>("ASU No. 2018-15"). ASU No. 2018-15 aligns</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requirements for capitalizing implementation costs incurred in a hosting arrangement that is a service contract with the requirements for capitalizing implementation costs incurred to develop internal-use software. ASU No. 2018-15 is effective for the Company in the first quarter of fiscal 2021 and is to be applied either retrospectively or prospectively. The Company does not believe its adoption of this standard will have a material impact on its consolidated financial statements.</w:t>
      </w:r>
    </w:p>
    <w:p>
      <w:pPr>
        <w:spacing w:after="0" w:line="139" w:lineRule="exact"/>
        <w:rPr>
          <w:sz w:val="20"/>
          <w:szCs w:val="20"/>
          <w:color w:val="auto"/>
        </w:rPr>
      </w:pPr>
    </w:p>
    <w:p>
      <w:pPr>
        <w:ind w:left="60" w:right="139" w:firstLine="427"/>
        <w:spacing w:after="0" w:line="344" w:lineRule="auto"/>
        <w:rPr>
          <w:sz w:val="20"/>
          <w:szCs w:val="20"/>
          <w:color w:val="auto"/>
        </w:rPr>
      </w:pPr>
      <w:r>
        <w:rPr>
          <w:rFonts w:ascii="Arial" w:cs="Arial" w:eastAsia="Arial" w:hAnsi="Arial"/>
          <w:sz w:val="16"/>
          <w:szCs w:val="16"/>
          <w:color w:val="auto"/>
        </w:rPr>
        <w:t xml:space="preserve">In August 2018, the FASB issued ASU No. 2018-14, </w:t>
      </w:r>
      <w:r>
        <w:rPr>
          <w:rFonts w:ascii="Arial" w:cs="Arial" w:eastAsia="Arial" w:hAnsi="Arial"/>
          <w:sz w:val="16"/>
          <w:szCs w:val="16"/>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6"/>
          <w:szCs w:val="16"/>
          <w:color w:val="auto"/>
        </w:rPr>
        <w:t>(“ASU No. 2018-14”). The new guidance modifies the disclosure requirements for employers that sponsor defined benefit pension or other postretirement plans, including removing certain previous disclosure requirements, adding certain new disclosure requirements, and clarifying certain other disclosure requirements. ASU No. 2018-14 will be effective for the Company in the first quarter of fiscal 2022, and early adoption is permitted. The Company’s planned adoption of ASU No. 2018-14 is not expected to have an impact on the Company’s consolidated financial statements.</w:t>
      </w:r>
    </w:p>
    <w:p>
      <w:pPr>
        <w:spacing w:after="0" w:line="125" w:lineRule="exact"/>
        <w:rPr>
          <w:sz w:val="20"/>
          <w:szCs w:val="20"/>
          <w:color w:val="auto"/>
        </w:rPr>
      </w:pPr>
    </w:p>
    <w:p>
      <w:pPr>
        <w:ind w:left="60" w:right="99" w:firstLine="427"/>
        <w:spacing w:after="0" w:line="32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Credit Losses on Financial Instruments </w:t>
      </w:r>
      <w:r>
        <w:rPr>
          <w:rFonts w:ascii="Arial" w:cs="Arial" w:eastAsia="Arial" w:hAnsi="Arial"/>
          <w:sz w:val="17"/>
          <w:szCs w:val="17"/>
          <w:color w:val="auto"/>
        </w:rPr>
        <w:t>("ASU No. 2016-13") and also issued subsequent amendments to the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ASU No. 2018-19, ASU No. 2019-04, ASU No. 2019-05, and ASU No. 2019-11 (collectively, Topic 326). Topic 326 revises the methodology for measuring credit losses on financial instruments and the timing of when such losses are recorded. Topic 326 is effective for the Company in the first quarter of fiscal 2021, with early adoption permitted, and is to be applied using a modified retrospective approach. The Company is completing its evaluation of the potential effects of adopting the provisions of Topic 326, and does not expect the adoption to have a material impact on the Company’s retained earnings or receivables.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right="199" w:firstLine="427"/>
        <w:spacing w:after="0" w:line="306"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an economic hedge against all or a portion of the risks associated with such volatility. The Company continues to have exposure to such risks to the extent they are not economically hedged.</w:t>
      </w:r>
    </w:p>
    <w:p>
      <w:pPr>
        <w:spacing w:after="0" w:line="159" w:lineRule="exact"/>
        <w:rPr>
          <w:sz w:val="20"/>
          <w:szCs w:val="20"/>
          <w:color w:val="auto"/>
        </w:rPr>
      </w:pPr>
    </w:p>
    <w:p>
      <w:pPr>
        <w:ind w:left="60" w:right="239" w:firstLine="427"/>
        <w:spacing w:after="0" w:line="324" w:lineRule="auto"/>
        <w:rPr>
          <w:sz w:val="20"/>
          <w:szCs w:val="20"/>
          <w:color w:val="auto"/>
        </w:rPr>
      </w:pPr>
      <w:r>
        <w:rPr>
          <w:rFonts w:ascii="Arial" w:cs="Arial" w:eastAsia="Arial" w:hAnsi="Arial"/>
          <w:sz w:val="18"/>
          <w:szCs w:val="18"/>
          <w:color w:val="auto"/>
        </w:rPr>
        <w:t>The following table sets forth the scheduled maturities of the Company’s debt outstanding at June 27, 2020 (dollars in millions):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8"/>
              </w:rPr>
              <w:t>Fiscal Year</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2021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2023</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2025</w:t>
            </w:r>
          </w:p>
        </w:tc>
        <w:tc>
          <w:tcPr>
            <w:tcW w:w="1020" w:type="dxa"/>
            <w:vAlign w:val="bottom"/>
            <w:gridSpan w:val="3"/>
          </w:tcPr>
          <w:p>
            <w:pPr>
              <w:ind w:left="180"/>
              <w:spacing w:after="0"/>
              <w:rPr>
                <w:sz w:val="20"/>
                <w:szCs w:val="20"/>
                <w:color w:val="auto"/>
              </w:rPr>
            </w:pPr>
            <w:r>
              <w:rPr>
                <w:rFonts w:ascii="Arial" w:cs="Arial" w:eastAsia="Arial" w:hAnsi="Arial"/>
                <w:sz w:val="18"/>
                <w:szCs w:val="18"/>
                <w:b w:val="1"/>
                <w:bCs w:val="1"/>
                <w:color w:val="auto"/>
                <w:w w:val="93"/>
              </w:rPr>
              <w:t>Thereafter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432"/>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Fixed rate debt</w:t>
            </w:r>
            <w:r>
              <w:rPr>
                <w:rFonts w:ascii="Arial" w:cs="Arial" w:eastAsia="Arial" w:hAnsi="Arial"/>
                <w:sz w:val="26"/>
                <w:szCs w:val="26"/>
                <w:color w:val="auto"/>
                <w:vertAlign w:val="superscript"/>
              </w:rPr>
              <w:t>(1)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$ 300.8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350.3</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0.1</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550.0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1,201.4</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Floating rate debt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$ 230.0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60" w:type="dxa"/>
            <w:vAlign w:val="bottom"/>
            <w:shd w:val="clear" w:color="auto" w:fill="CCEEFF"/>
          </w:tcPr>
          <w:p>
            <w:pPr>
              <w:spacing w:after="0"/>
              <w:rPr>
                <w:sz w:val="24"/>
                <w:szCs w:val="24"/>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r>
    </w:tbl>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Excludes unamortized discounts and issuance costs.</w:t>
      </w:r>
    </w:p>
    <w:p>
      <w:pPr>
        <w:spacing w:after="0" w:line="239" w:lineRule="exact"/>
        <w:rPr>
          <w:sz w:val="20"/>
          <w:szCs w:val="20"/>
          <w:color w:val="auto"/>
        </w:rPr>
      </w:pPr>
    </w:p>
    <w:p>
      <w:pPr>
        <w:ind w:left="60" w:right="219" w:firstLine="427"/>
        <w:spacing w:after="0" w:line="324" w:lineRule="auto"/>
        <w:rPr>
          <w:sz w:val="20"/>
          <w:szCs w:val="20"/>
          <w:color w:val="auto"/>
        </w:rPr>
      </w:pPr>
      <w:r>
        <w:rPr>
          <w:rFonts w:ascii="Arial" w:cs="Arial" w:eastAsia="Arial" w:hAnsi="Arial"/>
          <w:sz w:val="18"/>
          <w:szCs w:val="18"/>
          <w:color w:val="auto"/>
        </w:rPr>
        <w:t>The following table sets forth the carrying value and fair value of the Company’s debt and the average interest rates at June 27, 2020, and June 29, 2019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Carrying Value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Fair Value at</w:t>
            </w:r>
          </w:p>
        </w:tc>
        <w:tc>
          <w:tcPr>
            <w:tcW w:w="2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Carrying Value</w:t>
            </w:r>
          </w:p>
        </w:tc>
        <w:tc>
          <w:tcPr>
            <w:tcW w:w="6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 at</w:t>
            </w:r>
          </w:p>
        </w:tc>
      </w:tr>
      <w:tr>
        <w:trPr>
          <w:trHeight w:val="241"/>
        </w:trPr>
        <w:tc>
          <w:tcPr>
            <w:tcW w:w="2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at June 27, 2020</w:t>
            </w:r>
          </w:p>
        </w:tc>
        <w:tc>
          <w:tcPr>
            <w:tcW w:w="6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89"/>
              </w:rPr>
              <w:t>at June 27, 2020</w:t>
            </w:r>
          </w:p>
        </w:tc>
        <w:tc>
          <w:tcPr>
            <w:tcW w:w="2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at June 29, 2019</w:t>
            </w:r>
          </w:p>
        </w:tc>
        <w:tc>
          <w:tcPr>
            <w:tcW w:w="6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June 29, 2019</w:t>
            </w:r>
          </w:p>
        </w:tc>
      </w:tr>
      <w:tr>
        <w:trPr>
          <w:trHeight w:val="216"/>
        </w:trPr>
        <w:tc>
          <w:tcPr>
            <w:tcW w:w="24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Fixed rate debt</w:t>
            </w:r>
            <w:r>
              <w:rPr>
                <w:rFonts w:ascii="Arial" w:cs="Arial" w:eastAsia="Arial" w:hAnsi="Arial"/>
                <w:sz w:val="25"/>
                <w:szCs w:val="25"/>
                <w:color w:val="auto"/>
                <w:vertAlign w:val="superscript"/>
              </w:rPr>
              <w:t>(1)</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1,297.4</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1,565.2</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Average interest rate</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Floating rate debt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60" w:type="dxa"/>
            <w:vAlign w:val="bottom"/>
            <w:shd w:val="clear" w:color="auto" w:fill="CCEEFF"/>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Average interest rate</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59" w:lineRule="exact"/>
        <w:rPr>
          <w:sz w:val="20"/>
          <w:szCs w:val="20"/>
          <w:color w:val="auto"/>
        </w:rPr>
      </w:pPr>
    </w:p>
    <w:p>
      <w:pPr>
        <w:ind w:left="380" w:right="419" w:hanging="330"/>
        <w:spacing w:after="0" w:line="32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unamortized discounts and issuance costs. Fair value was estimated primarily based upon quoted market prices for the Company’s public long-term notes.</w:t>
      </w:r>
    </w:p>
    <w:p>
      <w:pPr>
        <w:spacing w:after="0" w:line="130" w:lineRule="exact"/>
        <w:rPr>
          <w:sz w:val="20"/>
          <w:szCs w:val="20"/>
          <w:color w:val="auto"/>
        </w:rPr>
      </w:pPr>
    </w:p>
    <w:p>
      <w:pPr>
        <w:ind w:left="60" w:right="79" w:firstLine="427"/>
        <w:spacing w:after="0" w:line="318"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currency exchange contracts typically with maturities of less than sixty days (“economic hedges”), but not greater than one year. The Company continues to have exposure to foreign currency risks to the extent they are not hedged. The Company adjusts any economic hedges to fair value through the consolidated statements of operations primarily within “other (expense) income, net.” Therefore, the changes in valuation of the underlying items being economically hedged are offset by the changes in fair value of the forward foreign currency exchange contracts. A hypothetical 10% change in foreign currency exchange rates under the forward foreign currency exchange contracts outstanding at June 27, 2020, would result in an increase or decrease of approximately $170.0 million to the fair value of the forward foreign currency exchange contracts, which would generally be offset by an opposite effect on the underlying exposure being economically hedged. See Note 3 to the Company’s consolidated financial statements included in Item 8 of this Annual Report on Form 10-K for further discussion on derivative financial instruments.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14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60" w:type="dxa"/>
            <w:vAlign w:val="bottom"/>
          </w:tcPr>
          <w:p>
            <w:pPr>
              <w:spacing w:after="0"/>
              <w:rPr>
                <w:sz w:val="20"/>
                <w:szCs w:val="20"/>
                <w:color w:val="auto"/>
              </w:rPr>
            </w:pPr>
          </w:p>
        </w:tc>
      </w:tr>
      <w:tr>
        <w:trPr>
          <w:trHeight w:val="364"/>
        </w:trPr>
        <w:tc>
          <w:tcPr>
            <w:tcW w:w="380" w:type="dxa"/>
            <w:vAlign w:val="bottom"/>
          </w:tcPr>
          <w:p>
            <w:pPr>
              <w:spacing w:after="0"/>
              <w:rPr>
                <w:sz w:val="24"/>
                <w:szCs w:val="24"/>
                <w:color w:val="auto"/>
              </w:rPr>
            </w:pPr>
          </w:p>
        </w:tc>
        <w:tc>
          <w:tcPr>
            <w:tcW w:w="7760" w:type="dxa"/>
            <w:vAlign w:val="bottom"/>
            <w:gridSpan w:val="8"/>
          </w:tcPr>
          <w:p>
            <w:pPr>
              <w:ind w:left="40"/>
              <w:spacing w:after="0"/>
              <w:rPr>
                <w:sz w:val="20"/>
                <w:szCs w:val="20"/>
                <w:color w:val="auto"/>
              </w:rPr>
            </w:pPr>
            <w:r>
              <w:rPr>
                <w:rFonts w:ascii="Arial" w:cs="Arial" w:eastAsia="Arial" w:hAnsi="Arial"/>
                <w:sz w:val="18"/>
                <w:szCs w:val="18"/>
                <w:color w:val="auto"/>
              </w:rPr>
              <w:t>Index to Financial Statements</w:t>
            </w:r>
          </w:p>
        </w:tc>
        <w:tc>
          <w:tcPr>
            <w:tcW w:w="760" w:type="dxa"/>
            <w:vAlign w:val="bottom"/>
          </w:tcPr>
          <w:p>
            <w:pPr>
              <w:spacing w:after="0"/>
              <w:rPr>
                <w:sz w:val="24"/>
                <w:szCs w:val="24"/>
                <w:color w:val="auto"/>
              </w:rPr>
            </w:pPr>
          </w:p>
        </w:tc>
      </w:tr>
      <w:tr>
        <w:trPr>
          <w:trHeight w:val="358"/>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432"/>
        </w:trPr>
        <w:tc>
          <w:tcPr>
            <w:tcW w:w="8140" w:type="dxa"/>
            <w:vAlign w:val="bottom"/>
            <w:gridSpan w:val="9"/>
          </w:tcPr>
          <w:p>
            <w:pPr>
              <w:ind w:left="200"/>
              <w:spacing w:after="0"/>
              <w:rPr>
                <w:sz w:val="20"/>
                <w:szCs w:val="20"/>
                <w:color w:val="auto"/>
              </w:rPr>
            </w:pPr>
            <w:r>
              <w:rPr>
                <w:rFonts w:ascii="Arial" w:cs="Arial" w:eastAsia="Arial" w:hAnsi="Arial"/>
                <w:sz w:val="18"/>
                <w:szCs w:val="18"/>
                <w:color w:val="auto"/>
              </w:rPr>
              <w:t>1. Consolidated Financial Statements:</w:t>
            </w:r>
          </w:p>
        </w:tc>
        <w:tc>
          <w:tcPr>
            <w:tcW w:w="76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7760" w:type="dxa"/>
            <w:vAlign w:val="bottom"/>
            <w:gridSpan w:val="8"/>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Report of Independent Registered Public Accounting Firm</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380" w:type="dxa"/>
            <w:vAlign w:val="bottom"/>
          </w:tcPr>
          <w:p>
            <w:pPr>
              <w:spacing w:after="0"/>
              <w:rPr>
                <w:sz w:val="24"/>
                <w:szCs w:val="24"/>
                <w:color w:val="auto"/>
              </w:rPr>
            </w:pPr>
          </w:p>
        </w:tc>
        <w:tc>
          <w:tcPr>
            <w:tcW w:w="7760" w:type="dxa"/>
            <w:vAlign w:val="bottom"/>
            <w:gridSpan w:val="8"/>
          </w:tcPr>
          <w:p>
            <w:pPr>
              <w:spacing w:after="0"/>
              <w:rPr>
                <w:sz w:val="20"/>
                <w:szCs w:val="20"/>
                <w:color w:val="auto"/>
              </w:rPr>
            </w:pPr>
            <w:r>
              <w:rPr>
                <w:rFonts w:ascii="Arial" w:cs="Arial" w:eastAsia="Arial" w:hAnsi="Arial"/>
                <w:sz w:val="18"/>
                <w:szCs w:val="18"/>
                <w:color w:val="auto"/>
              </w:rPr>
              <w:t>Avnet, Inc. and Subsidiaries Consolidated Financial Statements:</w:t>
            </w:r>
          </w:p>
        </w:tc>
        <w:tc>
          <w:tcPr>
            <w:tcW w:w="76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7760" w:type="dxa"/>
            <w:vAlign w:val="bottom"/>
            <w:gridSpan w:val="8"/>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Consolidated Balance Sheets at June 27, 2020, and June 29, 2019</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92"/>
        </w:trPr>
        <w:tc>
          <w:tcPr>
            <w:tcW w:w="380" w:type="dxa"/>
            <w:vAlign w:val="bottom"/>
          </w:tcPr>
          <w:p>
            <w:pPr>
              <w:spacing w:after="0"/>
              <w:rPr>
                <w:sz w:val="24"/>
                <w:szCs w:val="24"/>
                <w:color w:val="auto"/>
              </w:rPr>
            </w:pPr>
          </w:p>
        </w:tc>
        <w:tc>
          <w:tcPr>
            <w:tcW w:w="7760" w:type="dxa"/>
            <w:vAlign w:val="bottom"/>
            <w:gridSpan w:val="8"/>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Consolidated Statements of Operations for the years ended June 27, 2020, June 29, 2019, and June 30,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740" w:type="dxa"/>
            <w:vAlign w:val="bottom"/>
            <w:gridSpan w:val="2"/>
          </w:tcPr>
          <w:p>
            <w:pPr>
              <w:ind w:left="380"/>
              <w:spacing w:after="0" w:line="196"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2018</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3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Consolidated Statements of Comprehensive Income for the years ended June 27, 2020, June 29, 2019,</w:t>
              </w:r>
            </w:hyperlink>
          </w:p>
        </w:tc>
        <w:tc>
          <w:tcPr>
            <w:tcW w:w="40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6"/>
        </w:trPr>
        <w:tc>
          <w:tcPr>
            <w:tcW w:w="380" w:type="dxa"/>
            <w:vAlign w:val="bottom"/>
          </w:tcPr>
          <w:p>
            <w:pPr>
              <w:spacing w:after="0"/>
              <w:rPr>
                <w:sz w:val="17"/>
                <w:szCs w:val="17"/>
                <w:color w:val="auto"/>
              </w:rPr>
            </w:pPr>
          </w:p>
        </w:tc>
        <w:tc>
          <w:tcPr>
            <w:tcW w:w="7760" w:type="dxa"/>
            <w:vAlign w:val="bottom"/>
            <w:gridSpan w:val="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and June 30, 2018</w:t>
              </w:r>
            </w:hyperlink>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4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Shareholders’ Equity for the years ended June 27, 2020, June 29, 2019, and</w:t>
              </w:r>
            </w:hyperlink>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96"/>
        </w:trPr>
        <w:tc>
          <w:tcPr>
            <w:tcW w:w="38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2">
              <w:r>
                <w:rPr>
                  <w:rFonts w:ascii="Arial" w:cs="Arial" w:eastAsia="Arial" w:hAnsi="Arial"/>
                  <w:sz w:val="18"/>
                  <w:szCs w:val="18"/>
                  <w:color w:val="0000EE"/>
                  <w:w w:val="85"/>
                </w:rPr>
                <w:t>June 30, 2018</w:t>
              </w:r>
            </w:hyperlink>
          </w:p>
        </w:tc>
        <w:tc>
          <w:tcPr>
            <w:tcW w:w="676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74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Consolidated Statements of Cash Flows for the years ended June 27, 2020, June 29, 2019, and June 30,</w:t>
              </w:r>
            </w:hyperlink>
          </w:p>
        </w:tc>
        <w:tc>
          <w:tcPr>
            <w:tcW w:w="34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740" w:type="dxa"/>
            <w:vAlign w:val="bottom"/>
            <w:gridSpan w:val="2"/>
          </w:tcPr>
          <w:p>
            <w:pPr>
              <w:ind w:left="380"/>
              <w:spacing w:after="0" w:line="196" w:lineRule="exact"/>
              <w:rPr>
                <w:rFonts w:ascii="Arial" w:cs="Arial" w:eastAsia="Arial" w:hAnsi="Arial"/>
                <w:sz w:val="18"/>
                <w:szCs w:val="18"/>
                <w:color w:val="0000EE"/>
                <w:w w:val="84"/>
              </w:rPr>
            </w:pPr>
            <w:hyperlink w:anchor="page43">
              <w:r>
                <w:rPr>
                  <w:rFonts w:ascii="Arial" w:cs="Arial" w:eastAsia="Arial" w:hAnsi="Arial"/>
                  <w:sz w:val="18"/>
                  <w:szCs w:val="18"/>
                  <w:color w:val="0000EE"/>
                  <w:w w:val="84"/>
                </w:rPr>
                <w:t>2018</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380" w:type="dxa"/>
            <w:vAlign w:val="bottom"/>
          </w:tcPr>
          <w:p>
            <w:pPr>
              <w:spacing w:after="0"/>
              <w:rPr>
                <w:sz w:val="24"/>
                <w:szCs w:val="24"/>
                <w:color w:val="auto"/>
              </w:rPr>
            </w:pPr>
          </w:p>
        </w:tc>
        <w:tc>
          <w:tcPr>
            <w:tcW w:w="7760" w:type="dxa"/>
            <w:vAlign w:val="bottom"/>
            <w:gridSpan w:val="8"/>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Notes to Consolidated Financial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8140" w:type="dxa"/>
            <w:vAlign w:val="bottom"/>
            <w:gridSpan w:val="9"/>
          </w:tcPr>
          <w:p>
            <w:pPr>
              <w:ind w:left="200"/>
              <w:spacing w:after="0"/>
              <w:rPr>
                <w:sz w:val="20"/>
                <w:szCs w:val="20"/>
                <w:color w:val="auto"/>
              </w:rPr>
            </w:pPr>
            <w:r>
              <w:rPr>
                <w:rFonts w:ascii="Arial" w:cs="Arial" w:eastAsia="Arial" w:hAnsi="Arial"/>
                <w:sz w:val="18"/>
                <w:szCs w:val="18"/>
                <w:color w:val="auto"/>
              </w:rPr>
              <w:t>2. Financial Statement Schedule:</w:t>
            </w:r>
          </w:p>
        </w:tc>
        <w:tc>
          <w:tcPr>
            <w:tcW w:w="760" w:type="dxa"/>
            <w:vAlign w:val="bottom"/>
          </w:tcPr>
          <w:p>
            <w:pPr>
              <w:spacing w:after="0"/>
              <w:rPr>
                <w:sz w:val="24"/>
                <w:szCs w:val="24"/>
                <w:color w:val="auto"/>
              </w:rPr>
            </w:pPr>
          </w:p>
        </w:tc>
      </w:tr>
      <w:tr>
        <w:trPr>
          <w:trHeight w:val="391"/>
        </w:trPr>
        <w:tc>
          <w:tcPr>
            <w:tcW w:w="380" w:type="dxa"/>
            <w:vAlign w:val="bottom"/>
          </w:tcPr>
          <w:p>
            <w:pPr>
              <w:spacing w:after="0"/>
              <w:rPr>
                <w:sz w:val="24"/>
                <w:szCs w:val="24"/>
                <w:color w:val="auto"/>
              </w:rPr>
            </w:pPr>
          </w:p>
        </w:tc>
        <w:tc>
          <w:tcPr>
            <w:tcW w:w="74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Schedule II (Valuation and Qualifying Accounts) for the years ended June 27, 2020, June 29, 2019, and</w:t>
              </w:r>
            </w:hyperlink>
          </w:p>
        </w:tc>
        <w:tc>
          <w:tcPr>
            <w:tcW w:w="32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196"/>
        </w:trPr>
        <w:tc>
          <w:tcPr>
            <w:tcW w:w="38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82">
              <w:r>
                <w:rPr>
                  <w:rFonts w:ascii="Arial" w:cs="Arial" w:eastAsia="Arial" w:hAnsi="Arial"/>
                  <w:sz w:val="18"/>
                  <w:szCs w:val="18"/>
                  <w:color w:val="0000EE"/>
                  <w:w w:val="85"/>
                </w:rPr>
                <w:t>June 30, 2018</w:t>
              </w:r>
            </w:hyperlink>
          </w:p>
        </w:tc>
        <w:tc>
          <w:tcPr>
            <w:tcW w:w="676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r>
    </w:tbl>
    <w:p>
      <w:pPr>
        <w:spacing w:after="0" w:line="229" w:lineRule="exact"/>
        <w:rPr>
          <w:sz w:val="20"/>
          <w:szCs w:val="20"/>
          <w:color w:val="auto"/>
        </w:rPr>
      </w:pPr>
    </w:p>
    <w:p>
      <w:pPr>
        <w:ind w:left="440" w:right="1539"/>
        <w:spacing w:after="0" w:line="277" w:lineRule="auto"/>
        <w:rPr>
          <w:sz w:val="20"/>
          <w:szCs w:val="20"/>
          <w:color w:val="auto"/>
        </w:rPr>
      </w:pPr>
      <w:r>
        <w:rPr>
          <w:rFonts w:ascii="Arial" w:cs="Arial" w:eastAsia="Arial" w:hAnsi="Arial"/>
          <w:sz w:val="18"/>
          <w:szCs w:val="18"/>
          <w:color w:val="auto"/>
        </w:rPr>
        <w:t>Schedules other than that above have been omitted because they are not applicable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24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Shareholders and Board of Directors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Avnet, Inc.:</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58" w:lineRule="exact"/>
        <w:rPr>
          <w:sz w:val="20"/>
          <w:szCs w:val="20"/>
          <w:color w:val="auto"/>
        </w:rPr>
      </w:pPr>
    </w:p>
    <w:p>
      <w:pPr>
        <w:ind w:left="60" w:right="219"/>
        <w:spacing w:after="0" w:line="346" w:lineRule="auto"/>
        <w:rPr>
          <w:sz w:val="20"/>
          <w:szCs w:val="20"/>
          <w:color w:val="auto"/>
        </w:rPr>
      </w:pPr>
      <w:r>
        <w:rPr>
          <w:rFonts w:ascii="Arial" w:cs="Arial" w:eastAsia="Arial" w:hAnsi="Arial"/>
          <w:sz w:val="16"/>
          <w:szCs w:val="16"/>
          <w:color w:val="auto"/>
        </w:rPr>
        <w:t xml:space="preserve">We have audited the accompanying consolidated balance sheets of Avnet, Inc. and subsidiaries (the Company) as of June 27, 2020, and June 29, 2019, the related consolidated statements of operations, comprehensive income, shareholders’ equity, and cash flows for each of the years in the three-year period ended June 27, 2020, and the related notes and financial statement schedule II (collectively, the consolidated financial statements). We also have audited the Company’s internal control over financial reporting as of June 27, 2020,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w:t>
      </w:r>
    </w:p>
    <w:p>
      <w:pPr>
        <w:spacing w:after="0" w:line="56" w:lineRule="exact"/>
        <w:rPr>
          <w:sz w:val="20"/>
          <w:szCs w:val="20"/>
          <w:color w:val="auto"/>
        </w:rPr>
      </w:pPr>
    </w:p>
    <w:p>
      <w:pPr>
        <w:ind w:left="60" w:right="239"/>
        <w:spacing w:after="0" w:line="323"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June 27, 2020, and June 29, 2019, and the results of its operations and its cash flows for each of the years in the three-year period ended June 27, 2020, in conformity with U.S. generally accepted accounting principles. Also in our opinion, the Company maintained, in all material respects, effective internal control over financial reporting as of June 27,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Accounting Principles</w:t>
      </w:r>
    </w:p>
    <w:p>
      <w:pPr>
        <w:spacing w:after="0" w:line="158" w:lineRule="exact"/>
        <w:rPr>
          <w:sz w:val="20"/>
          <w:szCs w:val="20"/>
          <w:color w:val="auto"/>
        </w:rPr>
      </w:pPr>
    </w:p>
    <w:p>
      <w:pPr>
        <w:ind w:left="60" w:right="219"/>
        <w:spacing w:after="0" w:line="310" w:lineRule="auto"/>
        <w:rPr>
          <w:sz w:val="20"/>
          <w:szCs w:val="20"/>
          <w:color w:val="auto"/>
        </w:rPr>
      </w:pPr>
      <w:r>
        <w:rPr>
          <w:rFonts w:ascii="Arial" w:cs="Arial" w:eastAsia="Arial" w:hAnsi="Arial"/>
          <w:sz w:val="18"/>
          <w:szCs w:val="18"/>
          <w:color w:val="auto"/>
        </w:rPr>
        <w:t>As discussed in Note 1 to the consolidated financial statements, the Company has changed its method of accounting for leases in 2020, due to the adoption of Financial Accounting Standards Board’s Accounting Standards Codification (ASC) Topic 842</w:t>
      </w:r>
      <w:r>
        <w:rPr>
          <w:rFonts w:ascii="Arial" w:cs="Arial" w:eastAsia="Arial" w:hAnsi="Arial"/>
          <w:sz w:val="18"/>
          <w:szCs w:val="18"/>
          <w:i w:val="1"/>
          <w:iCs w:val="1"/>
          <w:color w:val="auto"/>
        </w:rPr>
        <w:t>, Leases</w:t>
      </w:r>
      <w:r>
        <w:rPr>
          <w:rFonts w:ascii="Arial" w:cs="Arial" w:eastAsia="Arial" w:hAnsi="Arial"/>
          <w:sz w:val="18"/>
          <w:szCs w:val="18"/>
          <w:color w:val="auto"/>
        </w:rPr>
        <w:t>.</w:t>
      </w:r>
    </w:p>
    <w:p>
      <w:pPr>
        <w:spacing w:after="0" w:line="75" w:lineRule="exact"/>
        <w:rPr>
          <w:sz w:val="20"/>
          <w:szCs w:val="20"/>
          <w:color w:val="auto"/>
        </w:rPr>
      </w:pPr>
    </w:p>
    <w:p>
      <w:pPr>
        <w:ind w:left="60" w:right="179"/>
        <w:spacing w:after="0" w:line="310"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revenue in 2019, due to the adoption of Financial Accounting Standards Board’s ASC Topic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Opinions</w:t>
      </w:r>
    </w:p>
    <w:p>
      <w:pPr>
        <w:spacing w:after="0" w:line="158" w:lineRule="exact"/>
        <w:rPr>
          <w:sz w:val="20"/>
          <w:szCs w:val="20"/>
          <w:color w:val="auto"/>
        </w:rPr>
      </w:pPr>
    </w:p>
    <w:p>
      <w:pPr>
        <w:ind w:left="60" w:right="79"/>
        <w:spacing w:after="0" w:line="301" w:lineRule="auto"/>
        <w:rPr>
          <w:sz w:val="20"/>
          <w:szCs w:val="20"/>
          <w:color w:val="auto"/>
        </w:rPr>
      </w:pPr>
      <w:r>
        <w:rPr>
          <w:rFonts w:ascii="Arial" w:cs="Arial" w:eastAsia="Arial" w:hAnsi="Arial"/>
          <w:sz w:val="18"/>
          <w:szCs w:val="18"/>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ind w:left="60" w:right="139"/>
        <w:spacing w:after="0" w:line="30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8" w:lineRule="exact"/>
        <w:rPr>
          <w:sz w:val="20"/>
          <w:szCs w:val="20"/>
          <w:color w:val="auto"/>
        </w:rPr>
      </w:pPr>
    </w:p>
    <w:p>
      <w:pPr>
        <w:ind w:left="60" w:right="119"/>
        <w:spacing w:after="0" w:line="34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99"/>
        <w:spacing w:after="0" w:line="304" w:lineRule="auto"/>
        <w:rPr>
          <w:sz w:val="20"/>
          <w:szCs w:val="20"/>
          <w:color w:val="auto"/>
        </w:rPr>
      </w:pPr>
      <w:r>
        <w:rPr>
          <w:rFonts w:ascii="Arial" w:cs="Arial" w:eastAsia="Arial" w:hAnsi="Arial"/>
          <w:sz w:val="18"/>
          <w:szCs w:val="18"/>
          <w:color w:val="auto"/>
        </w:rPr>
        <w:t>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58"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jc w:val="both"/>
        <w:ind w:left="60" w:right="159"/>
        <w:spacing w:after="0" w:line="36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Matters</w:t>
      </w:r>
    </w:p>
    <w:p>
      <w:pPr>
        <w:spacing w:after="0" w:line="158" w:lineRule="exact"/>
        <w:rPr>
          <w:sz w:val="20"/>
          <w:szCs w:val="20"/>
          <w:color w:val="auto"/>
        </w:rPr>
      </w:pPr>
    </w:p>
    <w:p>
      <w:pPr>
        <w:ind w:left="60" w:right="159"/>
        <w:spacing w:after="0" w:line="301"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Evaluation of accounting for income taxes</w:t>
      </w:r>
    </w:p>
    <w:p>
      <w:pPr>
        <w:spacing w:after="0" w:line="158" w:lineRule="exact"/>
        <w:rPr>
          <w:sz w:val="20"/>
          <w:szCs w:val="20"/>
          <w:color w:val="auto"/>
        </w:rPr>
      </w:pPr>
    </w:p>
    <w:p>
      <w:pPr>
        <w:ind w:left="700" w:right="99"/>
        <w:spacing w:after="0" w:line="346" w:lineRule="auto"/>
        <w:rPr>
          <w:sz w:val="20"/>
          <w:szCs w:val="20"/>
          <w:color w:val="auto"/>
        </w:rPr>
      </w:pPr>
      <w:r>
        <w:rPr>
          <w:rFonts w:ascii="Arial" w:cs="Arial" w:eastAsia="Arial" w:hAnsi="Arial"/>
          <w:sz w:val="16"/>
          <w:szCs w:val="16"/>
          <w:color w:val="auto"/>
        </w:rPr>
        <w:t>As discussed in Notes 1 and 9 to the consolidated financial statements, the Company recognized $121.2 million of deferred tax assets, net and income tax benefit of $98.6 million as of and for the year ended June 27, 2020. Additionally, as discussed in Note 8, the Company recognized accrued income taxes of $34.6 million as of June 27, 2020. The Company conducts business globally and consequently is subject to U.S. federal, state, and local income taxes as well as foreign income taxes in many of the jurisdictions in which it operates. The Company exercises judgment for the interpretation and application of such current tax regulations.</w:t>
      </w:r>
    </w:p>
    <w:p>
      <w:pPr>
        <w:spacing w:after="0" w:line="56" w:lineRule="exact"/>
        <w:rPr>
          <w:sz w:val="20"/>
          <w:szCs w:val="20"/>
          <w:color w:val="auto"/>
        </w:rPr>
      </w:pPr>
    </w:p>
    <w:p>
      <w:pPr>
        <w:ind w:left="700" w:right="279"/>
        <w:spacing w:after="0" w:line="306" w:lineRule="auto"/>
        <w:rPr>
          <w:sz w:val="20"/>
          <w:szCs w:val="20"/>
          <w:color w:val="auto"/>
        </w:rPr>
      </w:pPr>
      <w:r>
        <w:rPr>
          <w:rFonts w:ascii="Arial" w:cs="Arial" w:eastAsia="Arial" w:hAnsi="Arial"/>
          <w:sz w:val="18"/>
          <w:szCs w:val="18"/>
          <w:color w:val="auto"/>
        </w:rPr>
        <w:t>We identified the evaluation of the accounting for income taxes as a critical audit matter. Evaluating the Company’s application of current tax regulations in various foreign jurisdictions and the impact of those regulations on foreign, U.S. federal and state income tax provisions requires complex auditor judgment, and the use of tax professionals with specialized skills.</w:t>
      </w:r>
    </w:p>
    <w:p>
      <w:pPr>
        <w:spacing w:after="0" w:line="78" w:lineRule="exact"/>
        <w:rPr>
          <w:sz w:val="20"/>
          <w:szCs w:val="20"/>
          <w:color w:val="auto"/>
        </w:rPr>
      </w:pPr>
    </w:p>
    <w:p>
      <w:pPr>
        <w:ind w:left="700" w:right="419"/>
        <w:spacing w:after="0" w:line="395"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over the Company’s income tax</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700" w:right="279"/>
        <w:spacing w:after="0" w:line="304" w:lineRule="auto"/>
        <w:rPr>
          <w:sz w:val="20"/>
          <w:szCs w:val="20"/>
          <w:color w:val="auto"/>
        </w:rPr>
      </w:pPr>
      <w:r>
        <w:rPr>
          <w:rFonts w:ascii="Arial" w:cs="Arial" w:eastAsia="Arial" w:hAnsi="Arial"/>
          <w:sz w:val="18"/>
          <w:szCs w:val="18"/>
          <w:color w:val="auto"/>
        </w:rPr>
        <w:t>process, including controls over the application of current tax regulations in the Company’s various tax jurisdictions and impact on the Company’s tax provisions. We involved tax professionals with specialized skills and knowledge in various tax jurisdictions, who assisted in evaluating the Company’s analyses over the application of current tax regulations and assessing the Company’s interpretation of tax laws and regulations in those jurisdictions.</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Assessment of goodwill impairment</w:t>
      </w:r>
    </w:p>
    <w:p>
      <w:pPr>
        <w:spacing w:after="0" w:line="158" w:lineRule="exact"/>
        <w:rPr>
          <w:sz w:val="20"/>
          <w:szCs w:val="20"/>
          <w:color w:val="auto"/>
        </w:rPr>
      </w:pPr>
    </w:p>
    <w:p>
      <w:pPr>
        <w:ind w:left="700" w:right="99"/>
        <w:spacing w:after="0" w:line="300" w:lineRule="auto"/>
        <w:rPr>
          <w:sz w:val="20"/>
          <w:szCs w:val="20"/>
          <w:color w:val="auto"/>
        </w:rPr>
      </w:pPr>
      <w:r>
        <w:rPr>
          <w:rFonts w:ascii="Arial" w:cs="Arial" w:eastAsia="Arial" w:hAnsi="Arial"/>
          <w:sz w:val="18"/>
          <w:szCs w:val="18"/>
          <w:color w:val="auto"/>
        </w:rPr>
        <w:t>As discussed in Notes 1 and 6 to the consolidated financial statements, the Company’s goodwill balance was $773.7 million as of June 27, 2020. The Company performs goodwill testing on an annual basis and evaluates each quarter if facts and circumstances indicate that it is more likely than not that the fair value of its reporting units is less than its carrying value, which would require the Company to perform an interim goodwill impairment test. The Company performed an interim goodwill impairment test as of March 28, 2020 as the Company identified indicators that goodwill was potentially not recoverable and recognized $118.7 million of goodwill impairment expense for the year ended June 27, 2020. The Company uses a combination of an income approach, specifically a discounted cash flow methodology, and a market approach to estimate the fair value of its reporting units.</w:t>
      </w:r>
    </w:p>
    <w:p>
      <w:pPr>
        <w:spacing w:after="0" w:line="88" w:lineRule="exact"/>
        <w:rPr>
          <w:sz w:val="20"/>
          <w:szCs w:val="20"/>
          <w:color w:val="auto"/>
        </w:rPr>
      </w:pPr>
    </w:p>
    <w:p>
      <w:pPr>
        <w:ind w:left="700" w:right="279"/>
        <w:spacing w:after="0" w:line="354" w:lineRule="auto"/>
        <w:rPr>
          <w:sz w:val="20"/>
          <w:szCs w:val="20"/>
          <w:color w:val="auto"/>
        </w:rPr>
      </w:pPr>
      <w:r>
        <w:rPr>
          <w:rFonts w:ascii="Arial" w:cs="Arial" w:eastAsia="Arial" w:hAnsi="Arial"/>
          <w:sz w:val="16"/>
          <w:szCs w:val="16"/>
          <w:color w:val="auto"/>
        </w:rPr>
        <w:t>We identified the assessment of goodwill impairment as a critical audit matter. Evaluating the Company’s assessment of the fair value of each reporting unit’s goodwill required complex auditor judgement. Specifically, the key assumptions in the assessment are future operating results, including forecasted sales, gross profit margins, operating expenses, growth rates, and discount rates used to measure the reporting units’ fair values.</w:t>
      </w:r>
    </w:p>
    <w:p>
      <w:pPr>
        <w:spacing w:after="0" w:line="48" w:lineRule="exact"/>
        <w:rPr>
          <w:sz w:val="20"/>
          <w:szCs w:val="20"/>
          <w:color w:val="auto"/>
        </w:rPr>
      </w:pPr>
    </w:p>
    <w:p>
      <w:pPr>
        <w:ind w:left="700" w:right="119"/>
        <w:spacing w:after="0" w:line="321"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goodwill impairment assessment process, including controls over the determination of the fair value of the reporting units, and controls over the key assumptions described above. We performed sensitivity analyses over the fair value model and forecasted sales, gross profit margins, and operating expenses to assess their impact on the Company’s determination of the fair value of each reporting unit and compared the future operating results and historical growth rates to actual results. In addition, we involved valuation professionals with specialized skills and knowledge, who assisted in:</w:t>
      </w:r>
    </w:p>
    <w:p>
      <w:pPr>
        <w:spacing w:after="0" w:line="68" w:lineRule="exact"/>
        <w:rPr>
          <w:sz w:val="20"/>
          <w:szCs w:val="20"/>
          <w:color w:val="auto"/>
        </w:rPr>
      </w:pPr>
    </w:p>
    <w:p>
      <w:pPr>
        <w:ind w:left="1020" w:right="299" w:hanging="322"/>
        <w:spacing w:after="0" w:line="32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Comparing the future operating results to industry data, economic growth data, and growth rates utilized in prior years’ valuation analyses by the Company; and</w:t>
      </w:r>
    </w:p>
    <w:p>
      <w:pPr>
        <w:spacing w:after="0" w:line="62" w:lineRule="exact"/>
        <w:rPr>
          <w:rFonts w:ascii="Arial" w:cs="Arial" w:eastAsia="Arial" w:hAnsi="Arial"/>
          <w:sz w:val="18"/>
          <w:szCs w:val="18"/>
          <w:color w:val="auto"/>
        </w:rPr>
      </w:pPr>
    </w:p>
    <w:p>
      <w:pPr>
        <w:ind w:left="1020" w:right="359" w:hanging="322"/>
        <w:spacing w:after="0" w:line="32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Comparing the Company’s discount rates to discount rate ranges that were independently developed using publicly available third-party market data for comparable entities.</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2002.</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14,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29,</w:t>
            </w:r>
          </w:p>
        </w:tc>
        <w:tc>
          <w:tcPr>
            <w:tcW w:w="0" w:type="dxa"/>
            <w:vAlign w:val="bottom"/>
          </w:tcPr>
          <w:p>
            <w:pPr>
              <w:spacing w:after="0"/>
              <w:rPr>
                <w:sz w:val="1"/>
                <w:szCs w:val="1"/>
                <w:color w:val="auto"/>
              </w:rPr>
            </w:pPr>
          </w:p>
        </w:tc>
      </w:tr>
      <w:tr>
        <w:trPr>
          <w:trHeight w:val="241"/>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80"/>
              </w:rPr>
              <w:t>(Thousands,</w:t>
            </w:r>
          </w:p>
        </w:tc>
        <w:tc>
          <w:tcPr>
            <w:tcW w:w="220" w:type="dxa"/>
            <w:vAlign w:val="bottom"/>
            <w:gridSpan w:val="2"/>
          </w:tcPr>
          <w:p>
            <w:pPr>
              <w:spacing w:after="0"/>
              <w:rPr>
                <w:sz w:val="16"/>
                <w:szCs w:val="16"/>
                <w:color w:val="auto"/>
              </w:rPr>
            </w:pPr>
          </w:p>
        </w:tc>
        <w:tc>
          <w:tcPr>
            <w:tcW w:w="1000" w:type="dxa"/>
            <w:vAlign w:val="bottom"/>
            <w:gridSpan w:val="2"/>
          </w:tcPr>
          <w:p>
            <w:pPr>
              <w:spacing w:after="0" w:line="184" w:lineRule="exact"/>
              <w:rPr>
                <w:sz w:val="20"/>
                <w:szCs w:val="20"/>
                <w:color w:val="auto"/>
              </w:rPr>
            </w:pPr>
            <w:r>
              <w:rPr>
                <w:rFonts w:ascii="Arial" w:cs="Arial" w:eastAsia="Arial" w:hAnsi="Arial"/>
                <w:sz w:val="18"/>
                <w:szCs w:val="18"/>
                <w:b w:val="1"/>
                <w:bCs w:val="1"/>
                <w:color w:val="auto"/>
                <w:w w:val="89"/>
              </w:rPr>
              <w:t>except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6"/>
          </w:tcPr>
          <w:p>
            <w:pPr>
              <w:ind w:left="64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477,038</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Receivables, less allowances of $59,018 and $53,499, respectively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2,928,386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3,168,369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2,731,988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3,008,424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191,394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6,328,806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6,876,336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404,607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assets (Note 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256,696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215,801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8,105,197</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8,564,556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Short-term debt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1,754,078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1,864,342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472,924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Short-term operating lease liabilities (Note 11)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00" w:type="dxa"/>
            <w:vAlign w:val="bottom"/>
            <w:tcBorders>
              <w:top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2,280,366</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2,578,576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1,424,791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1,419,922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Long-term operating lease liabilities (Note 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253,719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419,923</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425,585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4,378,799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4,424,083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Common stock $1.00 par; authorized 300,000,000 shares; issued 98,792,542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104,037,769 shares, respectively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98,793</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1,594,140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1,573,005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2,421,845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2,767,469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(388,380)</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(304,039)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3,726,398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4,140,473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8,105,197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8,564,556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Years Ended</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7"/>
              </w:rPr>
              <w:t>June 27,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June 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360"/>
              <w:spacing w:after="0" w:line="202" w:lineRule="exact"/>
              <w:rPr>
                <w:sz w:val="20"/>
                <w:szCs w:val="20"/>
                <w:color w:val="auto"/>
              </w:rPr>
            </w:pPr>
            <w:r>
              <w:rPr>
                <w:rFonts w:ascii="Arial" w:cs="Arial" w:eastAsia="Arial" w:hAnsi="Arial"/>
                <w:sz w:val="18"/>
                <w:szCs w:val="18"/>
                <w:b w:val="1"/>
                <w:bCs w:val="1"/>
                <w:color w:val="auto"/>
                <w:w w:val="76"/>
              </w:rPr>
              <w:t>(Thousands,</w:t>
            </w:r>
          </w:p>
        </w:tc>
        <w:tc>
          <w:tcPr>
            <w:tcW w:w="1460" w:type="dxa"/>
            <w:vAlign w:val="bottom"/>
            <w:gridSpan w:val="3"/>
          </w:tcPr>
          <w:p>
            <w:pPr>
              <w:ind w:left="140"/>
              <w:spacing w:after="0" w:line="202" w:lineRule="exact"/>
              <w:rPr>
                <w:sz w:val="20"/>
                <w:szCs w:val="20"/>
                <w:color w:val="auto"/>
              </w:rPr>
            </w:pPr>
            <w:r>
              <w:rPr>
                <w:rFonts w:ascii="Arial" w:cs="Arial" w:eastAsia="Arial" w:hAnsi="Arial"/>
                <w:sz w:val="18"/>
                <w:szCs w:val="18"/>
                <w:b w:val="1"/>
                <w:bCs w:val="1"/>
                <w:color w:val="auto"/>
                <w:w w:val="90"/>
              </w:rPr>
              <w:t>except per share</w:t>
            </w:r>
          </w:p>
        </w:tc>
        <w:tc>
          <w:tcPr>
            <w:tcW w:w="1240" w:type="dxa"/>
            <w:vAlign w:val="bottom"/>
            <w:gridSpan w:val="2"/>
          </w:tcPr>
          <w:p>
            <w:pPr>
              <w:jc w:val="right"/>
              <w:ind w:right="450"/>
              <w:spacing w:after="0" w:line="202" w:lineRule="exact"/>
              <w:rPr>
                <w:sz w:val="20"/>
                <w:szCs w:val="20"/>
                <w:color w:val="auto"/>
              </w:rPr>
            </w:pPr>
            <w:r>
              <w:rPr>
                <w:rFonts w:ascii="Arial" w:cs="Arial" w:eastAsia="Arial" w:hAnsi="Arial"/>
                <w:sz w:val="18"/>
                <w:szCs w:val="18"/>
                <w:b w:val="1"/>
                <w:bCs w:val="1"/>
                <w:color w:val="auto"/>
                <w:w w:val="83"/>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17,634,333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19,518,592</w:t>
            </w:r>
          </w:p>
        </w:tc>
        <w:tc>
          <w:tcPr>
            <w:tcW w:w="4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19,036,892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15,570,877</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17,032,490</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16,509,708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2,063,456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2,486,102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1,842,122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1,874,651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 impairment expenses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Restructuring, integration and other expenses</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81,870</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108,144</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28,606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financing expenses, net</w:t>
            </w:r>
          </w:p>
        </w:tc>
        <w:tc>
          <w:tcPr>
            <w:tcW w:w="4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(122,742)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(134,874)</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3" w:lineRule="exact"/>
              <w:rPr>
                <w:sz w:val="20"/>
                <w:szCs w:val="20"/>
                <w:color w:val="auto"/>
              </w:rPr>
            </w:pPr>
            <w:r>
              <w:rPr>
                <w:rFonts w:ascii="Arial" w:cs="Arial" w:eastAsia="Arial" w:hAnsi="Arial"/>
                <w:sz w:val="18"/>
                <w:szCs w:val="18"/>
                <w:color w:val="auto"/>
              </w:rPr>
              <w:t>Income (loss) from continuing operations before taxes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(128,107)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242,268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145,077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4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62,157</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3" w:lineRule="exact"/>
              <w:rPr>
                <w:sz w:val="20"/>
                <w:szCs w:val="20"/>
                <w:color w:val="auto"/>
              </w:rPr>
            </w:pPr>
            <w:r>
              <w:rPr>
                <w:rFonts w:ascii="Arial" w:cs="Arial" w:eastAsia="Arial" w:hAnsi="Arial"/>
                <w:sz w:val="18"/>
                <w:szCs w:val="18"/>
                <w:color w:val="auto"/>
              </w:rPr>
              <w:t>Income (loss) from continuing operations, net of tax</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(29,533)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180,111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(142,889)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4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(13,535)</w:t>
            </w:r>
          </w:p>
        </w:tc>
        <w:tc>
          <w:tcPr>
            <w:tcW w:w="0" w:type="dxa"/>
            <w:vAlign w:val="bottom"/>
          </w:tcPr>
          <w:p>
            <w:pPr>
              <w:spacing w:after="0"/>
              <w:rPr>
                <w:sz w:val="1"/>
                <w:szCs w:val="1"/>
                <w:color w:val="auto"/>
              </w:rPr>
            </w:pPr>
          </w:p>
        </w:tc>
      </w:tr>
      <w:tr>
        <w:trPr>
          <w:trHeight w:val="243"/>
        </w:trPr>
        <w:tc>
          <w:tcPr>
            <w:tcW w:w="4360" w:type="dxa"/>
            <w:vAlign w:val="bottom"/>
            <w:gridSpan w:val="2"/>
          </w:tcPr>
          <w:p>
            <w:pPr>
              <w:spacing w:after="0" w:line="203" w:lineRule="exact"/>
              <w:rPr>
                <w:sz w:val="20"/>
                <w:szCs w:val="20"/>
                <w:color w:val="auto"/>
              </w:rPr>
            </w:pPr>
            <w:r>
              <w:rPr>
                <w:rFonts w:ascii="Arial" w:cs="Arial" w:eastAsia="Arial" w:hAnsi="Arial"/>
                <w:sz w:val="18"/>
                <w:szCs w:val="18"/>
                <w:color w:val="auto"/>
              </w:rPr>
              <w:t>Net (loss) income</w:t>
            </w:r>
          </w:p>
        </w:tc>
        <w:tc>
          <w:tcPr>
            <w:tcW w:w="46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(31,081)</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176,337</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(156,424)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Earnings (loss) per share - basic:</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Discontinued operations</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(loss) income per share basic</w:t>
            </w:r>
          </w:p>
        </w:tc>
        <w:tc>
          <w:tcPr>
            <w:tcW w:w="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diluted:</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Discontinued operations</w:t>
            </w:r>
          </w:p>
        </w:tc>
        <w:tc>
          <w:tcPr>
            <w:tcW w:w="4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Borders>
              <w:bottom w:val="single" w:sz="8" w:color="CCEEFF"/>
            </w:tcBorders>
          </w:tcPr>
          <w:p>
            <w:pPr>
              <w:ind w:left="80"/>
              <w:spacing w:after="0" w:line="203" w:lineRule="exact"/>
              <w:rPr>
                <w:sz w:val="20"/>
                <w:szCs w:val="20"/>
                <w:color w:val="auto"/>
              </w:rPr>
            </w:pPr>
            <w:r>
              <w:rPr>
                <w:rFonts w:ascii="Arial" w:cs="Arial" w:eastAsia="Arial" w:hAnsi="Arial"/>
                <w:sz w:val="18"/>
                <w:szCs w:val="18"/>
                <w:color w:val="auto"/>
              </w:rPr>
              <w:t>Net (loss) income per share diluted</w:t>
            </w:r>
          </w:p>
        </w:tc>
        <w:tc>
          <w:tcPr>
            <w:tcW w:w="4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Shares used to compute earnings per share: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100,474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110,798</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119,909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dividends paid per common share</w:t>
            </w: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0.84</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4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June 27,</w:t>
            </w:r>
          </w:p>
        </w:tc>
        <w:tc>
          <w:tcPr>
            <w:tcW w:w="180" w:type="dxa"/>
            <w:vAlign w:val="bottom"/>
          </w:tcPr>
          <w:p>
            <w:pPr>
              <w:spacing w:after="0"/>
              <w:rPr>
                <w:sz w:val="17"/>
                <w:szCs w:val="17"/>
                <w:color w:val="auto"/>
              </w:rPr>
            </w:pPr>
          </w:p>
        </w:tc>
        <w:tc>
          <w:tcPr>
            <w:tcW w:w="94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88"/>
              </w:rPr>
              <w:t>June 29,</w:t>
            </w:r>
          </w:p>
        </w:tc>
        <w:tc>
          <w:tcPr>
            <w:tcW w:w="40" w:type="dxa"/>
            <w:vAlign w:val="bottom"/>
          </w:tcPr>
          <w:p>
            <w:pPr>
              <w:spacing w:after="0"/>
              <w:rPr>
                <w:sz w:val="17"/>
                <w:szCs w:val="17"/>
                <w:color w:val="auto"/>
              </w:rPr>
            </w:pPr>
          </w:p>
        </w:tc>
        <w:tc>
          <w:tcPr>
            <w:tcW w:w="88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7"/>
                <w:szCs w:val="17"/>
                <w:color w:val="auto"/>
              </w:rPr>
            </w:pPr>
          </w:p>
        </w:tc>
      </w:tr>
      <w:tr>
        <w:trPr>
          <w:trHeight w:val="241"/>
        </w:trPr>
        <w:tc>
          <w:tcPr>
            <w:tcW w:w="4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r>
      <w:tr>
        <w:trPr>
          <w:trHeight w:val="203"/>
        </w:trPr>
        <w:tc>
          <w:tcPr>
            <w:tcW w:w="4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74"/>
              </w:rPr>
              <w:t>(Thousands)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176,337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(156,424)</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(63,621)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60" w:type="dxa"/>
            <w:vAlign w:val="bottom"/>
            <w:shd w:val="clear" w:color="auto" w:fill="CCEEFF"/>
          </w:tcPr>
          <w:p>
            <w:pPr>
              <w:spacing w:after="0"/>
              <w:rPr>
                <w:sz w:val="18"/>
                <w:szCs w:val="18"/>
                <w:color w:val="auto"/>
              </w:rPr>
            </w:pPr>
          </w:p>
        </w:tc>
      </w:tr>
      <w:tr>
        <w:trPr>
          <w:trHeight w:val="223"/>
        </w:trPr>
        <w:tc>
          <w:tcPr>
            <w:tcW w:w="4660" w:type="dxa"/>
            <w:vAlign w:val="bottom"/>
          </w:tcPr>
          <w:p>
            <w:pPr>
              <w:ind w:left="100"/>
              <w:spacing w:after="0"/>
              <w:rPr>
                <w:sz w:val="20"/>
                <w:szCs w:val="20"/>
                <w:color w:val="auto"/>
              </w:rPr>
            </w:pPr>
            <w:r>
              <w:rPr>
                <w:rFonts w:ascii="Arial" w:cs="Arial" w:eastAsia="Arial" w:hAnsi="Arial"/>
                <w:sz w:val="18"/>
                <w:szCs w:val="18"/>
                <w:color w:val="auto"/>
              </w:rPr>
              <w:t>Pension adjustments, net</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(45,067)</w:t>
            </w: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40,716</w:t>
            </w:r>
          </w:p>
        </w:tc>
        <w:tc>
          <w:tcPr>
            <w:tcW w:w="60" w:type="dxa"/>
            <w:vAlign w:val="bottom"/>
          </w:tcPr>
          <w:p>
            <w:pPr>
              <w:spacing w:after="0"/>
              <w:rPr>
                <w:sz w:val="19"/>
                <w:szCs w:val="19"/>
                <w:color w:val="auto"/>
              </w:rPr>
            </w:pPr>
          </w:p>
        </w:tc>
      </w:tr>
      <w:tr>
        <w:trPr>
          <w:trHeight w:val="216"/>
        </w:trPr>
        <w:tc>
          <w:tcPr>
            <w:tcW w:w="4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(loss) income</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(115,422)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(107,909)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jc w:val="center"/>
        <w:ind w:left="60" w:right="79"/>
        <w:spacing w:after="0" w:line="313" w:lineRule="auto"/>
        <w:rPr>
          <w:sz w:val="20"/>
          <w:szCs w:val="20"/>
          <w:color w:val="auto"/>
        </w:rPr>
      </w:pPr>
      <w:r>
        <w:rPr>
          <w:rFonts w:ascii="Arial" w:cs="Arial" w:eastAsia="Arial" w:hAnsi="Arial"/>
          <w:sz w:val="18"/>
          <w:szCs w:val="18"/>
          <w:b w:val="1"/>
          <w:bCs w:val="1"/>
          <w:color w:val="auto"/>
        </w:rPr>
        <w:t>AVNET, INC. AND SUBSIDIARIES CONSOLIDATED STATEMENTS OF SHAREHOLDERS’ EQUITY Years Ended June 27, 2020, June 29, 2019 and June 30, 2018</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7"/>
              </w:rPr>
              <w:t>Additional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r>
      <w:tr>
        <w:trPr>
          <w:trHeight w:val="216"/>
        </w:trPr>
        <w:tc>
          <w:tcPr>
            <w:tcW w:w="27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Stock-</w:t>
            </w:r>
          </w:p>
        </w:tc>
        <w:tc>
          <w:tcPr>
            <w:tcW w:w="1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Paid-In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7"/>
              </w:rPr>
              <w:t>Shareholders’</w:t>
            </w:r>
          </w:p>
        </w:tc>
      </w:tr>
      <w:tr>
        <w:trPr>
          <w:trHeight w:val="229"/>
        </w:trPr>
        <w:tc>
          <w:tcPr>
            <w:tcW w:w="27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9"/>
                <w:szCs w:val="19"/>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Capital</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(Loss) Income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Equity</w:t>
            </w:r>
          </w:p>
        </w:tc>
      </w:tr>
      <w:tr>
        <w:trPr>
          <w:trHeight w:val="203"/>
        </w:trPr>
        <w:tc>
          <w:tcPr>
            <w:tcW w:w="27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87"/>
              </w:rPr>
              <w:t>(Thousands)</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July 1, 2017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123,081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$ 1,503,490</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3,799,363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(243,866)</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5,182,068</w:t>
            </w:r>
          </w:p>
        </w:tc>
        <w:tc>
          <w:tcPr>
            <w:tcW w:w="60" w:type="dxa"/>
            <w:vAlign w:val="bottom"/>
            <w:shd w:val="clear" w:color="auto" w:fill="CCEEFF"/>
          </w:tcPr>
          <w:p>
            <w:pPr>
              <w:spacing w:after="0"/>
              <w:rPr>
                <w:sz w:val="18"/>
                <w:szCs w:val="18"/>
                <w:color w:val="auto"/>
              </w:rPr>
            </w:pPr>
          </w:p>
        </w:tc>
      </w:tr>
      <w:tr>
        <w:trPr>
          <w:trHeight w:val="213"/>
        </w:trPr>
        <w:tc>
          <w:tcPr>
            <w:tcW w:w="2780" w:type="dxa"/>
            <w:vAlign w:val="bottom"/>
          </w:tcPr>
          <w:p>
            <w:pPr>
              <w:spacing w:after="0"/>
              <w:rPr>
                <w:sz w:val="20"/>
                <w:szCs w:val="20"/>
                <w:color w:val="auto"/>
              </w:rPr>
            </w:pPr>
            <w:r>
              <w:rPr>
                <w:rFonts w:ascii="Arial" w:cs="Arial" w:eastAsia="Arial" w:hAnsi="Arial"/>
                <w:sz w:val="16"/>
                <w:szCs w:val="16"/>
                <w:color w:val="auto"/>
              </w:rPr>
              <w:t>Net loss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(156,424)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(156,424)</w:t>
            </w:r>
          </w:p>
        </w:tc>
        <w:tc>
          <w:tcPr>
            <w:tcW w:w="60" w:type="dxa"/>
            <w:vAlign w:val="bottom"/>
          </w:tcPr>
          <w:p>
            <w:pPr>
              <w:spacing w:after="0"/>
              <w:rPr>
                <w:sz w:val="18"/>
                <w:szCs w:val="18"/>
                <w:color w:val="auto"/>
              </w:rPr>
            </w:pPr>
          </w:p>
        </w:tc>
      </w:tr>
      <w:tr>
        <w:trPr>
          <w:trHeight w:val="219"/>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7,799</w:t>
            </w:r>
          </w:p>
        </w:tc>
        <w:tc>
          <w:tcPr>
            <w:tcW w:w="60" w:type="dxa"/>
            <w:vAlign w:val="bottom"/>
            <w:shd w:val="clear" w:color="auto" w:fill="CCEEFF"/>
          </w:tcPr>
          <w:p>
            <w:pPr>
              <w:spacing w:after="0"/>
              <w:rPr>
                <w:sz w:val="19"/>
                <w:szCs w:val="19"/>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6"/>
                <w:szCs w:val="16"/>
                <w:color w:val="auto"/>
              </w:rPr>
              <w:t>Pension liability adjustments, net of tax</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780" w:type="dxa"/>
            <w:vAlign w:val="bottom"/>
          </w:tcPr>
          <w:p>
            <w:pPr>
              <w:spacing w:after="0"/>
              <w:rPr>
                <w:sz w:val="20"/>
                <w:szCs w:val="20"/>
                <w:color w:val="auto"/>
              </w:rPr>
            </w:pPr>
            <w:r>
              <w:rPr>
                <w:rFonts w:ascii="Arial" w:cs="Arial" w:eastAsia="Arial" w:hAnsi="Arial"/>
                <w:sz w:val="16"/>
                <w:szCs w:val="16"/>
                <w:color w:val="auto"/>
              </w:rPr>
              <w:t>of $18,187</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40,716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40,716</w:t>
            </w:r>
          </w:p>
        </w:tc>
        <w:tc>
          <w:tcPr>
            <w:tcW w:w="60" w:type="dxa"/>
            <w:vAlign w:val="bottom"/>
          </w:tcPr>
          <w:p>
            <w:pPr>
              <w:spacing w:after="0"/>
              <w:rPr>
                <w:sz w:val="19"/>
                <w:szCs w:val="19"/>
                <w:color w:val="auto"/>
              </w:rPr>
            </w:pPr>
          </w:p>
        </w:tc>
      </w:tr>
      <w:tr>
        <w:trPr>
          <w:trHeight w:val="219"/>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($0.74 per share)</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(88,255)</w:t>
            </w:r>
          </w:p>
        </w:tc>
        <w:tc>
          <w:tcPr>
            <w:tcW w:w="60" w:type="dxa"/>
            <w:vAlign w:val="bottom"/>
            <w:shd w:val="clear" w:color="auto" w:fill="CCEEFF"/>
          </w:tcPr>
          <w:p>
            <w:pPr>
              <w:spacing w:after="0"/>
              <w:rPr>
                <w:sz w:val="19"/>
                <w:szCs w:val="19"/>
                <w:color w:val="auto"/>
              </w:rPr>
            </w:pPr>
          </w:p>
        </w:tc>
      </w:tr>
      <w:tr>
        <w:trPr>
          <w:trHeight w:val="213"/>
        </w:trPr>
        <w:tc>
          <w:tcPr>
            <w:tcW w:w="27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720" w:type="dxa"/>
            <w:vAlign w:val="bottom"/>
          </w:tcPr>
          <w:p>
            <w:pPr>
              <w:jc w:val="right"/>
              <w:spacing w:after="0"/>
              <w:rPr>
                <w:sz w:val="20"/>
                <w:szCs w:val="20"/>
                <w:color w:val="auto"/>
              </w:rPr>
            </w:pPr>
            <w:r>
              <w:rPr>
                <w:rFonts w:ascii="Arial" w:cs="Arial" w:eastAsia="Arial" w:hAnsi="Arial"/>
                <w:sz w:val="16"/>
                <w:szCs w:val="16"/>
                <w:color w:val="auto"/>
              </w:rPr>
              <w:t>(8,151)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(8,151)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(318,790)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(326,941)</w:t>
            </w:r>
          </w:p>
        </w:tc>
        <w:tc>
          <w:tcPr>
            <w:tcW w:w="60" w:type="dxa"/>
            <w:vAlign w:val="bottom"/>
          </w:tcPr>
          <w:p>
            <w:pPr>
              <w:spacing w:after="0"/>
              <w:rPr>
                <w:sz w:val="18"/>
                <w:szCs w:val="18"/>
                <w:color w:val="auto"/>
              </w:rPr>
            </w:pPr>
          </w:p>
        </w:tc>
      </w:tr>
      <w:tr>
        <w:trPr>
          <w:trHeight w:val="239"/>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25,223</w:t>
            </w: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26,118</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0"/>
        </w:trPr>
        <w:tc>
          <w:tcPr>
            <w:tcW w:w="2780" w:type="dxa"/>
            <w:vAlign w:val="bottom"/>
          </w:tcPr>
          <w:p>
            <w:pPr>
              <w:spacing w:after="0"/>
              <w:rPr>
                <w:sz w:val="20"/>
                <w:szCs w:val="20"/>
                <w:color w:val="auto"/>
              </w:rPr>
            </w:pPr>
            <w:r>
              <w:rPr>
                <w:rFonts w:ascii="Arial" w:cs="Arial" w:eastAsia="Arial" w:hAnsi="Arial"/>
                <w:sz w:val="16"/>
                <w:szCs w:val="16"/>
                <w:b w:val="1"/>
                <w:bCs w:val="1"/>
                <w:color w:val="auto"/>
              </w:rPr>
              <w:t>Balance, June 30, 2018</w:t>
            </w:r>
          </w:p>
        </w:tc>
        <w:tc>
          <w:tcPr>
            <w:tcW w:w="720" w:type="dxa"/>
            <w:vAlign w:val="bottom"/>
          </w:tcPr>
          <w:p>
            <w:pPr>
              <w:jc w:val="right"/>
              <w:spacing w:after="0"/>
              <w:rPr>
                <w:sz w:val="20"/>
                <w:szCs w:val="20"/>
                <w:color w:val="auto"/>
              </w:rPr>
            </w:pPr>
            <w:r>
              <w:rPr>
                <w:rFonts w:ascii="Arial" w:cs="Arial" w:eastAsia="Arial" w:hAnsi="Arial"/>
                <w:sz w:val="16"/>
                <w:szCs w:val="16"/>
                <w:color w:val="auto"/>
              </w:rPr>
              <w:t>115,825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115,825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1,528,713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3,235,894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(195,351)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4,685,081</w:t>
            </w:r>
          </w:p>
        </w:tc>
        <w:tc>
          <w:tcPr>
            <w:tcW w:w="60" w:type="dxa"/>
            <w:vAlign w:val="bottom"/>
          </w:tcPr>
          <w:p>
            <w:pPr>
              <w:spacing w:after="0"/>
              <w:rPr>
                <w:sz w:val="17"/>
                <w:szCs w:val="17"/>
                <w:color w:val="auto"/>
              </w:rPr>
            </w:pPr>
          </w:p>
        </w:tc>
      </w:tr>
      <w:tr>
        <w:trPr>
          <w:trHeight w:val="219"/>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176,337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176,337</w:t>
            </w:r>
          </w:p>
        </w:tc>
        <w:tc>
          <w:tcPr>
            <w:tcW w:w="60" w:type="dxa"/>
            <w:vAlign w:val="bottom"/>
            <w:shd w:val="clear" w:color="auto" w:fill="CCEEFF"/>
          </w:tcPr>
          <w:p>
            <w:pPr>
              <w:spacing w:after="0"/>
              <w:rPr>
                <w:sz w:val="19"/>
                <w:szCs w:val="19"/>
                <w:color w:val="auto"/>
              </w:rPr>
            </w:pPr>
          </w:p>
        </w:tc>
      </w:tr>
      <w:tr>
        <w:trPr>
          <w:trHeight w:val="213"/>
        </w:trPr>
        <w:tc>
          <w:tcPr>
            <w:tcW w:w="2780" w:type="dxa"/>
            <w:vAlign w:val="bottom"/>
          </w:tcPr>
          <w:p>
            <w:pPr>
              <w:spacing w:after="0"/>
              <w:rPr>
                <w:sz w:val="20"/>
                <w:szCs w:val="20"/>
                <w:color w:val="auto"/>
              </w:rPr>
            </w:pPr>
            <w:r>
              <w:rPr>
                <w:rFonts w:ascii="Arial" w:cs="Arial" w:eastAsia="Arial" w:hAnsi="Arial"/>
                <w:sz w:val="16"/>
                <w:szCs w:val="16"/>
                <w:color w:val="auto"/>
              </w:rPr>
              <w:t>Translation adjustments and other</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(63,621)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(63,621)</w:t>
            </w:r>
          </w:p>
        </w:tc>
        <w:tc>
          <w:tcPr>
            <w:tcW w:w="60" w:type="dxa"/>
            <w:vAlign w:val="bottom"/>
          </w:tcPr>
          <w:p>
            <w:pPr>
              <w:spacing w:after="0"/>
              <w:rPr>
                <w:sz w:val="18"/>
                <w:szCs w:val="18"/>
                <w:color w:val="auto"/>
              </w:rPr>
            </w:pPr>
          </w:p>
        </w:tc>
      </w:tr>
      <w:tr>
        <w:trPr>
          <w:trHeight w:val="21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Pension liability adjustments, net of tax</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of $14,988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(45,067)</w:t>
            </w:r>
          </w:p>
        </w:tc>
        <w:tc>
          <w:tcPr>
            <w:tcW w:w="60" w:type="dxa"/>
            <w:vAlign w:val="bottom"/>
            <w:shd w:val="clear" w:color="auto" w:fill="CCEEFF"/>
          </w:tcPr>
          <w:p>
            <w:pPr>
              <w:spacing w:after="0"/>
              <w:rPr>
                <w:sz w:val="19"/>
                <w:szCs w:val="19"/>
                <w:color w:val="auto"/>
              </w:rPr>
            </w:pPr>
          </w:p>
        </w:tc>
      </w:tr>
      <w:tr>
        <w:trPr>
          <w:trHeight w:val="213"/>
        </w:trPr>
        <w:tc>
          <w:tcPr>
            <w:tcW w:w="2780" w:type="dxa"/>
            <w:vAlign w:val="bottom"/>
          </w:tcPr>
          <w:p>
            <w:pPr>
              <w:spacing w:after="0"/>
              <w:rPr>
                <w:sz w:val="20"/>
                <w:szCs w:val="20"/>
                <w:color w:val="auto"/>
              </w:rPr>
            </w:pPr>
            <w:r>
              <w:rPr>
                <w:rFonts w:ascii="Arial" w:cs="Arial" w:eastAsia="Arial" w:hAnsi="Arial"/>
                <w:sz w:val="16"/>
                <w:szCs w:val="16"/>
                <w:color w:val="auto"/>
              </w:rPr>
              <w:t>Cash dividends ($0.80 per share)</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(87,158)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(87,158)</w:t>
            </w:r>
          </w:p>
        </w:tc>
        <w:tc>
          <w:tcPr>
            <w:tcW w:w="60" w:type="dxa"/>
            <w:vAlign w:val="bottom"/>
          </w:tcPr>
          <w:p>
            <w:pPr>
              <w:spacing w:after="0"/>
              <w:rPr>
                <w:sz w:val="18"/>
                <w:szCs w:val="18"/>
                <w:color w:val="auto"/>
              </w:rPr>
            </w:pPr>
          </w:p>
        </w:tc>
      </w:tr>
      <w:tr>
        <w:trPr>
          <w:trHeight w:val="219"/>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(12,919)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(553,772)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(566,691)</w:t>
            </w:r>
          </w:p>
        </w:tc>
        <w:tc>
          <w:tcPr>
            <w:tcW w:w="60" w:type="dxa"/>
            <w:vAlign w:val="bottom"/>
            <w:shd w:val="clear" w:color="auto" w:fill="CCEEFF"/>
          </w:tcPr>
          <w:p>
            <w:pPr>
              <w:spacing w:after="0"/>
              <w:rPr>
                <w:sz w:val="19"/>
                <w:szCs w:val="19"/>
                <w:color w:val="auto"/>
              </w:rPr>
            </w:pPr>
          </w:p>
        </w:tc>
      </w:tr>
      <w:tr>
        <w:trPr>
          <w:trHeight w:val="213"/>
        </w:trPr>
        <w:tc>
          <w:tcPr>
            <w:tcW w:w="2780" w:type="dxa"/>
            <w:vAlign w:val="bottom"/>
          </w:tcPr>
          <w:p>
            <w:pPr>
              <w:spacing w:after="0"/>
              <w:rPr>
                <w:sz w:val="20"/>
                <w:szCs w:val="20"/>
                <w:color w:val="auto"/>
              </w:rPr>
            </w:pPr>
            <w:r>
              <w:rPr>
                <w:rFonts w:ascii="Arial" w:cs="Arial" w:eastAsia="Arial" w:hAnsi="Arial"/>
                <w:sz w:val="16"/>
                <w:szCs w:val="16"/>
                <w:color w:val="auto"/>
              </w:rPr>
              <w:t>Effects of new accounting principles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(3,832)</w:t>
            </w:r>
          </w:p>
        </w:tc>
        <w:tc>
          <w:tcPr>
            <w:tcW w:w="60" w:type="dxa"/>
            <w:vAlign w:val="bottom"/>
          </w:tcPr>
          <w:p>
            <w:pPr>
              <w:spacing w:after="0"/>
              <w:rPr>
                <w:sz w:val="18"/>
                <w:szCs w:val="18"/>
                <w:color w:val="auto"/>
              </w:rPr>
            </w:pPr>
          </w:p>
        </w:tc>
      </w:tr>
      <w:tr>
        <w:trPr>
          <w:trHeight w:val="239"/>
        </w:trPr>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44,292</w:t>
            </w: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45,424</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0"/>
        </w:trPr>
        <w:tc>
          <w:tcPr>
            <w:tcW w:w="2780" w:type="dxa"/>
            <w:vAlign w:val="bottom"/>
          </w:tcPr>
          <w:p>
            <w:pPr>
              <w:spacing w:after="0"/>
              <w:rPr>
                <w:sz w:val="20"/>
                <w:szCs w:val="20"/>
                <w:color w:val="auto"/>
              </w:rPr>
            </w:pPr>
            <w:r>
              <w:rPr>
                <w:rFonts w:ascii="Arial" w:cs="Arial" w:eastAsia="Arial" w:hAnsi="Arial"/>
                <w:sz w:val="16"/>
                <w:szCs w:val="16"/>
                <w:b w:val="1"/>
                <w:bCs w:val="1"/>
                <w:color w:val="auto"/>
              </w:rPr>
              <w:t>Balance, June 29, 2019</w:t>
            </w:r>
          </w:p>
        </w:tc>
        <w:tc>
          <w:tcPr>
            <w:tcW w:w="720" w:type="dxa"/>
            <w:vAlign w:val="bottom"/>
          </w:tcPr>
          <w:p>
            <w:pPr>
              <w:jc w:val="right"/>
              <w:spacing w:after="0"/>
              <w:rPr>
                <w:sz w:val="20"/>
                <w:szCs w:val="20"/>
                <w:color w:val="auto"/>
              </w:rPr>
            </w:pPr>
            <w:r>
              <w:rPr>
                <w:rFonts w:ascii="Arial" w:cs="Arial" w:eastAsia="Arial" w:hAnsi="Arial"/>
                <w:sz w:val="16"/>
                <w:szCs w:val="16"/>
                <w:color w:val="auto"/>
              </w:rPr>
              <w:t>104,038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104,038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1,573,005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2,767,469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(304,039)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4,140,473</w:t>
            </w:r>
          </w:p>
        </w:tc>
        <w:tc>
          <w:tcPr>
            <w:tcW w:w="60" w:type="dxa"/>
            <w:vAlign w:val="bottom"/>
          </w:tcPr>
          <w:p>
            <w:pPr>
              <w:spacing w:after="0"/>
              <w:rPr>
                <w:sz w:val="17"/>
                <w:szCs w:val="17"/>
                <w:color w:val="auto"/>
              </w:rPr>
            </w:pPr>
          </w:p>
        </w:tc>
      </w:tr>
      <w:tr>
        <w:trPr>
          <w:trHeight w:val="219"/>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(31,081)</w:t>
            </w:r>
          </w:p>
        </w:tc>
        <w:tc>
          <w:tcPr>
            <w:tcW w:w="60" w:type="dxa"/>
            <w:vAlign w:val="bottom"/>
            <w:shd w:val="clear" w:color="auto" w:fill="CCEEFF"/>
          </w:tcPr>
          <w:p>
            <w:pPr>
              <w:spacing w:after="0"/>
              <w:rPr>
                <w:sz w:val="19"/>
                <w:szCs w:val="19"/>
                <w:color w:val="auto"/>
              </w:rPr>
            </w:pPr>
          </w:p>
        </w:tc>
      </w:tr>
      <w:tr>
        <w:trPr>
          <w:trHeight w:val="213"/>
        </w:trPr>
        <w:tc>
          <w:tcPr>
            <w:tcW w:w="2780" w:type="dxa"/>
            <w:vAlign w:val="bottom"/>
          </w:tcPr>
          <w:p>
            <w:pPr>
              <w:spacing w:after="0"/>
              <w:rPr>
                <w:sz w:val="20"/>
                <w:szCs w:val="20"/>
                <w:color w:val="auto"/>
              </w:rPr>
            </w:pPr>
            <w:r>
              <w:rPr>
                <w:rFonts w:ascii="Arial" w:cs="Arial" w:eastAsia="Arial" w:hAnsi="Arial"/>
                <w:sz w:val="16"/>
                <w:szCs w:val="16"/>
                <w:color w:val="auto"/>
              </w:rPr>
              <w:t>Translation adjustments and other</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(56,682)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(56,682)</w:t>
            </w:r>
          </w:p>
        </w:tc>
        <w:tc>
          <w:tcPr>
            <w:tcW w:w="60" w:type="dxa"/>
            <w:vAlign w:val="bottom"/>
          </w:tcPr>
          <w:p>
            <w:pPr>
              <w:spacing w:after="0"/>
              <w:rPr>
                <w:sz w:val="18"/>
                <w:szCs w:val="18"/>
                <w:color w:val="auto"/>
              </w:rPr>
            </w:pPr>
          </w:p>
        </w:tc>
      </w:tr>
      <w:tr>
        <w:trPr>
          <w:trHeight w:val="21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Pension liability adjustments, net of tax</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of $362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(27,659)</w:t>
            </w:r>
          </w:p>
        </w:tc>
        <w:tc>
          <w:tcPr>
            <w:tcW w:w="60" w:type="dxa"/>
            <w:vAlign w:val="bottom"/>
            <w:shd w:val="clear" w:color="auto" w:fill="CCEEFF"/>
          </w:tcPr>
          <w:p>
            <w:pPr>
              <w:spacing w:after="0"/>
              <w:rPr>
                <w:sz w:val="19"/>
                <w:szCs w:val="19"/>
                <w:color w:val="auto"/>
              </w:rPr>
            </w:pPr>
          </w:p>
        </w:tc>
      </w:tr>
      <w:tr>
        <w:trPr>
          <w:trHeight w:val="213"/>
        </w:trPr>
        <w:tc>
          <w:tcPr>
            <w:tcW w:w="2780" w:type="dxa"/>
            <w:vAlign w:val="bottom"/>
          </w:tcPr>
          <w:p>
            <w:pPr>
              <w:spacing w:after="0"/>
              <w:rPr>
                <w:sz w:val="20"/>
                <w:szCs w:val="20"/>
                <w:color w:val="auto"/>
              </w:rPr>
            </w:pPr>
            <w:r>
              <w:rPr>
                <w:rFonts w:ascii="Arial" w:cs="Arial" w:eastAsia="Arial" w:hAnsi="Arial"/>
                <w:sz w:val="16"/>
                <w:szCs w:val="16"/>
                <w:color w:val="auto"/>
              </w:rPr>
              <w:t>Cash dividends ($0.84 per share)</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(83,975)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(83,975)</w:t>
            </w:r>
          </w:p>
        </w:tc>
        <w:tc>
          <w:tcPr>
            <w:tcW w:w="60" w:type="dxa"/>
            <w:vAlign w:val="bottom"/>
          </w:tcPr>
          <w:p>
            <w:pPr>
              <w:spacing w:after="0"/>
              <w:rPr>
                <w:sz w:val="18"/>
                <w:szCs w:val="18"/>
                <w:color w:val="auto"/>
              </w:rPr>
            </w:pPr>
          </w:p>
        </w:tc>
      </w:tr>
      <w:tr>
        <w:trPr>
          <w:trHeight w:val="219"/>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(230,568)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(236,438)</w:t>
            </w:r>
          </w:p>
        </w:tc>
        <w:tc>
          <w:tcPr>
            <w:tcW w:w="60" w:type="dxa"/>
            <w:vAlign w:val="bottom"/>
            <w:shd w:val="clear" w:color="auto" w:fill="CCEEFF"/>
          </w:tcPr>
          <w:p>
            <w:pPr>
              <w:spacing w:after="0"/>
              <w:rPr>
                <w:sz w:val="19"/>
                <w:szCs w:val="19"/>
                <w:color w:val="auto"/>
              </w:rPr>
            </w:pPr>
          </w:p>
        </w:tc>
      </w:tr>
      <w:tr>
        <w:trPr>
          <w:trHeight w:val="223"/>
        </w:trPr>
        <w:tc>
          <w:tcPr>
            <w:tcW w:w="2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21,135</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21,760</w:t>
            </w:r>
          </w:p>
        </w:tc>
        <w:tc>
          <w:tcPr>
            <w:tcW w:w="60" w:type="dxa"/>
            <w:vAlign w:val="bottom"/>
            <w:tcBorders>
              <w:bottom w:val="single" w:sz="8" w:color="CCEEFF"/>
            </w:tcBorders>
          </w:tcPr>
          <w:p>
            <w:pPr>
              <w:spacing w:after="0"/>
              <w:rPr>
                <w:sz w:val="19"/>
                <w:szCs w:val="19"/>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June 27, 2020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$ 1,594,140</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2,421,845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(388,380)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3,726,398</w:t>
            </w:r>
          </w:p>
        </w:tc>
        <w:tc>
          <w:tcPr>
            <w:tcW w:w="60" w:type="dxa"/>
            <w:vAlign w:val="bottom"/>
            <w:shd w:val="clear" w:color="auto" w:fill="CCEEFF"/>
          </w:tcPr>
          <w:p>
            <w:pPr>
              <w:spacing w:after="0"/>
              <w:rPr>
                <w:sz w:val="18"/>
                <w:szCs w:val="18"/>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Years Ended</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w w:val="87"/>
              </w:rPr>
              <w:t>June 27,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79"/>
              </w:rPr>
              <w:t>(Thousands)</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80"/>
              <w:spacing w:after="0"/>
              <w:rPr>
                <w:sz w:val="20"/>
                <w:szCs w:val="20"/>
                <w:color w:val="auto"/>
              </w:rPr>
            </w:pPr>
            <w:r>
              <w:rPr>
                <w:rFonts w:ascii="Arial" w:cs="Arial" w:eastAsia="Arial" w:hAnsi="Arial"/>
                <w:sz w:val="16"/>
                <w:szCs w:val="16"/>
                <w:color w:val="auto"/>
              </w:rPr>
              <w:t>Net (loss) income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(31,081)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176,337</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9"/>
              </w:rPr>
              <w:t>(156,424)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Less: Loss from discontinued operations, net of tax</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(3,774)</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80" w:type="dxa"/>
            <w:vAlign w:val="bottom"/>
          </w:tcPr>
          <w:p>
            <w:pPr>
              <w:ind w:left="80"/>
              <w:spacing w:after="0"/>
              <w:rPr>
                <w:sz w:val="20"/>
                <w:szCs w:val="20"/>
                <w:color w:val="auto"/>
              </w:rPr>
            </w:pPr>
            <w:r>
              <w:rPr>
                <w:rFonts w:ascii="Arial" w:cs="Arial" w:eastAsia="Arial" w:hAnsi="Arial"/>
                <w:sz w:val="16"/>
                <w:szCs w:val="16"/>
                <w:color w:val="auto"/>
              </w:rPr>
              <w:t>Income (loss) from continuing operations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(29,533)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180,111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9"/>
              </w:rPr>
              <w:t>(142,889)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80"/>
              <w:spacing w:after="0"/>
              <w:rPr>
                <w:sz w:val="20"/>
                <w:szCs w:val="20"/>
                <w:color w:val="auto"/>
              </w:rPr>
            </w:pPr>
            <w:r>
              <w:rPr>
                <w:rFonts w:ascii="Arial" w:cs="Arial" w:eastAsia="Arial" w:hAnsi="Arial"/>
                <w:sz w:val="16"/>
                <w:szCs w:val="16"/>
                <w:color w:val="auto"/>
              </w:rPr>
              <w:t>Non-cash and other reconciling items: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97,160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81,139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83,682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operating lease assets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300"/>
              <w:spacing w:after="0"/>
              <w:rPr>
                <w:sz w:val="20"/>
                <w:szCs w:val="20"/>
                <w:color w:val="auto"/>
              </w:rPr>
            </w:pPr>
            <w:r>
              <w:rPr>
                <w:rFonts w:ascii="Arial" w:cs="Arial" w:eastAsia="Arial" w:hAnsi="Arial"/>
                <w:sz w:val="16"/>
                <w:szCs w:val="16"/>
                <w:color w:val="auto"/>
              </w:rPr>
              <w:t>Deferred income taxes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(34,264)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33,801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300"/>
              <w:spacing w:after="0"/>
              <w:rPr>
                <w:sz w:val="20"/>
                <w:szCs w:val="20"/>
                <w:color w:val="auto"/>
              </w:rPr>
            </w:pPr>
            <w:r>
              <w:rPr>
                <w:rFonts w:ascii="Arial" w:cs="Arial" w:eastAsia="Arial" w:hAnsi="Arial"/>
                <w:sz w:val="16"/>
                <w:szCs w:val="16"/>
                <w:color w:val="auto"/>
              </w:rPr>
              <w:t>Goodwill, long-lived, intangible asset and other impairments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144,092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192,083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186,978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net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45,049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80"/>
              <w:spacing w:after="0"/>
              <w:rPr>
                <w:sz w:val="20"/>
                <w:szCs w:val="20"/>
                <w:color w:val="auto"/>
              </w:rPr>
            </w:pPr>
            <w:r>
              <w:rPr>
                <w:rFonts w:ascii="Arial" w:cs="Arial" w:eastAsia="Arial" w:hAnsi="Arial"/>
                <w:sz w:val="16"/>
                <w:szCs w:val="16"/>
                <w:color w:val="auto"/>
              </w:rPr>
              <w:t>Changes in (net of effects from businesses acquired and divested):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Receivables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221,486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464,981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(296,175)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266,791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81,929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9"/>
              </w:rPr>
              <w:t>(308,663)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(106,990)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(377,855)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Accrued expenses and other, net</w:t>
            </w:r>
          </w:p>
        </w:tc>
        <w:tc>
          <w:tcPr>
            <w:tcW w:w="5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(46,176)</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(173,671)</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cash flows provided by operating activities - continuing operations</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730,182</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591,054</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253,485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cash flows used for operating activities - discontinued operations</w:t>
            </w: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(56,284)</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cash flows provided by operating activities</w:t>
            </w: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730,182</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534,770</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253,485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80"/>
              <w:spacing w:after="0"/>
              <w:rPr>
                <w:sz w:val="20"/>
                <w:szCs w:val="20"/>
                <w:color w:val="auto"/>
              </w:rPr>
            </w:pPr>
            <w:r>
              <w:rPr>
                <w:rFonts w:ascii="Arial" w:cs="Arial" w:eastAsia="Arial" w:hAnsi="Arial"/>
                <w:sz w:val="16"/>
                <w:szCs w:val="16"/>
                <w:color w:val="auto"/>
              </w:rPr>
              <w:t>Borrowings (repayments) under accounts receivable securitization, net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(227,300)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122,300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Borrowings (repayments) under bank credit facilities and other debt, net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(61,738)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80"/>
              <w:spacing w:after="0"/>
              <w:rPr>
                <w:sz w:val="20"/>
                <w:szCs w:val="20"/>
                <w:color w:val="auto"/>
              </w:rPr>
            </w:pPr>
            <w:r>
              <w:rPr>
                <w:rFonts w:ascii="Arial" w:cs="Arial" w:eastAsia="Arial" w:hAnsi="Arial"/>
                <w:sz w:val="16"/>
                <w:szCs w:val="16"/>
                <w:color w:val="auto"/>
              </w:rPr>
              <w:t>Borrowings (repayments) under senior unsecured credit facility, net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223,058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(97,954)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Repayments of public notes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(302,038)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80"/>
              <w:spacing w:after="0"/>
              <w:rPr>
                <w:sz w:val="20"/>
                <w:szCs w:val="20"/>
                <w:color w:val="auto"/>
              </w:rPr>
            </w:pPr>
            <w:r>
              <w:rPr>
                <w:rFonts w:ascii="Arial" w:cs="Arial" w:eastAsia="Arial" w:hAnsi="Arial"/>
                <w:sz w:val="16"/>
                <w:szCs w:val="16"/>
                <w:color w:val="auto"/>
              </w:rPr>
              <w:t>Repurchases of common stock</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(237,842)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(568,712)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9"/>
              </w:rPr>
              <w:t>(323,516)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paid on common stock</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(83,975)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(87,158)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net</w:t>
            </w:r>
          </w:p>
        </w:tc>
        <w:tc>
          <w:tcPr>
            <w:tcW w:w="5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(14,330)</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12,127</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cash flows used for financing activities - continuing operations</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(644,550)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(582,676)</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(541,893)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cash flows used for financing activities</w:t>
            </w: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(644,550)</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(582,676)</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(541,893)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Purchases of property, plant and equipment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(122,690)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(155,873)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80"/>
              <w:spacing w:after="0"/>
              <w:rPr>
                <w:sz w:val="20"/>
                <w:szCs w:val="20"/>
                <w:color w:val="auto"/>
              </w:rPr>
            </w:pPr>
            <w:r>
              <w:rPr>
                <w:rFonts w:ascii="Arial" w:cs="Arial" w:eastAsia="Arial" w:hAnsi="Arial"/>
                <w:sz w:val="16"/>
                <w:szCs w:val="16"/>
                <w:color w:val="auto"/>
              </w:rPr>
              <w:t>Acquisitions of businesses, net of cash acquired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(51,509)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(56,417)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Other, net</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(9,992)</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30,422</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cash flows used for investing activities - continuing operations</w:t>
            </w: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(135,017)</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(148,685)</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(164,474)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cash flows provided by investing activities - discontinued operations</w:t>
            </w:r>
          </w:p>
        </w:tc>
        <w:tc>
          <w:tcPr>
            <w:tcW w:w="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123,473</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236,205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cash flows (used for) provided by investing activities</w:t>
            </w: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(135,017)</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(25,212)</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71,731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(19,682)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(1,902)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 decrease</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(69,067)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(75,020)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(215,259)</w:t>
            </w:r>
          </w:p>
        </w:tc>
        <w:tc>
          <w:tcPr>
            <w:tcW w:w="0" w:type="dxa"/>
            <w:vAlign w:val="bottom"/>
          </w:tcPr>
          <w:p>
            <w:pPr>
              <w:spacing w:after="0"/>
              <w:rPr>
                <w:sz w:val="1"/>
                <w:szCs w:val="1"/>
                <w:color w:val="auto"/>
              </w:rPr>
            </w:pPr>
          </w:p>
        </w:tc>
      </w:tr>
      <w:tr>
        <w:trPr>
          <w:trHeight w:val="209"/>
        </w:trPr>
        <w:tc>
          <w:tcPr>
            <w:tcW w:w="5700" w:type="dxa"/>
            <w:vAlign w:val="bottom"/>
            <w:gridSpan w:val="2"/>
          </w:tcPr>
          <w:p>
            <w:pPr>
              <w:spacing w:after="0"/>
              <w:rPr>
                <w:sz w:val="20"/>
                <w:szCs w:val="20"/>
                <w:color w:val="auto"/>
              </w:rPr>
            </w:pPr>
            <w:r>
              <w:rPr>
                <w:rFonts w:ascii="Arial" w:cs="Arial" w:eastAsia="Arial" w:hAnsi="Arial"/>
                <w:sz w:val="16"/>
                <w:szCs w:val="16"/>
                <w:color w:val="auto"/>
              </w:rPr>
              <w:t>— at beginning of period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546,105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621,125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836,384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at end of period</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477,038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Additional </w:t>
      </w:r>
      <w:r>
        <w:rPr>
          <w:rFonts w:ascii="Arial" w:cs="Arial" w:eastAsia="Arial" w:hAnsi="Arial"/>
          <w:sz w:val="14"/>
          <w:szCs w:val="14"/>
          <w:color w:val="auto"/>
        </w:rPr>
        <w:t>cash</w:t>
      </w:r>
      <w:r>
        <w:rPr>
          <w:rFonts w:ascii="Arial" w:cs="Arial" w:eastAsia="Arial" w:hAnsi="Arial"/>
          <w:sz w:val="16"/>
          <w:szCs w:val="16"/>
          <w:color w:val="auto"/>
        </w:rPr>
        <w:t xml:space="preserve"> flow information (Note 15)</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r>
        <w:rPr>
          <w:rFonts w:ascii="Arial" w:cs="Arial" w:eastAsia="Arial" w:hAnsi="Arial"/>
          <w:sz w:val="17"/>
          <w:szCs w:val="17"/>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ind w:left="60" w:right="99" w:firstLine="427"/>
        <w:spacing w:after="0" w:line="304"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consolidated financial statements include the accounts of Avnet,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its majority-owned and controlled subsidiaries (the “Company” or “Avnet”). All intercompany and intracompany accounts and transactions have been eliminated. Unless indicated otherwise, the information in the Notes to the consolidated financial statements relates to the Company's continuing operations and does not include the results of discontinued operations.</w:t>
      </w:r>
    </w:p>
    <w:p>
      <w:pPr>
        <w:spacing w:after="0" w:line="161" w:lineRule="exact"/>
        <w:rPr>
          <w:sz w:val="20"/>
          <w:szCs w:val="20"/>
          <w:color w:val="auto"/>
        </w:rPr>
      </w:pPr>
    </w:p>
    <w:p>
      <w:pPr>
        <w:ind w:left="60" w:right="59" w:firstLine="427"/>
        <w:spacing w:after="0" w:line="324"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prior period amounts have been reclassified to conform to the current period 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adoption of new accounting pronouncements.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 xml:space="preserve">Fiscal year </w:t>
      </w:r>
      <w:r>
        <w:rPr>
          <w:rFonts w:ascii="Arial" w:cs="Arial" w:eastAsia="Arial" w:hAnsi="Arial"/>
          <w:sz w:val="17"/>
          <w:szCs w:val="17"/>
          <w:color w:val="auto"/>
        </w:rPr>
        <w:t>— The Company operates on a “52/53 week” fiscal year, which ends on the Saturday closest to</w:t>
      </w:r>
    </w:p>
    <w:p>
      <w:pPr>
        <w:spacing w:after="0" w:line="61" w:lineRule="exact"/>
        <w:rPr>
          <w:sz w:val="20"/>
          <w:szCs w:val="20"/>
          <w:color w:val="auto"/>
        </w:rPr>
      </w:pPr>
    </w:p>
    <w:p>
      <w:pPr>
        <w:ind w:left="60" w:right="99"/>
        <w:spacing w:after="0" w:line="324" w:lineRule="auto"/>
        <w:rPr>
          <w:sz w:val="20"/>
          <w:szCs w:val="20"/>
          <w:color w:val="auto"/>
        </w:rPr>
      </w:pPr>
      <w:r>
        <w:rPr>
          <w:rFonts w:ascii="Arial" w:cs="Arial" w:eastAsia="Arial" w:hAnsi="Arial"/>
          <w:sz w:val="18"/>
          <w:szCs w:val="18"/>
          <w:color w:val="auto"/>
        </w:rPr>
        <w:t>June 30th. Fiscal 2020, 2019 and 2018 all contain 52 weeks and fiscal 2021 will contain 53 weeks. Unless otherwise noted, all references to “fiscal” or any other “year” shall mean the Company’s fiscal year.</w:t>
      </w:r>
    </w:p>
    <w:p>
      <w:pPr>
        <w:spacing w:after="0" w:line="130" w:lineRule="exact"/>
        <w:rPr>
          <w:sz w:val="20"/>
          <w:szCs w:val="20"/>
          <w:color w:val="auto"/>
        </w:rPr>
      </w:pPr>
    </w:p>
    <w:p>
      <w:pPr>
        <w:ind w:left="60" w:right="179" w:firstLine="427"/>
        <w:spacing w:after="0" w:line="304" w:lineRule="auto"/>
        <w:rPr>
          <w:sz w:val="20"/>
          <w:szCs w:val="20"/>
          <w:color w:val="auto"/>
        </w:rPr>
      </w:pPr>
      <w:r>
        <w:rPr>
          <w:rFonts w:ascii="Arial" w:cs="Arial" w:eastAsia="Arial" w:hAnsi="Arial"/>
          <w:sz w:val="18"/>
          <w:szCs w:val="18"/>
          <w:i w:val="1"/>
          <w:iCs w:val="1"/>
          <w:color w:val="auto"/>
        </w:rPr>
        <w:t xml:space="preserve">Management estimates </w:t>
      </w:r>
      <w:r>
        <w:rPr>
          <w:rFonts w:ascii="Arial" w:cs="Arial" w:eastAsia="Arial" w:hAnsi="Arial"/>
          <w:sz w:val="18"/>
          <w:szCs w:val="18"/>
          <w:color w:val="auto"/>
        </w:rPr>
        <w:t>— The preparation of financial statements in conformity with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in the United States of America (“GAAP”) requires management to make estimates and assumptions that affect certain reported amounts of assets and liabilities, reported amounts of sales and expenses and the disclosure of contingent assets and liabilities at the date of the consolidated financial statements. Actual results could differ materially from those estimates.</w:t>
      </w:r>
    </w:p>
    <w:p>
      <w:pPr>
        <w:spacing w:after="0" w:line="161" w:lineRule="exact"/>
        <w:rPr>
          <w:sz w:val="20"/>
          <w:szCs w:val="20"/>
          <w:color w:val="auto"/>
        </w:rPr>
      </w:pPr>
    </w:p>
    <w:p>
      <w:pPr>
        <w:ind w:left="60" w:right="459" w:firstLine="427"/>
        <w:spacing w:after="0" w:line="32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an original maturity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or less including money market funds to be cash equivalents.</w:t>
      </w:r>
    </w:p>
    <w:p>
      <w:pPr>
        <w:spacing w:after="0" w:line="130" w:lineRule="exact"/>
        <w:rPr>
          <w:sz w:val="20"/>
          <w:szCs w:val="20"/>
          <w:color w:val="auto"/>
        </w:rPr>
      </w:pPr>
    </w:p>
    <w:p>
      <w:pPr>
        <w:ind w:left="60" w:right="99" w:firstLine="427"/>
        <w:spacing w:after="0" w:line="301"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comprised principally of finished goods, are stated at the lower of cost or net realizable</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whichever is lower. Inventory cost includes the purchase price of finished goods and also includes any freight cost incurred to receive the inventory into the Company’s distribution centers. The Company regularly reviews the cost of inventory against its estimated net realizable value, considering historical experience and any contractual rights of return, stock rotations, obsolescence allowances or price protections provided by the Company’s suppliers, and records a lower of cost or net realizable value write-down if any inventories have a cost in excess of such inventories’ estimated net realizable value. The Company does not incorporate any non-contractual protections when estimating the net realizable value of its inventories.</w:t>
      </w:r>
    </w:p>
    <w:p>
      <w:pPr>
        <w:spacing w:after="0" w:line="151" w:lineRule="exact"/>
        <w:rPr>
          <w:sz w:val="20"/>
          <w:szCs w:val="20"/>
          <w:color w:val="auto"/>
        </w:rPr>
      </w:pPr>
    </w:p>
    <w:p>
      <w:pPr>
        <w:ind w:left="60" w:right="99" w:firstLine="427"/>
        <w:spacing w:after="0" w:line="343" w:lineRule="auto"/>
        <w:rPr>
          <w:sz w:val="20"/>
          <w:szCs w:val="20"/>
          <w:color w:val="auto"/>
        </w:rPr>
      </w:pPr>
      <w:r>
        <w:rPr>
          <w:rFonts w:ascii="Arial" w:cs="Arial" w:eastAsia="Arial" w:hAnsi="Arial"/>
          <w:sz w:val="16"/>
          <w:szCs w:val="16"/>
          <w:i w:val="1"/>
          <w:iCs w:val="1"/>
          <w:color w:val="auto"/>
        </w:rPr>
        <w:t xml:space="preserve">Depreciation, amortization and useful lives </w:t>
      </w:r>
      <w:r>
        <w:rPr>
          <w:rFonts w:ascii="Arial" w:cs="Arial" w:eastAsia="Arial" w:hAnsi="Arial"/>
          <w:sz w:val="16"/>
          <w:szCs w:val="16"/>
          <w:color w:val="auto"/>
        </w:rPr>
        <w:t>— The Company reports property, plant and equipment at cost, less</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depreciation. Cost includes the price paid to acquire or construct the assets, required installation costs, interest capitalized during the construction period, and any expenditure that substantially adds to the value or substantially extends the useful life of an existing asset. Additionally, the Company capitalizes qualified costs related to software obtained or developed for internal use as a component of property, plant and equipment. Software obtained for internal use has generally been enterprise-level business operations, logistics and finance software that is customized to meet the Company’s specific operational requirements. The Company begins depreciation and amortization (“depreciation”) for property, plant and equipment when an asset is both in the location and condition for its intended use.</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plant, and equipment is depreciated using the straight-line method over its estimated useful lives. The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59"/>
        <w:spacing w:after="0" w:line="310" w:lineRule="auto"/>
        <w:rPr>
          <w:sz w:val="20"/>
          <w:szCs w:val="20"/>
          <w:color w:val="auto"/>
        </w:rPr>
      </w:pPr>
      <w:r>
        <w:rPr>
          <w:rFonts w:ascii="Arial" w:cs="Arial" w:eastAsia="Arial" w:hAnsi="Arial"/>
          <w:sz w:val="18"/>
          <w:szCs w:val="18"/>
          <w:color w:val="auto"/>
        </w:rPr>
        <w:t>estimated useful lives for property, plant, and equipment are typically as follows: buildings — 30 years; machinery, fixtures and equipment — 2-10 years; information technology hardware and software — 2-10 years; and leasehold improvements — over the applicable lease term or economic useful life if shorter.</w:t>
      </w:r>
    </w:p>
    <w:p>
      <w:pPr>
        <w:spacing w:after="0" w:line="143" w:lineRule="exact"/>
        <w:rPr>
          <w:sz w:val="20"/>
          <w:szCs w:val="20"/>
          <w:color w:val="auto"/>
        </w:rPr>
      </w:pPr>
    </w:p>
    <w:p>
      <w:pPr>
        <w:ind w:left="60" w:right="79" w:firstLine="427"/>
        <w:spacing w:after="0" w:line="310" w:lineRule="auto"/>
        <w:rPr>
          <w:sz w:val="20"/>
          <w:szCs w:val="20"/>
          <w:color w:val="auto"/>
        </w:rPr>
      </w:pPr>
      <w:r>
        <w:rPr>
          <w:rFonts w:ascii="Arial" w:cs="Arial" w:eastAsia="Arial" w:hAnsi="Arial"/>
          <w:sz w:val="18"/>
          <w:szCs w:val="18"/>
          <w:color w:val="auto"/>
        </w:rPr>
        <w:t>The Company amortizes intangible assets acquired in business combinations or asset combinations using the straight-line method over the estimated economic useful lives of the intangible assets from the date of acquisition, which is generally between 5-10 years.</w:t>
      </w:r>
    </w:p>
    <w:p>
      <w:pPr>
        <w:spacing w:after="0" w:line="143" w:lineRule="exact"/>
        <w:rPr>
          <w:sz w:val="20"/>
          <w:szCs w:val="20"/>
          <w:color w:val="auto"/>
        </w:rPr>
      </w:pPr>
    </w:p>
    <w:p>
      <w:pPr>
        <w:ind w:left="60" w:right="99" w:firstLine="427"/>
        <w:spacing w:after="0" w:line="319" w:lineRule="auto"/>
        <w:rPr>
          <w:sz w:val="20"/>
          <w:szCs w:val="20"/>
          <w:color w:val="auto"/>
        </w:rPr>
      </w:pPr>
      <w:r>
        <w:rPr>
          <w:rFonts w:ascii="Arial" w:cs="Arial" w:eastAsia="Arial" w:hAnsi="Arial"/>
          <w:sz w:val="17"/>
          <w:szCs w:val="17"/>
          <w:i w:val="1"/>
          <w:iCs w:val="1"/>
          <w:color w:val="auto"/>
        </w:rPr>
        <w:t xml:space="preserve">Long-lived asset impairment </w:t>
      </w:r>
      <w:r>
        <w:rPr>
          <w:rFonts w:ascii="Arial" w:cs="Arial" w:eastAsia="Arial" w:hAnsi="Arial"/>
          <w:sz w:val="17"/>
          <w:szCs w:val="17"/>
          <w:color w:val="auto"/>
        </w:rPr>
        <w:t>— Long-lived assets, including property, plant and equipment, intangible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lease assets are reviewed for impairment whenever events or changes in circumstances indicate that the carrying amount of an asset group may not be recoverable. For purposes of recognition and measurement of an impairment loss, long-lived assets are grouped with other assets and liabilities at the lowest level for which identifiable cash flows are largely independent of the cash flows of other assets and liabilities (“asset group”). An impairment is recognized when the estimated undiscounted cash flows expected to result from the use of the asset group and its eventual disposition is less than its carrying amount. An impairment is measured as the amount by which an asset group’s carrying value exceeds its estimated fair value. The Company considers a long-lived asset to be abandoned when it has ceased use of such abandoned asset and if the Company has no intent to use or repurpose the asset in the future. The Company continually evaluates the carrying value and the remaining economic useful life of long-lived assets and will adjust the carrying value and remaining useful life if and when appropriate.</w:t>
      </w:r>
    </w:p>
    <w:p>
      <w:pPr>
        <w:spacing w:after="0" w:line="153" w:lineRule="exact"/>
        <w:rPr>
          <w:sz w:val="20"/>
          <w:szCs w:val="20"/>
          <w:color w:val="auto"/>
        </w:rPr>
      </w:pPr>
    </w:p>
    <w:p>
      <w:pPr>
        <w:ind w:left="60" w:right="259" w:firstLine="427"/>
        <w:spacing w:after="0" w:line="306"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Substantially all the Company’s leases are classified as operating leases and are predominately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real property for distribution centers, office space and integration facilities with a lease term of up to 20 years. The Company’s equipment leases are primarily for automobiles and distribution center and office equipment, and are not material to the consolidated financial statements.</w:t>
      </w:r>
    </w:p>
    <w:p>
      <w:pPr>
        <w:spacing w:after="0" w:line="146" w:lineRule="exact"/>
        <w:rPr>
          <w:sz w:val="20"/>
          <w:szCs w:val="20"/>
          <w:color w:val="auto"/>
        </w:rPr>
      </w:pPr>
    </w:p>
    <w:p>
      <w:pPr>
        <w:ind w:left="60" w:right="139" w:firstLine="427"/>
        <w:spacing w:after="0" w:line="302" w:lineRule="auto"/>
        <w:rPr>
          <w:sz w:val="20"/>
          <w:szCs w:val="20"/>
          <w:color w:val="auto"/>
        </w:rPr>
      </w:pPr>
      <w:r>
        <w:rPr>
          <w:rFonts w:ascii="Arial" w:cs="Arial" w:eastAsia="Arial" w:hAnsi="Arial"/>
          <w:sz w:val="18"/>
          <w:szCs w:val="18"/>
          <w:color w:val="auto"/>
        </w:rPr>
        <w:t>The Company determines if an arrangement contains a lease at inception based on whether it conveys the right to control the use of an identified asset in exchange for consideration. Lease right-of-use assets (“operating lease assets”) and associated liabilities (“operating lease liabilities”) are recognized at the commencement date of the lease based on the present value of lease payments over the lease term. Certain lease agreements may include one or more options to extend or terminate a lease. Lease terms are inclusive of these options if it is reasonably certain that the Company will exercise such options.</w:t>
      </w:r>
    </w:p>
    <w:p>
      <w:pPr>
        <w:spacing w:after="0" w:line="152" w:lineRule="exact"/>
        <w:rPr>
          <w:sz w:val="20"/>
          <w:szCs w:val="20"/>
          <w:color w:val="auto"/>
        </w:rPr>
      </w:pPr>
    </w:p>
    <w:p>
      <w:pPr>
        <w:ind w:left="60" w:right="79" w:firstLine="427"/>
        <w:spacing w:after="0" w:line="344" w:lineRule="auto"/>
        <w:rPr>
          <w:sz w:val="20"/>
          <w:szCs w:val="20"/>
          <w:color w:val="auto"/>
        </w:rPr>
      </w:pPr>
      <w:r>
        <w:rPr>
          <w:rFonts w:ascii="Arial" w:cs="Arial" w:eastAsia="Arial" w:hAnsi="Arial"/>
          <w:sz w:val="16"/>
          <w:szCs w:val="16"/>
          <w:color w:val="auto"/>
        </w:rPr>
        <w:t>The Company’s leases generally do not provide a readily determinable implicit borrowing rate, as such, the discount rate used to calculate present value is based upon an estimate of the Company’s secured borrowing rate. The estimated secured borrowing rates used at the date of adoption for each lease varies in accordance with the lease term and the currency of the lease payments. Lease cost is recognized on a straight-line basis over the lease term and is included as a component of “Selling, general, and administrative expenses” in the consolidated statements of operations. Lease payments are primarily fixed; however, certain lease agreements contain variable payments, which are expensed as incurred and not included in the measurement of operating lease assets and liabilities.</w:t>
      </w:r>
    </w:p>
    <w:p>
      <w:pPr>
        <w:spacing w:after="0" w:line="139" w:lineRule="exact"/>
        <w:rPr>
          <w:sz w:val="20"/>
          <w:szCs w:val="20"/>
          <w:color w:val="auto"/>
        </w:rPr>
      </w:pPr>
    </w:p>
    <w:p>
      <w:pPr>
        <w:ind w:left="60" w:right="59" w:firstLine="427"/>
        <w:spacing w:after="0" w:line="354"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 Goodwill represents the excess of the purchase price of acquired businesses over the estimated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assigned to the individual assets acquired and liabilities assumed. The Company does not amortize goodwill, but instead tests goodwill for impairment at least annually in the fourth quarter and, if necessary, records any impairment resulting from such goodwill impairment testing as a component of operating expenses included within goodwill and</w:t>
      </w:r>
    </w:p>
    <w:p>
      <w:pPr>
        <w:sectPr>
          <w:pgSz w:w="11900" w:h="16838" w:orient="portrait"/>
          <w:cols w:equalWidth="0" w:num="1">
            <w:col w:w="9019"/>
          </w:cols>
          <w:pgMar w:left="1440" w:top="517" w:right="1440"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119"/>
        <w:spacing w:after="0" w:line="329" w:lineRule="auto"/>
        <w:rPr>
          <w:sz w:val="20"/>
          <w:szCs w:val="20"/>
          <w:color w:val="auto"/>
        </w:rPr>
      </w:pPr>
      <w:r>
        <w:rPr>
          <w:rFonts w:ascii="Arial" w:cs="Arial" w:eastAsia="Arial" w:hAnsi="Arial"/>
          <w:sz w:val="17"/>
          <w:szCs w:val="17"/>
          <w:color w:val="auto"/>
        </w:rPr>
        <w:t>intangible asset impairment expenses in the consolidated statements of operations. Impairment testing is performed at the reporting unit level, which is defined as the same, or one level below, an operating segment. The Company will perform an interim impairment test between required annual tests if facts and circumstances indicate that it is more likely than not that the fair value of a reporting unit that has goodwill is less than its carrying value.</w:t>
      </w:r>
    </w:p>
    <w:p>
      <w:pPr>
        <w:spacing w:after="0" w:line="130" w:lineRule="exact"/>
        <w:rPr>
          <w:sz w:val="20"/>
          <w:szCs w:val="20"/>
          <w:color w:val="auto"/>
        </w:rPr>
      </w:pPr>
    </w:p>
    <w:p>
      <w:pPr>
        <w:ind w:left="60" w:right="79" w:firstLine="427"/>
        <w:spacing w:after="0" w:line="321" w:lineRule="auto"/>
        <w:rPr>
          <w:sz w:val="20"/>
          <w:szCs w:val="20"/>
          <w:color w:val="auto"/>
        </w:rPr>
      </w:pPr>
      <w:r>
        <w:rPr>
          <w:rFonts w:ascii="Arial" w:cs="Arial" w:eastAsia="Arial" w:hAnsi="Arial"/>
          <w:sz w:val="17"/>
          <w:szCs w:val="17"/>
          <w:color w:val="auto"/>
        </w:rPr>
        <w:t>In performing goodwill impairment testing, the Company may first make a qualitative assessment of whether it is more-likely-than-not that a reporting unit’s fair value is less than its carrying value. If the qualitative assessment indicates it is more-likely-than-not that a reporting unit’s fair value is not greater than its carrying value, the Company must perform a quantitative impairment test. The Company defines the fair value of a reporting unit as the price that would be received to sell the reporting unit as a whole in an orderly transaction between market participants as of the impairment test date. To determine the fair value of a reporting unit, the Company uses the income methodology of valuation, which includes the discounted cash flow method, and the market methodology of valuation, which considers values of comparable businesses to estimate the fair value of the Company’s reporting units.</w:t>
      </w:r>
    </w:p>
    <w:p>
      <w:pPr>
        <w:spacing w:after="0" w:line="136" w:lineRule="exact"/>
        <w:rPr>
          <w:sz w:val="20"/>
          <w:szCs w:val="20"/>
          <w:color w:val="auto"/>
        </w:rPr>
      </w:pPr>
    </w:p>
    <w:p>
      <w:pPr>
        <w:ind w:left="60" w:right="79" w:firstLine="427"/>
        <w:spacing w:after="0" w:line="346" w:lineRule="auto"/>
        <w:rPr>
          <w:sz w:val="20"/>
          <w:szCs w:val="20"/>
          <w:color w:val="auto"/>
        </w:rPr>
      </w:pPr>
      <w:r>
        <w:rPr>
          <w:rFonts w:ascii="Arial" w:cs="Arial" w:eastAsia="Arial" w:hAnsi="Arial"/>
          <w:sz w:val="16"/>
          <w:szCs w:val="16"/>
          <w:color w:val="auto"/>
        </w:rPr>
        <w:t>Significant management judgment is required when estimating the fair value of the Company’s reporting units from a market participant perspective including forecasting of future operating results and the discount rates used in the discounted cash flow method of valuation, and in the selection of comparable businesses and related market multiples that are used in the market method of valuation. If the estimated fair value of a reporting unit exceeds the carrying value assigned to that reporting unit, goodwill is not impaired. If the estimated fair value of a reporting unit is less than the carrying value assigned to that reporting unit, then a goodwill impairment loss is measured based on such difference.</w:t>
      </w:r>
    </w:p>
    <w:p>
      <w:pPr>
        <w:spacing w:after="0" w:line="137" w:lineRule="exact"/>
        <w:rPr>
          <w:sz w:val="20"/>
          <w:szCs w:val="20"/>
          <w:color w:val="auto"/>
        </w:rPr>
      </w:pPr>
    </w:p>
    <w:p>
      <w:pPr>
        <w:ind w:left="60" w:right="59" w:firstLine="427"/>
        <w:spacing w:after="0" w:line="344"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The assets and liabilities of foreign operations are translated into U.S. Dollars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rates in effect at each balance sheet date, with the related translation adjustments reported as a separate component of shareholders’ equity and comprehensive income (loss). Results of operations are translated using the average exchange rates prevailing throughout the reporting period. Transactions denominated in currencies other than the functional currency of the Avnet subsidiaries that are party to the transactions are remeasured at exchange rates in effect at each balance sheet date or upon settlement of the transaction. Gains and losses from such remeasurements are recorded in the consolidated statements of operations as a component of “Other (expense) income, net.”</w:t>
      </w:r>
    </w:p>
    <w:p>
      <w:pPr>
        <w:spacing w:after="0" w:line="125" w:lineRule="exact"/>
        <w:rPr>
          <w:sz w:val="20"/>
          <w:szCs w:val="20"/>
          <w:color w:val="auto"/>
        </w:rPr>
      </w:pPr>
    </w:p>
    <w:p>
      <w:pPr>
        <w:ind w:left="60" w:right="99" w:firstLine="427"/>
        <w:spacing w:after="0" w:line="343"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follows the asset and liability method of accounting for income taxes.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assets and liabilities are recognized for the estimated future tax impact of differences between the consolidated financial statement carrying amounts of assets and liabilities and their respective tax bases. Deferred income tax assets and liabilities are measured using enacted tax rates in effect for the year in which those temporary differences are expected to be recovered or settled. The effect on deferred income tax assets and liabilities of a change in tax rates is recognized within income tax expense in the period in which the new rate is enacted. Based upon historical and estimated levels of future taxable income and analysis of other key factors, the Company may increase or decrease a valuation allowance against its deferred tax assets, as deemed necessary, to adjust such assets to their estimated net realizable value.</w:t>
      </w:r>
    </w:p>
    <w:p>
      <w:pPr>
        <w:spacing w:after="0" w:line="124" w:lineRule="exact"/>
        <w:rPr>
          <w:sz w:val="20"/>
          <w:szCs w:val="20"/>
          <w:color w:val="auto"/>
        </w:rPr>
      </w:pPr>
    </w:p>
    <w:p>
      <w:pPr>
        <w:ind w:left="60" w:right="119" w:firstLine="427"/>
        <w:spacing w:after="0" w:line="349" w:lineRule="auto"/>
        <w:rPr>
          <w:sz w:val="20"/>
          <w:szCs w:val="20"/>
          <w:color w:val="auto"/>
        </w:rPr>
      </w:pPr>
      <w:r>
        <w:rPr>
          <w:rFonts w:ascii="Arial" w:cs="Arial" w:eastAsia="Arial" w:hAnsi="Arial"/>
          <w:sz w:val="16"/>
          <w:szCs w:val="16"/>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the relevant tax authorities. There may be differences between the estimated and actual outcomes of these matters that may result in future changes in estimates to such unrecognized tax benefits. To the extent such changes in estimates are required, the Company’s effective tax rate may potentially fluctuate as a result. In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139"/>
        <w:spacing w:after="0" w:line="324" w:lineRule="auto"/>
        <w:rPr>
          <w:sz w:val="20"/>
          <w:szCs w:val="20"/>
          <w:color w:val="auto"/>
        </w:rPr>
      </w:pPr>
      <w:r>
        <w:rPr>
          <w:rFonts w:ascii="Arial" w:cs="Arial" w:eastAsia="Arial" w:hAnsi="Arial"/>
          <w:sz w:val="18"/>
          <w:szCs w:val="18"/>
          <w:color w:val="auto"/>
        </w:rPr>
        <w:t>accordance with the Company’s accounting policies, accrued interest and penalties related to unrecognized tax benefits are recorded as a component of income tax expense.</w:t>
      </w:r>
    </w:p>
    <w:p>
      <w:pPr>
        <w:spacing w:after="0" w:line="130" w:lineRule="exact"/>
        <w:rPr>
          <w:sz w:val="20"/>
          <w:szCs w:val="20"/>
          <w:color w:val="auto"/>
        </w:rPr>
      </w:pPr>
    </w:p>
    <w:p>
      <w:pPr>
        <w:ind w:left="60" w:right="239" w:firstLine="427"/>
        <w:spacing w:after="0" w:line="31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 is recognized at the point at which control of the underlying products are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to the customer, which includes determining whether products are distinct and separate performance obligations. For electronic component and related product sales, this generally occurs upon shipment of the products, however, this may occur at a later date depending on the agreed upon sales terms, such as delivery at the customer's designated location, or when products that are consigned at customer locations are consumed. In limited instances, where products are not in stock and delivery times are critical, product is purchased from the supplier and drop-shipped to the customer. The Company typically takes control of the products when shipped by the manufacturer and then recognizes revenue when control of the product transfers to the customer. The Company does not have material product warranty obligations as the assurance type product warranties provided by the component manufacturers are passed through to the Company’s customers.</w:t>
      </w:r>
    </w:p>
    <w:p>
      <w:pPr>
        <w:spacing w:after="0" w:line="142" w:lineRule="exact"/>
        <w:rPr>
          <w:sz w:val="20"/>
          <w:szCs w:val="20"/>
          <w:color w:val="auto"/>
        </w:rPr>
      </w:pPr>
    </w:p>
    <w:p>
      <w:pPr>
        <w:ind w:left="60" w:right="139" w:firstLine="427"/>
        <w:spacing w:after="0" w:line="354" w:lineRule="auto"/>
        <w:rPr>
          <w:sz w:val="20"/>
          <w:szCs w:val="20"/>
          <w:color w:val="auto"/>
        </w:rPr>
      </w:pPr>
      <w:r>
        <w:rPr>
          <w:rFonts w:ascii="Arial" w:cs="Arial" w:eastAsia="Arial" w:hAnsi="Arial"/>
          <w:sz w:val="16"/>
          <w:szCs w:val="16"/>
          <w:color w:val="auto"/>
        </w:rPr>
        <w:t>For contracts related to the specialized manufacture of products for customers with no alternative use and for which the Company has an enforceable right to payment, including a reasonable profit margin, the Company recognizes revenue over time as control of the products transfer through the manufacturing process. The contract assets associated with such specialized manufacturing products are not material as these contracts represent less than 2% of the Company’s total sales.</w:t>
      </w:r>
    </w:p>
    <w:p>
      <w:pPr>
        <w:spacing w:after="0" w:line="129" w:lineRule="exact"/>
        <w:rPr>
          <w:sz w:val="20"/>
          <w:szCs w:val="20"/>
          <w:color w:val="auto"/>
        </w:rPr>
      </w:pPr>
    </w:p>
    <w:p>
      <w:pPr>
        <w:ind w:left="60" w:right="359" w:firstLine="427"/>
        <w:spacing w:after="0" w:line="346" w:lineRule="auto"/>
        <w:rPr>
          <w:sz w:val="20"/>
          <w:szCs w:val="20"/>
          <w:color w:val="auto"/>
        </w:rPr>
      </w:pPr>
      <w:r>
        <w:rPr>
          <w:rFonts w:ascii="Arial" w:cs="Arial" w:eastAsia="Arial" w:hAnsi="Arial"/>
          <w:sz w:val="16"/>
          <w:szCs w:val="16"/>
          <w:color w:val="auto"/>
        </w:rPr>
        <w:t>Revenue is measured as the amount of consideration the Company expects to receive in exchange for transferring products. The Company estimates different forms of variable consideration at the time of sale based on historical experience, current conditions and contractual obligations. Revenue is recorded net of customer discounts and rebates. When the Company offers the right or has a history of accepting returns of product, historical experience is utilized to establish a liability for the estimate of expected returns and an asset for the right to recover the product expected to be returned. These adjustments are made in the same period as the underlying sales transactions.</w:t>
      </w:r>
    </w:p>
    <w:p>
      <w:pPr>
        <w:spacing w:after="0" w:line="123" w:lineRule="exact"/>
        <w:rPr>
          <w:sz w:val="20"/>
          <w:szCs w:val="20"/>
          <w:color w:val="auto"/>
        </w:rPr>
      </w:pPr>
    </w:p>
    <w:p>
      <w:pPr>
        <w:ind w:left="60" w:right="119" w:firstLine="427"/>
        <w:spacing w:after="0" w:line="322" w:lineRule="auto"/>
        <w:rPr>
          <w:sz w:val="20"/>
          <w:szCs w:val="20"/>
          <w:color w:val="auto"/>
        </w:rPr>
      </w:pPr>
      <w:r>
        <w:rPr>
          <w:rFonts w:ascii="Arial" w:cs="Arial" w:eastAsia="Arial" w:hAnsi="Arial"/>
          <w:sz w:val="17"/>
          <w:szCs w:val="17"/>
          <w:color w:val="auto"/>
        </w:rPr>
        <w:t>The Company considers the following indicators amongst others when determining whether it is acting as a principal in the contract where revenue would be recorded on a gross basis: (i) the Company is primarily responsible for fulfilling the promise to provide the specified products or services; (ii) the Company has inventory risk before the specified products have been transferred to a customer or after transfer of control to the customer; and (iii) the Company has discretion in establishing the price for the specified products or services. If a transaction does not meet the Company's indicators of being a principal in the transaction, then the Company is acting as an agent in the transaction and the associated revenues are recognized on a net basis.</w:t>
      </w:r>
    </w:p>
    <w:p>
      <w:pPr>
        <w:spacing w:after="0" w:line="135" w:lineRule="exact"/>
        <w:rPr>
          <w:sz w:val="20"/>
          <w:szCs w:val="20"/>
          <w:color w:val="auto"/>
        </w:rPr>
      </w:pPr>
    </w:p>
    <w:p>
      <w:pPr>
        <w:ind w:left="60" w:right="219" w:firstLine="427"/>
        <w:spacing w:after="0" w:line="304" w:lineRule="auto"/>
        <w:rPr>
          <w:sz w:val="20"/>
          <w:szCs w:val="20"/>
          <w:color w:val="auto"/>
        </w:rPr>
      </w:pPr>
      <w:r>
        <w:rPr>
          <w:rFonts w:ascii="Arial" w:cs="Arial" w:eastAsia="Arial" w:hAnsi="Arial"/>
          <w:sz w:val="18"/>
          <w:szCs w:val="18"/>
          <w:color w:val="auto"/>
        </w:rPr>
        <w:t>Sales and other tax amounts collected from customers for remittance to governmental authorities are excluded from revenue. The Company has elected to treat shipping and handling of product as a fulfillment activity. The practical expedient not to disclose information about remaining performance obligations has also been elected as these contracts have an original duration of one year or less. The Company does not have any payment terms that exceed one year from the point it has satisfied the related performance obligations.</w:t>
      </w:r>
    </w:p>
    <w:p>
      <w:pPr>
        <w:spacing w:after="0" w:line="161" w:lineRule="exact"/>
        <w:rPr>
          <w:sz w:val="20"/>
          <w:szCs w:val="20"/>
          <w:color w:val="auto"/>
        </w:rPr>
      </w:pPr>
    </w:p>
    <w:p>
      <w:pPr>
        <w:jc w:val="both"/>
        <w:ind w:left="60" w:right="139" w:firstLine="427"/>
        <w:spacing w:after="0" w:line="336" w:lineRule="auto"/>
        <w:rPr>
          <w:sz w:val="20"/>
          <w:szCs w:val="20"/>
          <w:color w:val="auto"/>
        </w:rPr>
      </w:pPr>
      <w:r>
        <w:rPr>
          <w:rFonts w:ascii="Arial" w:cs="Arial" w:eastAsia="Arial" w:hAnsi="Arial"/>
          <w:sz w:val="17"/>
          <w:szCs w:val="17"/>
          <w:i w:val="1"/>
          <w:iCs w:val="1"/>
          <w:color w:val="auto"/>
        </w:rPr>
        <w:t xml:space="preserve">Vendor allowances and consideration </w:t>
      </w:r>
      <w:r>
        <w:rPr>
          <w:rFonts w:ascii="Arial" w:cs="Arial" w:eastAsia="Arial" w:hAnsi="Arial"/>
          <w:sz w:val="17"/>
          <w:szCs w:val="17"/>
          <w:color w:val="auto"/>
        </w:rPr>
        <w:t>— Consideration received from suppliers for price protection, product rebates,</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marketing/promotional activities, or any other programs are recorded when earned under the terms and conditions of such supplier programs as adjustments to product costs or selling, general and administrative expenses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539"/>
        <w:spacing w:after="0" w:line="357" w:lineRule="auto"/>
        <w:rPr>
          <w:sz w:val="20"/>
          <w:szCs w:val="20"/>
          <w:color w:val="auto"/>
        </w:rPr>
      </w:pPr>
      <w:r>
        <w:rPr>
          <w:rFonts w:ascii="Arial" w:cs="Arial" w:eastAsia="Arial" w:hAnsi="Arial"/>
          <w:sz w:val="17"/>
          <w:szCs w:val="17"/>
          <w:color w:val="auto"/>
        </w:rPr>
        <w:t>depending upon the nature and contractual requirements related to the consideration received. Some of these supplier programs require management to make estimates and may extend over one or more reporting periods.</w:t>
      </w:r>
    </w:p>
    <w:p>
      <w:pPr>
        <w:spacing w:after="0" w:line="107" w:lineRule="exact"/>
        <w:rPr>
          <w:sz w:val="20"/>
          <w:szCs w:val="20"/>
          <w:color w:val="auto"/>
        </w:rPr>
      </w:pPr>
    </w:p>
    <w:p>
      <w:pPr>
        <w:jc w:val="both"/>
        <w:ind w:left="60" w:right="79" w:firstLine="427"/>
        <w:spacing w:after="0" w:line="364" w:lineRule="auto"/>
        <w:rPr>
          <w:sz w:val="20"/>
          <w:szCs w:val="20"/>
          <w:color w:val="auto"/>
        </w:rPr>
      </w:pPr>
      <w:r>
        <w:rPr>
          <w:rFonts w:ascii="Arial" w:cs="Arial" w:eastAsia="Arial" w:hAnsi="Arial"/>
          <w:sz w:val="16"/>
          <w:szCs w:val="16"/>
          <w:i w:val="1"/>
          <w:iCs w:val="1"/>
          <w:color w:val="auto"/>
        </w:rPr>
        <w:t xml:space="preserve">Comprehensive income (loss) </w:t>
      </w:r>
      <w:r>
        <w:rPr>
          <w:rFonts w:ascii="Arial" w:cs="Arial" w:eastAsia="Arial" w:hAnsi="Arial"/>
          <w:sz w:val="16"/>
          <w:szCs w:val="16"/>
          <w:color w:val="auto"/>
        </w:rPr>
        <w:t>— Comprehensive income (loss) represents net income for the year adjusted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shareholders’ equity. Accumulated comprehensive income (loss) items impacting comprehensive income (loss) includes foreign currency translation and the impact of the Company’s pension liability adjustments, net of tax.</w:t>
      </w:r>
    </w:p>
    <w:p>
      <w:pPr>
        <w:spacing w:after="0" w:line="108" w:lineRule="exact"/>
        <w:rPr>
          <w:sz w:val="20"/>
          <w:szCs w:val="20"/>
          <w:color w:val="auto"/>
        </w:rPr>
      </w:pPr>
    </w:p>
    <w:p>
      <w:pPr>
        <w:ind w:left="60" w:right="139" w:firstLine="427"/>
        <w:spacing w:after="0" w:line="321"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The Company measures stock-based payments at fair value and generally recognizes</w:t>
      </w:r>
      <w:r>
        <w:rPr>
          <w:rFonts w:ascii="Arial" w:cs="Arial" w:eastAsia="Arial" w:hAnsi="Arial"/>
          <w:sz w:val="17"/>
          <w:szCs w:val="17"/>
          <w:i w:val="1"/>
          <w:iCs w:val="1"/>
          <w:color w:val="auto"/>
        </w:rPr>
        <w:t xml:space="preserve"> </w:t>
      </w:r>
      <w:r>
        <w:rPr>
          <w:rFonts w:ascii="Arial" w:cs="Arial" w:eastAsia="Arial" w:hAnsi="Arial"/>
          <w:sz w:val="17"/>
          <w:szCs w:val="17"/>
          <w:color w:val="auto"/>
        </w:rPr>
        <w:t>the associated operating expense in the consolidated statements of operations over the requisite service period (see Note 12). A stock-based payment is considered vested for accounting expense attribution purposes when the employee’s retention of the award is no longer contingent on providing continued service. Accordingly, the Company recognizes all stock-based compensation expense for awards granted to retirement eligible employees over the period from the grant date to the date retirement eligibility is achieved, if less than the stated requisite service period. The expense attribution approach for retirement eligible employees does not affect the overall amount of compensation expense recognized, but instead accelerates the recognition of such expense.</w:t>
      </w:r>
    </w:p>
    <w:p>
      <w:pPr>
        <w:spacing w:after="0" w:line="149" w:lineRule="exact"/>
        <w:rPr>
          <w:sz w:val="20"/>
          <w:szCs w:val="20"/>
          <w:color w:val="auto"/>
        </w:rPr>
      </w:pPr>
    </w:p>
    <w:p>
      <w:pPr>
        <w:ind w:left="60" w:right="199" w:firstLine="427"/>
        <w:spacing w:after="0" w:line="342" w:lineRule="auto"/>
        <w:rPr>
          <w:sz w:val="20"/>
          <w:szCs w:val="20"/>
          <w:color w:val="auto"/>
        </w:rPr>
      </w:pPr>
      <w:r>
        <w:rPr>
          <w:rFonts w:ascii="Arial" w:cs="Arial" w:eastAsia="Arial" w:hAnsi="Arial"/>
          <w:sz w:val="16"/>
          <w:szCs w:val="16"/>
          <w:i w:val="1"/>
          <w:iCs w:val="1"/>
          <w:color w:val="auto"/>
        </w:rPr>
        <w:t xml:space="preserve">Restructuring and exit activities </w:t>
      </w:r>
      <w:r>
        <w:rPr>
          <w:rFonts w:ascii="Arial" w:cs="Arial" w:eastAsia="Arial" w:hAnsi="Arial"/>
          <w:sz w:val="16"/>
          <w:szCs w:val="16"/>
          <w:color w:val="auto"/>
        </w:rPr>
        <w:t>— The determination of when the Company accrues for involuntary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benefits under restructuring plans depends on whether the termination benefits are provided under an on-going benefit arrangement or under a one-time benefit arrangement. The Company accounts for on-going benefit arrangements in accordance with Accounting Standards Codification 712 (“ASC 712”) </w:t>
      </w:r>
      <w:r>
        <w:rPr>
          <w:rFonts w:ascii="Arial" w:cs="Arial" w:eastAsia="Arial" w:hAnsi="Arial"/>
          <w:sz w:val="16"/>
          <w:szCs w:val="16"/>
          <w:i w:val="1"/>
          <w:iCs w:val="1"/>
          <w:color w:val="auto"/>
        </w:rPr>
        <w:t>Nonretirement Postemployment Benefits</w:t>
      </w:r>
      <w:r>
        <w:rPr>
          <w:rFonts w:ascii="Arial" w:cs="Arial" w:eastAsia="Arial" w:hAnsi="Arial"/>
          <w:sz w:val="16"/>
          <w:szCs w:val="16"/>
          <w:color w:val="auto"/>
        </w:rPr>
        <w:t xml:space="preserve"> and accounts for one-time benefit arrangements in accordance with ASC 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If applicable, the Company records such costs into operating expense over the terminated employee’s future service period beyond any minimum retention period. Other costs associated with restructuring or exit activities may include contract termination costs including operating leases and impairments of long-lived assets, which are expensed in accordance with ASC 420 </w:t>
      </w:r>
      <w:r>
        <w:rPr>
          <w:rFonts w:ascii="Arial" w:cs="Arial" w:eastAsia="Arial" w:hAnsi="Arial"/>
          <w:sz w:val="16"/>
          <w:szCs w:val="16"/>
          <w:i w:val="1"/>
          <w:iCs w:val="1"/>
          <w:color w:val="auto"/>
        </w:rPr>
        <w:t xml:space="preserve">Exit or Disposal Cost Obligations </w:t>
      </w:r>
      <w:r>
        <w:rPr>
          <w:rFonts w:ascii="Arial" w:cs="Arial" w:eastAsia="Arial" w:hAnsi="Arial"/>
          <w:sz w:val="16"/>
          <w:szCs w:val="16"/>
          <w:color w:val="auto"/>
        </w:rPr>
        <w:t>and ASC 360</w:t>
      </w:r>
      <w:r>
        <w:rPr>
          <w:rFonts w:ascii="Arial" w:cs="Arial" w:eastAsia="Arial" w:hAnsi="Arial"/>
          <w:sz w:val="16"/>
          <w:szCs w:val="16"/>
          <w:i w:val="1"/>
          <w:iCs w:val="1"/>
          <w:color w:val="auto"/>
        </w:rPr>
        <w:t xml:space="preserve"> Property, Plant and Equipment</w:t>
      </w:r>
      <w:r>
        <w:rPr>
          <w:rFonts w:ascii="Arial" w:cs="Arial" w:eastAsia="Arial" w:hAnsi="Arial"/>
          <w:sz w:val="16"/>
          <w:szCs w:val="16"/>
          <w:color w:val="auto"/>
        </w:rPr>
        <w:t>, respectively.</w:t>
      </w:r>
    </w:p>
    <w:p>
      <w:pPr>
        <w:spacing w:after="0" w:line="124" w:lineRule="exact"/>
        <w:rPr>
          <w:sz w:val="20"/>
          <w:szCs w:val="20"/>
          <w:color w:val="auto"/>
        </w:rPr>
      </w:pPr>
    </w:p>
    <w:p>
      <w:pPr>
        <w:ind w:left="60" w:right="159" w:firstLine="427"/>
        <w:spacing w:after="0" w:line="321"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 The Company accounts for business acquisitions using the acquisition method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and records any identifiable definite-lived intangible assets separate from goodwill. Intangible assets are recorded at their fair value based on estimates as of the date of acquisition. Goodwill is recorded as the residual amount of the purchase price consideration less the fair value assigned to the individual identifiable assets acquired and liabilities assumed as of the date of acquisition. Contingent consideration, which represents an obligation of the Company to make additional payments or equity interests to the former owner as part of the purchase price if specified future events occur or conditions are met, is accounted for at the acquisition date fair value either as a liability or as equity depending on the terms of the acquisition agreement.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139" w:firstLine="427"/>
        <w:spacing w:after="0" w:line="344" w:lineRule="auto"/>
        <w:rPr>
          <w:sz w:val="20"/>
          <w:szCs w:val="20"/>
          <w:color w:val="auto"/>
        </w:rPr>
      </w:pPr>
      <w:r>
        <w:rPr>
          <w:rFonts w:ascii="Arial" w:cs="Arial" w:eastAsia="Arial" w:hAnsi="Arial"/>
          <w:sz w:val="16"/>
          <w:szCs w:val="16"/>
          <w:i w:val="1"/>
          <w:iCs w:val="1"/>
          <w:color w:val="auto"/>
        </w:rPr>
        <w:t xml:space="preserve">Concentration of credit risk </w:t>
      </w:r>
      <w:r>
        <w:rPr>
          <w:rFonts w:ascii="Arial" w:cs="Arial" w:eastAsia="Arial" w:hAnsi="Arial"/>
          <w:sz w:val="16"/>
          <w:szCs w:val="16"/>
          <w:color w:val="auto"/>
        </w:rPr>
        <w:t>— Financial instruments that potentially subject the Company to a concentration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risk principally consist of cash and cash equivalents, marketable securities and trade accounts receivable. The Company invests its excess cash primarily in overnight time deposits and institutional money market funds with highly rated financial institutions. To reduce credit risk, management performs ongoing credit evaluations of its customers’ financial condition and, in some instances, has obtained credit insurance coverage to reduce such risk. The Company maintains reserves for potential credit losses from customers, but has not historically experienced material losses related to individual customers or groups of customers in any particular end market or geographic area.</w:t>
      </w:r>
    </w:p>
    <w:p>
      <w:pPr>
        <w:spacing w:after="0" w:line="125" w:lineRule="exact"/>
        <w:rPr>
          <w:sz w:val="20"/>
          <w:szCs w:val="20"/>
          <w:color w:val="auto"/>
        </w:rPr>
      </w:pPr>
    </w:p>
    <w:p>
      <w:pPr>
        <w:ind w:left="60" w:right="119" w:firstLine="427"/>
        <w:spacing w:after="0" w:line="339" w:lineRule="auto"/>
        <w:rPr>
          <w:sz w:val="20"/>
          <w:szCs w:val="20"/>
          <w:color w:val="auto"/>
        </w:rPr>
      </w:pPr>
      <w:r>
        <w:rPr>
          <w:rFonts w:ascii="Arial" w:cs="Arial" w:eastAsia="Arial" w:hAnsi="Arial"/>
          <w:sz w:val="16"/>
          <w:szCs w:val="16"/>
          <w:i w:val="1"/>
          <w:iCs w:val="1"/>
          <w:color w:val="auto"/>
        </w:rPr>
        <w:t xml:space="preserve">Fair value </w:t>
      </w:r>
      <w:r>
        <w:rPr>
          <w:rFonts w:ascii="Arial" w:cs="Arial" w:eastAsia="Arial" w:hAnsi="Arial"/>
          <w:sz w:val="16"/>
          <w:szCs w:val="16"/>
          <w:color w:val="auto"/>
        </w:rPr>
        <w:t>— The Company measures financial assets and liabilities at fair value based upon an exit price,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representing the amount that would be received from the sale of an asset or paid to transfer a liability, in an orderly transaction between market participants.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requires inputs used in valuation techniques for measuring fair value on a recurring or non-recurring basis be assigned to a hierarchical level as follows: Level 1 are observable inputs that reflect quoted prices for identical assets or liabilities in active markets, Level 2 are observable market-based inputs or unobservable inputs that are corroborated by market data and Level 3 are unobservable inputs that are not corroborated by market data. During fiscal 2020, 2019 and 2018, there were no transfers of assets measured at fair value between the three levels of the fair value hierarchy. The carrying amounts of the Company’s financial instruments, including cash equivalents, receivables and accounts payable approximate their fair values at June 27, 2020 due to the short-term nature of these assets and liabilities. At June 27, 2020, and June 29, 2019, the Company had $20.9 million and $9.4 million, respectively, of cash equivalents that were measured at fair value based upon Level 1 criteria. See Note 3 for discussion of the fair value of the Company’s derivative financial instruments, Note 7 for discussion of the fair value of the Company’s long-term debt and Note 10 for a discussion of the fair value of the Company’s pension plan assets.</w:t>
      </w:r>
    </w:p>
    <w:p>
      <w:pPr>
        <w:spacing w:after="0" w:line="132" w:lineRule="exact"/>
        <w:rPr>
          <w:sz w:val="20"/>
          <w:szCs w:val="20"/>
          <w:color w:val="auto"/>
        </w:rPr>
      </w:pPr>
    </w:p>
    <w:p>
      <w:pPr>
        <w:ind w:left="60" w:right="619" w:firstLine="427"/>
        <w:spacing w:after="0" w:line="32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See Note 3 for discussion of the Company’s accounting policies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financial instruments.</w:t>
      </w:r>
    </w:p>
    <w:p>
      <w:pPr>
        <w:spacing w:after="0" w:line="143" w:lineRule="exact"/>
        <w:rPr>
          <w:sz w:val="20"/>
          <w:szCs w:val="20"/>
          <w:color w:val="auto"/>
        </w:rPr>
      </w:pPr>
    </w:p>
    <w:p>
      <w:pPr>
        <w:ind w:left="60" w:right="79" w:firstLine="427"/>
        <w:spacing w:after="0" w:line="342"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Equity investments in businesses or start-up companies (“ventures”) are accounted for using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method if the investment provides the Company the ability to exercise significant influence, but not control, over the ventures. All other equity investments, which consist of investments for which the Company does not possess the ability to exercise significant influence over the ventures, are measured at fair value, using quoted market prices, or at cost minus impairment, if any, plus or minus changes resulting from observable price changes when fair value is not readily determinable. Investments in ventures are included in "Other assets" in the Company's consolidated balance sheets. Changes in fair value, including impairments for investments in ventures, if any, are recorded in "Other (expense) income, net" in the Company's consolidated statements of operations. As of June 27, 2020, the Company’s investments in ventures was not material to the consolidated balance sheets or consolidated statements of operations.</w:t>
      </w:r>
    </w:p>
    <w:p>
      <w:pPr>
        <w:spacing w:after="0" w:line="124" w:lineRule="exact"/>
        <w:rPr>
          <w:sz w:val="20"/>
          <w:szCs w:val="20"/>
          <w:color w:val="auto"/>
        </w:rPr>
      </w:pPr>
    </w:p>
    <w:p>
      <w:pPr>
        <w:ind w:left="60" w:right="219" w:firstLine="427"/>
        <w:spacing w:after="0" w:line="306" w:lineRule="auto"/>
        <w:rPr>
          <w:sz w:val="20"/>
          <w:szCs w:val="20"/>
          <w:color w:val="auto"/>
        </w:rPr>
      </w:pPr>
      <w:r>
        <w:rPr>
          <w:rFonts w:ascii="Arial" w:cs="Arial" w:eastAsia="Arial" w:hAnsi="Arial"/>
          <w:sz w:val="18"/>
          <w:szCs w:val="18"/>
          <w:i w:val="1"/>
          <w:iCs w:val="1"/>
          <w:color w:val="auto"/>
        </w:rPr>
        <w:t xml:space="preserve">Accounts receivable securitization </w:t>
      </w:r>
      <w:r>
        <w:rPr>
          <w:rFonts w:ascii="Arial" w:cs="Arial" w:eastAsia="Arial" w:hAnsi="Arial"/>
          <w:sz w:val="18"/>
          <w:szCs w:val="18"/>
          <w:color w:val="auto"/>
        </w:rPr>
        <w:t>— The Company has an accounts receivable securitization program whereby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sells certain receivables and retains a subordinated interest and servicing rights to those receivables. The securitization program does not qualify for off-balance sheet sales accounting and is accounted for as a secured financing as discussed further in Note 7.</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119" w:firstLine="427"/>
        <w:spacing w:after="0" w:line="304" w:lineRule="auto"/>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 The Company adopted Accounting Standards Update (“ASU”) No.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its related amendments (collectively “ASC 842”) on June 30, 2019 (the first day of fiscal 2020) using the modified transition approach without restating the comparative period consolidated financial statements. The standard requires lessees to recognize a right-of-use asset and a short-term and long-term lease liability for all leases.</w:t>
      </w:r>
    </w:p>
    <w:p>
      <w:pPr>
        <w:spacing w:after="0" w:line="147" w:lineRule="exact"/>
        <w:rPr>
          <w:sz w:val="20"/>
          <w:szCs w:val="20"/>
          <w:color w:val="auto"/>
        </w:rPr>
      </w:pPr>
    </w:p>
    <w:p>
      <w:pPr>
        <w:ind w:left="60" w:right="79" w:firstLine="472"/>
        <w:spacing w:after="0" w:line="304" w:lineRule="auto"/>
        <w:rPr>
          <w:sz w:val="20"/>
          <w:szCs w:val="20"/>
          <w:color w:val="auto"/>
        </w:rPr>
      </w:pPr>
      <w:r>
        <w:rPr>
          <w:rFonts w:ascii="Arial" w:cs="Arial" w:eastAsia="Arial" w:hAnsi="Arial"/>
          <w:sz w:val="18"/>
          <w:szCs w:val="18"/>
          <w:color w:val="auto"/>
        </w:rPr>
        <w:t>The adoption of ASC 842 did not have a material impact on the Company’s consolidated statements of operations or retained earnings. The Company elected the package of practical expedients permitted under the transition guidance that allowed, among other things, the historical lease classification to be carried forward without reassessment and the hindsight practical expedient. The Company elected to not separate lease and non-lease components for its real estate leases. Refer to Note 11 for additional disclosures related to leases.</w:t>
      </w:r>
    </w:p>
    <w:p>
      <w:pPr>
        <w:spacing w:after="0" w:line="147" w:lineRule="exact"/>
        <w:rPr>
          <w:sz w:val="20"/>
          <w:szCs w:val="20"/>
          <w:color w:val="auto"/>
        </w:rPr>
      </w:pPr>
    </w:p>
    <w:p>
      <w:pPr>
        <w:ind w:left="60" w:right="79" w:firstLine="427"/>
        <w:spacing w:after="0" w:line="301"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 Targeted Improvements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Accounting for Hedging Activities” </w:t>
      </w:r>
      <w:r>
        <w:rPr>
          <w:rFonts w:ascii="Arial" w:cs="Arial" w:eastAsia="Arial" w:hAnsi="Arial"/>
          <w:sz w:val="18"/>
          <w:szCs w:val="18"/>
          <w:color w:val="auto"/>
        </w:rPr>
        <w:t>and its related amendments (collectively “ASC 815”), which improves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of hedging relationships to better portray the economic results of an entity’s risk management activities in its financial statements and makes certain targeted improvements to simplify the qualification and application of hedge accounting compared to historical GAAP. This update is effective for fiscal years beginning after December 15, 2018, with early adoption permitted. The adoption of ASC 815 in the first quarter of fiscal 2020 did not have an impact on the Company’s consolidated financial statements.</w:t>
      </w:r>
    </w:p>
    <w:p>
      <w:pPr>
        <w:spacing w:after="0" w:line="163" w:lineRule="exact"/>
        <w:rPr>
          <w:sz w:val="20"/>
          <w:szCs w:val="20"/>
          <w:color w:val="auto"/>
        </w:rPr>
      </w:pPr>
    </w:p>
    <w:p>
      <w:pPr>
        <w:ind w:left="480" w:right="5599" w:hanging="430"/>
        <w:spacing w:after="0" w:line="503" w:lineRule="auto"/>
        <w:tabs>
          <w:tab w:leader="none" w:pos="233"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Discontinued operations </w:t>
      </w:r>
      <w:r>
        <w:rPr>
          <w:rFonts w:ascii="Arial" w:cs="Arial" w:eastAsia="Arial" w:hAnsi="Arial"/>
          <w:sz w:val="18"/>
          <w:szCs w:val="18"/>
          <w:i w:val="1"/>
          <w:iCs w:val="1"/>
          <w:color w:val="auto"/>
        </w:rPr>
        <w:t>Acquisitions</w:t>
      </w:r>
    </w:p>
    <w:p>
      <w:pPr>
        <w:ind w:left="60" w:right="79" w:firstLine="427"/>
        <w:spacing w:after="0" w:line="336" w:lineRule="auto"/>
        <w:rPr>
          <w:sz w:val="20"/>
          <w:szCs w:val="20"/>
          <w:color w:val="auto"/>
        </w:rPr>
      </w:pPr>
      <w:r>
        <w:rPr>
          <w:rFonts w:ascii="Arial" w:cs="Arial" w:eastAsia="Arial" w:hAnsi="Arial"/>
          <w:sz w:val="17"/>
          <w:szCs w:val="17"/>
          <w:color w:val="auto"/>
        </w:rPr>
        <w:t>In the second quarter of fiscal 2020, the Company completed two acquisitions. The impact of these acquisitions was not material to the Company’s consolidated balance sheets or statements of operations and as a result, the Company has not disclosed the preliminary allocation of purchase price or the pro-forma impact of the acquisition.</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Discontinued Operations</w:t>
      </w:r>
    </w:p>
    <w:p>
      <w:pPr>
        <w:spacing w:after="0" w:line="239" w:lineRule="exact"/>
        <w:rPr>
          <w:sz w:val="20"/>
          <w:szCs w:val="20"/>
          <w:color w:val="auto"/>
        </w:rPr>
      </w:pPr>
    </w:p>
    <w:p>
      <w:pPr>
        <w:ind w:left="60" w:right="139" w:firstLine="427"/>
        <w:spacing w:after="0" w:line="310" w:lineRule="auto"/>
        <w:rPr>
          <w:sz w:val="20"/>
          <w:szCs w:val="20"/>
          <w:color w:val="auto"/>
        </w:rPr>
      </w:pPr>
      <w:r>
        <w:rPr>
          <w:rFonts w:ascii="Arial" w:cs="Arial" w:eastAsia="Arial" w:hAnsi="Arial"/>
          <w:sz w:val="18"/>
          <w:szCs w:val="18"/>
          <w:color w:val="auto"/>
        </w:rPr>
        <w:t>In February 2017, the Company completed the sale of its Technology Solutions business (“TS business”) to Tech Data Corporation (the “Buyer”). The TS business and the financial impacts of the divestiture are classified as discontinued operations in all periods presented.</w:t>
      </w:r>
    </w:p>
    <w:p>
      <w:pPr>
        <w:spacing w:after="0" w:line="143" w:lineRule="exact"/>
        <w:rPr>
          <w:sz w:val="20"/>
          <w:szCs w:val="20"/>
          <w:color w:val="auto"/>
        </w:rPr>
      </w:pPr>
    </w:p>
    <w:p>
      <w:pPr>
        <w:ind w:left="60" w:right="119" w:firstLine="427"/>
        <w:spacing w:after="0" w:line="336" w:lineRule="auto"/>
        <w:rPr>
          <w:sz w:val="20"/>
          <w:szCs w:val="20"/>
          <w:color w:val="auto"/>
        </w:rPr>
      </w:pPr>
      <w:r>
        <w:rPr>
          <w:rFonts w:ascii="Arial" w:cs="Arial" w:eastAsia="Arial" w:hAnsi="Arial"/>
          <w:sz w:val="17"/>
          <w:szCs w:val="17"/>
          <w:color w:val="auto"/>
        </w:rPr>
        <w:t>Under the contractual terms of the sale of the TS business, the Company has indemnified the Buyer for certain liabilities including tax related matters, which may result in future indemnification expenses and indemnification payments to the Buyer depending upon the outcome of those matters subject to indemnification.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Derivative financial instruments</w:t>
      </w:r>
    </w:p>
    <w:p>
      <w:pPr>
        <w:spacing w:after="0" w:line="229" w:lineRule="exact"/>
        <w:rPr>
          <w:sz w:val="20"/>
          <w:szCs w:val="20"/>
          <w:color w:val="auto"/>
        </w:rPr>
      </w:pPr>
    </w:p>
    <w:p>
      <w:pPr>
        <w:ind w:left="60" w:right="79" w:firstLine="427"/>
        <w:spacing w:after="0" w:line="349"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79"/>
        <w:spacing w:after="0" w:line="334" w:lineRule="auto"/>
        <w:rPr>
          <w:sz w:val="20"/>
          <w:szCs w:val="20"/>
          <w:color w:val="auto"/>
        </w:rPr>
      </w:pPr>
      <w:r>
        <w:rPr>
          <w:rFonts w:ascii="Arial" w:cs="Arial" w:eastAsia="Arial" w:hAnsi="Arial"/>
          <w:sz w:val="16"/>
          <w:szCs w:val="16"/>
          <w:color w:val="auto"/>
        </w:rPr>
        <w:t>Company continues to have exposure to foreign currency risks to the extent they are not economically hedged. The Company adjusts any economic hedges to fair value through the consolidated statements of operations primarily within “Other (expense) income,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June 27, 2020 and June 29,</w:t>
      </w:r>
    </w:p>
    <w:p>
      <w:pPr>
        <w:spacing w:after="0" w:line="2" w:lineRule="exact"/>
        <w:rPr>
          <w:sz w:val="20"/>
          <w:szCs w:val="20"/>
          <w:color w:val="auto"/>
        </w:rPr>
      </w:pPr>
    </w:p>
    <w:p>
      <w:pPr>
        <w:jc w:val="both"/>
        <w:ind w:left="60" w:right="79"/>
        <w:spacing w:after="0" w:line="310" w:lineRule="auto"/>
        <w:rPr>
          <w:sz w:val="20"/>
          <w:szCs w:val="20"/>
          <w:color w:val="auto"/>
        </w:rPr>
      </w:pPr>
      <w:r>
        <w:rPr>
          <w:rFonts w:ascii="Arial" w:cs="Arial" w:eastAsia="Arial" w:hAnsi="Arial"/>
          <w:sz w:val="18"/>
          <w:szCs w:val="18"/>
          <w:color w:val="auto"/>
        </w:rPr>
        <w:t>2019.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43" w:lineRule="exact"/>
        <w:rPr>
          <w:sz w:val="20"/>
          <w:szCs w:val="20"/>
          <w:color w:val="auto"/>
        </w:rPr>
      </w:pPr>
    </w:p>
    <w:p>
      <w:pPr>
        <w:ind w:left="60" w:right="179" w:firstLine="427"/>
        <w:spacing w:after="0" w:line="310"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43" w:lineRule="exact"/>
        <w:rPr>
          <w:sz w:val="20"/>
          <w:szCs w:val="20"/>
          <w:color w:val="auto"/>
        </w:rPr>
      </w:pPr>
    </w:p>
    <w:p>
      <w:pPr>
        <w:ind w:left="60" w:right="79" w:firstLine="427"/>
        <w:spacing w:after="0" w:line="325" w:lineRule="auto"/>
        <w:rPr>
          <w:sz w:val="20"/>
          <w:szCs w:val="20"/>
          <w:color w:val="auto"/>
        </w:rPr>
      </w:pPr>
      <w:r>
        <w:rPr>
          <w:rFonts w:ascii="Arial" w:cs="Arial" w:eastAsia="Arial" w:hAnsi="Arial"/>
          <w:sz w:val="17"/>
          <w:szCs w:val="17"/>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 foreign currencies.</w:t>
      </w:r>
    </w:p>
    <w:p>
      <w:pPr>
        <w:spacing w:after="0" w:line="148" w:lineRule="exact"/>
        <w:rPr>
          <w:sz w:val="20"/>
          <w:szCs w:val="20"/>
          <w:color w:val="auto"/>
        </w:rPr>
      </w:pPr>
    </w:p>
    <w:p>
      <w:pPr>
        <w:ind w:left="60" w:right="119" w:firstLine="427"/>
        <w:spacing w:after="0" w:line="324" w:lineRule="auto"/>
        <w:rPr>
          <w:sz w:val="20"/>
          <w:szCs w:val="20"/>
          <w:color w:val="auto"/>
        </w:rPr>
      </w:pPr>
      <w:r>
        <w:rPr>
          <w:rFonts w:ascii="Arial" w:cs="Arial" w:eastAsia="Arial" w:hAnsi="Arial"/>
          <w:sz w:val="18"/>
          <w:szCs w:val="18"/>
          <w:color w:val="auto"/>
        </w:rPr>
        <w:t>The fair values of forward foreign currency exchange contracts not receiving hedge accounting treatment recorded in the Company’s consolidated balance sheets are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27,</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r>
      <w:tr>
        <w:trPr>
          <w:trHeight w:val="203"/>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jc w:val="right"/>
              <w:ind w:right="730"/>
              <w:spacing w:after="0" w:line="202" w:lineRule="exact"/>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7"/>
                <w:szCs w:val="17"/>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40" w:type="dxa"/>
            <w:vAlign w:val="bottom"/>
            <w:shd w:val="clear" w:color="auto" w:fill="CCEEFF"/>
          </w:tcPr>
          <w:p>
            <w:pPr>
              <w:spacing w:after="0"/>
              <w:rPr>
                <w:sz w:val="18"/>
                <w:szCs w:val="18"/>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15,605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6,154</w:t>
            </w:r>
          </w:p>
        </w:tc>
        <w:tc>
          <w:tcPr>
            <w:tcW w:w="40" w:type="dxa"/>
            <w:vAlign w:val="bottom"/>
          </w:tcPr>
          <w:p>
            <w:pPr>
              <w:spacing w:after="0"/>
              <w:rPr>
                <w:sz w:val="20"/>
                <w:szCs w:val="20"/>
                <w:color w:val="auto"/>
              </w:rPr>
            </w:pPr>
          </w:p>
        </w:tc>
      </w:tr>
    </w:tbl>
    <w:p>
      <w:pPr>
        <w:spacing w:after="0" w:line="174" w:lineRule="exact"/>
        <w:rPr>
          <w:sz w:val="20"/>
          <w:szCs w:val="20"/>
          <w:color w:val="auto"/>
        </w:rPr>
      </w:pPr>
    </w:p>
    <w:p>
      <w:pPr>
        <w:jc w:val="both"/>
        <w:ind w:left="60" w:right="179" w:firstLine="427"/>
        <w:spacing w:after="0" w:line="324" w:lineRule="auto"/>
        <w:rPr>
          <w:sz w:val="20"/>
          <w:szCs w:val="20"/>
          <w:color w:val="auto"/>
        </w:rPr>
      </w:pPr>
      <w:r>
        <w:rPr>
          <w:rFonts w:ascii="Arial" w:cs="Arial" w:eastAsia="Arial" w:hAnsi="Arial"/>
          <w:sz w:val="18"/>
          <w:szCs w:val="18"/>
          <w:color w:val="auto"/>
        </w:rPr>
        <w:t>The amount recorded to other (expense) income, net related to derivative financial instruments for economic hedges are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Years Ended</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98"/>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240"/>
              <w:spacing w:after="0" w:line="198" w:lineRule="exact"/>
              <w:rPr>
                <w:sz w:val="20"/>
                <w:szCs w:val="20"/>
                <w:color w:val="auto"/>
              </w:rPr>
            </w:pPr>
            <w:r>
              <w:rPr>
                <w:rFonts w:ascii="Arial" w:cs="Arial" w:eastAsia="Arial" w:hAnsi="Arial"/>
                <w:sz w:val="18"/>
                <w:szCs w:val="18"/>
                <w:b w:val="1"/>
                <w:bCs w:val="1"/>
                <w:color w:val="auto"/>
              </w:rPr>
              <w:t>June 27,</w:t>
            </w:r>
          </w:p>
        </w:tc>
        <w:tc>
          <w:tcPr>
            <w:tcW w:w="200" w:type="dxa"/>
            <w:vAlign w:val="bottom"/>
          </w:tcPr>
          <w:p>
            <w:pPr>
              <w:spacing w:after="0"/>
              <w:rPr>
                <w:sz w:val="17"/>
                <w:szCs w:val="17"/>
                <w:color w:val="auto"/>
              </w:rPr>
            </w:pPr>
          </w:p>
        </w:tc>
        <w:tc>
          <w:tcPr>
            <w:tcW w:w="1420" w:type="dxa"/>
            <w:vAlign w:val="bottom"/>
            <w:gridSpan w:val="2"/>
          </w:tcPr>
          <w:p>
            <w:pPr>
              <w:ind w:left="200"/>
              <w:spacing w:after="0" w:line="198" w:lineRule="exact"/>
              <w:rPr>
                <w:sz w:val="20"/>
                <w:szCs w:val="20"/>
                <w:color w:val="auto"/>
              </w:rPr>
            </w:pPr>
            <w:r>
              <w:rPr>
                <w:rFonts w:ascii="Arial" w:cs="Arial" w:eastAsia="Arial" w:hAnsi="Arial"/>
                <w:sz w:val="18"/>
                <w:szCs w:val="18"/>
                <w:b w:val="1"/>
                <w:bCs w:val="1"/>
                <w:color w:val="auto"/>
              </w:rPr>
              <w:t>June 29,</w:t>
            </w:r>
          </w:p>
        </w:tc>
        <w:tc>
          <w:tcPr>
            <w:tcW w:w="260" w:type="dxa"/>
            <w:vAlign w:val="bottom"/>
          </w:tcPr>
          <w:p>
            <w:pPr>
              <w:spacing w:after="0"/>
              <w:rPr>
                <w:sz w:val="17"/>
                <w:szCs w:val="17"/>
                <w:color w:val="auto"/>
              </w:rPr>
            </w:pPr>
          </w:p>
        </w:tc>
        <w:tc>
          <w:tcPr>
            <w:tcW w:w="120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88"/>
              </w:rPr>
              <w:t>June 30,</w:t>
            </w:r>
          </w:p>
        </w:tc>
      </w:tr>
      <w:tr>
        <w:trPr>
          <w:trHeight w:val="241"/>
        </w:trPr>
        <w:tc>
          <w:tcPr>
            <w:tcW w:w="4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03"/>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(Thousands)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financial instrument gain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12,739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2,735</w:t>
            </w:r>
          </w:p>
        </w:tc>
      </w:tr>
    </w:tbl>
    <w:p>
      <w:pPr>
        <w:spacing w:after="0" w:line="188" w:lineRule="exact"/>
        <w:rPr>
          <w:sz w:val="20"/>
          <w:szCs w:val="20"/>
          <w:color w:val="auto"/>
        </w:rPr>
      </w:pPr>
    </w:p>
    <w:p>
      <w:pPr>
        <w:ind w:left="60" w:right="339" w:firstLine="427"/>
        <w:spacing w:after="0" w:line="310"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Shareholders’ equity</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Accumulated comprehensive (loss) income</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includes the balances within accumulated other comprehensive loss: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right="580"/>
        <w:spacing w:after="0" w:line="307" w:lineRule="auto"/>
        <w:rPr>
          <w:sz w:val="20"/>
          <w:szCs w:val="20"/>
          <w:color w:val="auto"/>
        </w:rPr>
      </w:pPr>
      <w:r>
        <w:rPr>
          <w:rFonts w:ascii="Arial" w:cs="Arial" w:eastAsia="Arial" w:hAnsi="Arial"/>
          <w:sz w:val="18"/>
          <w:szCs w:val="18"/>
          <w:color w:val="auto"/>
        </w:rPr>
        <w:t>Accumulated pension liability adjustments, net of income taxes Total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-198755</wp:posOffset>
            </wp:positionV>
            <wp:extent cx="564896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16"/>
        </w:trPr>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June 27,</w:t>
            </w:r>
          </w:p>
        </w:tc>
        <w:tc>
          <w:tcPr>
            <w:tcW w:w="1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29,</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6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r>
      <w:tr>
        <w:trPr>
          <w:trHeight w:val="204"/>
        </w:trPr>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18"/>
                <w:szCs w:val="18"/>
                <w:b w:val="1"/>
                <w:bCs w:val="1"/>
                <w:color w:val="auto"/>
                <w:w w:val="81"/>
              </w:rPr>
              <w:t>(Thousands)</w:t>
            </w: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bl>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(199,151)  $ (142,469)  $  (78,848)</w:t>
      </w:r>
    </w:p>
    <w:p>
      <w:pPr>
        <w:spacing w:after="0" w:line="7"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(189,229)(161,570)</w:t>
      </w:r>
      <w:r>
        <w:rPr>
          <w:rFonts w:ascii="Arial" w:cs="Arial" w:eastAsia="Arial" w:hAnsi="Arial"/>
          <w:sz w:val="16"/>
          <w:szCs w:val="16"/>
          <w:color w:val="auto"/>
        </w:rPr>
        <w:t>(116,503)</w:t>
      </w:r>
    </w:p>
    <w:p>
      <w:pPr>
        <w:spacing w:after="0" w:line="22" w:lineRule="exact"/>
        <w:rPr>
          <w:sz w:val="20"/>
          <w:szCs w:val="20"/>
          <w:color w:val="auto"/>
        </w:rPr>
      </w:pPr>
    </w:p>
    <w:p>
      <w:pPr>
        <w:spacing w:after="0"/>
        <w:tabs>
          <w:tab w:leader="none" w:pos="1040" w:val="left"/>
          <w:tab w:leader="none" w:pos="2100" w:val="left"/>
        </w:tabs>
        <w:rPr>
          <w:sz w:val="20"/>
          <w:szCs w:val="20"/>
          <w:color w:val="auto"/>
        </w:rPr>
      </w:pPr>
      <w:r>
        <w:rPr>
          <w:rFonts w:ascii="Arial" w:cs="Arial" w:eastAsia="Arial" w:hAnsi="Arial"/>
          <w:sz w:val="18"/>
          <w:szCs w:val="18"/>
          <w:u w:val="single" w:color="auto"/>
          <w:color w:val="auto"/>
        </w:rPr>
        <w:t>$ (388,380)</w:t>
        <w:tab/>
        <w:t>$ (304,039)</w:t>
      </w:r>
      <w:r>
        <w:rPr>
          <w:sz w:val="20"/>
          <w:szCs w:val="20"/>
          <w:color w:val="auto"/>
        </w:rPr>
        <w:tab/>
      </w:r>
      <w:r>
        <w:rPr>
          <w:rFonts w:ascii="Arial" w:cs="Arial" w:eastAsia="Arial" w:hAnsi="Arial"/>
          <w:sz w:val="16"/>
          <w:szCs w:val="16"/>
          <w:u w:val="single" w:color="auto"/>
          <w:color w:val="auto"/>
        </w:rPr>
        <w:t>$ (195,351)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18859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5200" w:space="720"/>
            <w:col w:w="3099"/>
          </w:cols>
          <w:pgMar w:left="1440" w:top="517" w:right="1440" w:bottom="1440" w:gutter="0" w:footer="0" w:header="0"/>
          <w:type w:val="continuous"/>
        </w:sectPr>
      </w:pPr>
    </w:p>
    <w:p>
      <w:pPr>
        <w:ind w:left="60" w:right="239" w:firstLine="427"/>
        <w:spacing w:after="0" w:line="310" w:lineRule="auto"/>
        <w:rPr>
          <w:sz w:val="20"/>
          <w:szCs w:val="20"/>
          <w:color w:val="auto"/>
        </w:rPr>
      </w:pPr>
      <w:r>
        <w:rPr>
          <w:rFonts w:ascii="Arial" w:cs="Arial" w:eastAsia="Arial" w:hAnsi="Arial"/>
          <w:sz w:val="18"/>
          <w:szCs w:val="18"/>
          <w:color w:val="auto"/>
        </w:rPr>
        <w:t>Amounts reclassified out of accumulated comprehensive loss, net of tax, to operating expenses and discontinued operations during fiscal 2020, 2019 and 2018 substantially all related to net periodic pension costs as discussed further in Note 10.</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left="60" w:right="79" w:firstLine="427"/>
        <w:spacing w:after="0" w:line="343" w:lineRule="auto"/>
        <w:rPr>
          <w:sz w:val="20"/>
          <w:szCs w:val="20"/>
          <w:color w:val="auto"/>
        </w:rPr>
      </w:pPr>
      <w:r>
        <w:rPr>
          <w:rFonts w:ascii="Arial" w:cs="Arial" w:eastAsia="Arial" w:hAnsi="Arial"/>
          <w:sz w:val="16"/>
          <w:szCs w:val="16"/>
          <w:color w:val="auto"/>
        </w:rPr>
        <w:t>In August 2019, the Company’s Board of Directors amended the Company’s existing share repurchase program, increasing the cumulative total of authorized share repurchases to $2.95 billion of common stock in the open market or through privately negotiated transactions. The timing and actual number of shares repurchased will depend on a variety of factors such as share price, expected liquidity, expected compliance with financial debt convents, corporate and regulatory requirements, and prevailing market conditions. During fiscal 2020, the Company repurchased 5.9 million shares under this program at an average market price of $40.28 per share for a total cost of $236.4 million. Repurchased shares were retired. Since the beginning of the repurchase program through the end of fiscal 2020, the Company has repurchased 64.7 million shares at an aggregate cost of $2.48 billion, and $469.0 million remaining under its share repurchase authorization.</w:t>
      </w:r>
    </w:p>
    <w:p>
      <w:pPr>
        <w:spacing w:after="0" w:line="137" w:lineRule="exact"/>
        <w:rPr>
          <w:sz w:val="20"/>
          <w:szCs w:val="20"/>
          <w:color w:val="auto"/>
        </w:rPr>
      </w:pPr>
    </w:p>
    <w:p>
      <w:pPr>
        <w:ind w:left="60" w:right="659" w:firstLine="427"/>
        <w:spacing w:after="0" w:line="324" w:lineRule="auto"/>
        <w:rPr>
          <w:sz w:val="20"/>
          <w:szCs w:val="20"/>
          <w:color w:val="auto"/>
        </w:rPr>
      </w:pPr>
      <w:r>
        <w:rPr>
          <w:rFonts w:ascii="Arial" w:cs="Arial" w:eastAsia="Arial" w:hAnsi="Arial"/>
          <w:sz w:val="18"/>
          <w:szCs w:val="18"/>
          <w:color w:val="auto"/>
        </w:rPr>
        <w:t>As a result of the economic uncertainty caused by COVID-19, the Company has temporarily suspended share repurchases.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During fiscal 2020, the Company paid dividends of $0.84 per common share and $84.0 million in total.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5. Property, plant and equipment, net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40" w:type="dxa"/>
            <w:vAlign w:val="bottom"/>
          </w:tcPr>
          <w:p>
            <w:pPr>
              <w:ind w:left="420"/>
              <w:spacing w:after="0"/>
              <w:rPr>
                <w:sz w:val="20"/>
                <w:szCs w:val="20"/>
                <w:color w:val="auto"/>
              </w:rPr>
            </w:pPr>
            <w:r>
              <w:rPr>
                <w:rFonts w:ascii="Arial" w:cs="Arial" w:eastAsia="Arial" w:hAnsi="Arial"/>
                <w:sz w:val="18"/>
                <w:szCs w:val="18"/>
                <w:color w:val="auto"/>
                <w:w w:val="93"/>
              </w:rPr>
              <w:t>Property, plant and equipment are recorded at cost and consist of the following:</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340" w:type="dxa"/>
            <w:vAlign w:val="bottom"/>
          </w:tcPr>
          <w:p>
            <w:pPr>
              <w:spacing w:after="0"/>
              <w:rPr>
                <w:sz w:val="24"/>
                <w:szCs w:val="24"/>
                <w:color w:val="auto"/>
              </w:rPr>
            </w:pPr>
          </w:p>
        </w:tc>
        <w:tc>
          <w:tcPr>
            <w:tcW w:w="1440" w:type="dxa"/>
            <w:vAlign w:val="bottom"/>
            <w:gridSpan w:val="4"/>
          </w:tcPr>
          <w:p>
            <w:pPr>
              <w:ind w:left="200"/>
              <w:spacing w:after="0"/>
              <w:rPr>
                <w:sz w:val="20"/>
                <w:szCs w:val="20"/>
                <w:color w:val="auto"/>
              </w:rPr>
            </w:pPr>
            <w:r>
              <w:rPr>
                <w:rFonts w:ascii="Arial" w:cs="Arial" w:eastAsia="Arial" w:hAnsi="Arial"/>
                <w:sz w:val="18"/>
                <w:szCs w:val="18"/>
                <w:b w:val="1"/>
                <w:bCs w:val="1"/>
                <w:color w:val="auto"/>
              </w:rPr>
              <w:t>June 27, 2020</w:t>
            </w:r>
          </w:p>
        </w:tc>
        <w:tc>
          <w:tcPr>
            <w:tcW w:w="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8"/>
                <w:szCs w:val="18"/>
                <w:b w:val="1"/>
                <w:bCs w:val="1"/>
                <w:color w:val="auto"/>
                <w:w w:val="92"/>
              </w:rPr>
              <w:t>June 29, 2019</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040" w:type="dxa"/>
            <w:vAlign w:val="bottom"/>
            <w:gridSpan w:val="3"/>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6"/>
          </w:tcPr>
          <w:p>
            <w:pPr>
              <w:jc w:val="right"/>
              <w:ind w:right="590"/>
              <w:spacing w:after="0" w:line="202" w:lineRule="exact"/>
              <w:rPr>
                <w:sz w:val="20"/>
                <w:szCs w:val="20"/>
                <w:color w:val="auto"/>
              </w:rPr>
            </w:pPr>
            <w:r>
              <w:rPr>
                <w:rFonts w:ascii="Arial" w:cs="Arial" w:eastAsia="Arial" w:hAnsi="Arial"/>
                <w:sz w:val="18"/>
                <w:szCs w:val="18"/>
                <w:b w:val="1"/>
                <w:bCs w:val="1"/>
                <w:color w:val="auto"/>
              </w:rPr>
              <w:t>(Thousands)</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124,007</w:t>
            </w:r>
          </w:p>
        </w:tc>
        <w:tc>
          <w:tcPr>
            <w:tcW w:w="2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Machinery, fixtures and equipment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242,347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hardware and software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117,036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107,659</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Depreciable property, plant and equipment, gross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1,292,572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1,253,668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(938,002)</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(886,062)</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Depreciable property, plant and equipment,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60,691</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40" w:type="dxa"/>
            <w:vAlign w:val="bottom"/>
          </w:tcPr>
          <w:p>
            <w:pPr>
              <w:spacing w:after="0" w:line="203" w:lineRule="exact"/>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404,607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452,171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9" w:firstLine="427"/>
        <w:spacing w:after="0" w:line="310" w:lineRule="auto"/>
        <w:rPr>
          <w:sz w:val="20"/>
          <w:szCs w:val="20"/>
          <w:color w:val="auto"/>
        </w:rPr>
      </w:pPr>
      <w:r>
        <w:rPr>
          <w:rFonts w:ascii="Arial" w:cs="Arial" w:eastAsia="Arial" w:hAnsi="Arial"/>
          <w:sz w:val="18"/>
          <w:szCs w:val="18"/>
          <w:color w:val="auto"/>
        </w:rPr>
        <w:t>Depreciation expense including accelerated depreciation related to property, plant and equipment was $101.1 million, $97.2 million and $143.4 million in fiscal 2020, 2019 and 2018, respectively. Interest expense capitalized during fiscal 2020, 2019 and 2018 was not material.</w:t>
      </w:r>
    </w:p>
    <w:p>
      <w:pPr>
        <w:spacing w:after="0" w:line="156" w:lineRule="exact"/>
        <w:rPr>
          <w:sz w:val="20"/>
          <w:szCs w:val="20"/>
          <w:color w:val="auto"/>
        </w:rPr>
      </w:pPr>
    </w:p>
    <w:p>
      <w:pPr>
        <w:ind w:left="60" w:right="159" w:firstLine="427"/>
        <w:spacing w:after="0" w:line="336" w:lineRule="auto"/>
        <w:rPr>
          <w:sz w:val="20"/>
          <w:szCs w:val="20"/>
          <w:color w:val="auto"/>
        </w:rPr>
      </w:pPr>
      <w:r>
        <w:rPr>
          <w:rFonts w:ascii="Arial" w:cs="Arial" w:eastAsia="Arial" w:hAnsi="Arial"/>
          <w:sz w:val="17"/>
          <w:szCs w:val="17"/>
          <w:color w:val="auto"/>
        </w:rPr>
        <w:t>Included as a component of restructuring, integration and other expenses was $10.9 million, $11.3 million and $52.9 million of accelerated depreciation expense for fiscal 2020, 2019 and 2018, respectively, associated with the changes in estimates of the useful life of certain information technology hardware and software in the Americas.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Goodwill, intangible assets and impairments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change in goodwill balances by reportable segment for fiscal year 2020.</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Electronic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Farnell</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88"/>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June 29, 2019 </w:t>
            </w:r>
            <w:r>
              <w:rPr>
                <w:rFonts w:ascii="Arial" w:cs="Arial" w:eastAsia="Arial" w:hAnsi="Arial"/>
                <w:sz w:val="25"/>
                <w:szCs w:val="25"/>
                <w:color w:val="auto"/>
                <w:vertAlign w:val="superscript"/>
              </w:rPr>
              <w:t>(1)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485,832</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876,728</w:t>
            </w:r>
          </w:p>
        </w:tc>
      </w:tr>
      <w:tr>
        <w:trPr>
          <w:trHeight w:val="216"/>
        </w:trPr>
        <w:tc>
          <w:tcPr>
            <w:tcW w:w="2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Additions from acquisitions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28,819</w:t>
            </w: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Impairment of goodwill</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(118,731)</w:t>
            </w: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currency translation</w:t>
            </w: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June 27, 2020 </w:t>
            </w:r>
            <w:r>
              <w:rPr>
                <w:rFonts w:ascii="Arial" w:cs="Arial" w:eastAsia="Arial" w:hAnsi="Arial"/>
                <w:sz w:val="25"/>
                <w:szCs w:val="25"/>
                <w:color w:val="auto"/>
                <w:vertAlign w:val="superscript"/>
              </w:rPr>
              <w:t>(2)</w:t>
            </w: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297,836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475,898</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773,734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5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1" w:lineRule="exact"/>
        <w:rPr>
          <w:sz w:val="20"/>
          <w:szCs w:val="20"/>
          <w:color w:val="auto"/>
        </w:rPr>
      </w:pPr>
    </w:p>
    <w:p>
      <w:pPr>
        <w:ind w:left="300" w:hanging="250"/>
        <w:spacing w:after="0"/>
        <w:tabs>
          <w:tab w:leader="none" w:pos="300" w:val="left"/>
        </w:tabs>
        <w:numPr>
          <w:ilvl w:val="0"/>
          <w:numId w:val="20"/>
        </w:numPr>
        <w:rPr>
          <w:rFonts w:ascii="Arial" w:cs="Arial" w:eastAsia="Arial" w:hAnsi="Arial"/>
          <w:sz w:val="11"/>
          <w:szCs w:val="11"/>
          <w:color w:val="auto"/>
        </w:rPr>
      </w:pPr>
      <w:r>
        <w:rPr>
          <w:rFonts w:ascii="Arial" w:cs="Arial" w:eastAsia="Arial" w:hAnsi="Arial"/>
          <w:sz w:val="15"/>
          <w:szCs w:val="15"/>
          <w:color w:val="auto"/>
        </w:rPr>
        <w:t>Includes accumulated impairment of $1,045,110 from fiscal 2009, $181,440 from fiscal 2018 and $137,396 from fiscal 2019.</w:t>
      </w:r>
    </w:p>
    <w:p>
      <w:pPr>
        <w:spacing w:after="0" w:line="3" w:lineRule="exact"/>
        <w:rPr>
          <w:rFonts w:ascii="Arial" w:cs="Arial" w:eastAsia="Arial" w:hAnsi="Arial"/>
          <w:sz w:val="11"/>
          <w:szCs w:val="11"/>
          <w:color w:val="auto"/>
        </w:rPr>
      </w:pPr>
    </w:p>
    <w:p>
      <w:pPr>
        <w:ind w:left="300" w:right="599" w:hanging="250"/>
        <w:spacing w:after="0" w:line="231" w:lineRule="auto"/>
        <w:tabs>
          <w:tab w:leader="none" w:pos="300" w:val="left"/>
        </w:tabs>
        <w:numPr>
          <w:ilvl w:val="0"/>
          <w:numId w:val="20"/>
        </w:numPr>
        <w:rPr>
          <w:rFonts w:ascii="Arial" w:cs="Arial" w:eastAsia="Arial" w:hAnsi="Arial"/>
          <w:sz w:val="12"/>
          <w:szCs w:val="12"/>
          <w:color w:val="auto"/>
        </w:rPr>
      </w:pPr>
      <w:r>
        <w:rPr>
          <w:rFonts w:ascii="Arial" w:cs="Arial" w:eastAsia="Arial" w:hAnsi="Arial"/>
          <w:sz w:val="16"/>
          <w:szCs w:val="16"/>
          <w:color w:val="auto"/>
        </w:rPr>
        <w:t>Includes accumulated impairment of $1,045,110 from fiscal 2009, $181,440 from fiscal 2018, $137,396 from fiscal 2019 and $118,731 from fiscal 2020.</w:t>
      </w:r>
    </w:p>
    <w:p>
      <w:pPr>
        <w:spacing w:after="0" w:line="167" w:lineRule="exact"/>
        <w:rPr>
          <w:sz w:val="20"/>
          <w:szCs w:val="20"/>
          <w:color w:val="auto"/>
        </w:rPr>
      </w:pPr>
    </w:p>
    <w:p>
      <w:pPr>
        <w:ind w:left="60" w:right="259" w:firstLine="427"/>
        <w:spacing w:after="0" w:line="346" w:lineRule="auto"/>
        <w:rPr>
          <w:sz w:val="20"/>
          <w:szCs w:val="20"/>
          <w:color w:val="auto"/>
        </w:rPr>
      </w:pPr>
      <w:r>
        <w:rPr>
          <w:rFonts w:ascii="Arial" w:cs="Arial" w:eastAsia="Arial" w:hAnsi="Arial"/>
          <w:sz w:val="16"/>
          <w:szCs w:val="16"/>
          <w:color w:val="auto"/>
        </w:rPr>
        <w:t>The Company evaluates each quarter if facts and circumstances indicate that it is more likely than 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macroeconomic or industry environments, (iii) the results of and the amount of time passed since the last goodwill impairment test and (iv) the long-term expected financial performance of its reporting units.</w:t>
      </w:r>
    </w:p>
    <w:p>
      <w:pPr>
        <w:sectPr>
          <w:pgSz w:w="11900" w:h="16838" w:orient="portrait"/>
          <w:cols w:equalWidth="0" w:num="1">
            <w:col w:w="9019"/>
          </w:cols>
          <w:pgMar w:left="1440" w:top="517"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Company’s acquired identifiable intangible assets: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2"/>
              </w:rPr>
              <w:t>June 27, 2020</w:t>
            </w: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29, 2019</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3"/>
          </w:tcPr>
          <w:p>
            <w:pPr>
              <w:ind w:left="60"/>
              <w:spacing w:after="0" w:line="189" w:lineRule="exact"/>
              <w:rPr>
                <w:sz w:val="20"/>
                <w:szCs w:val="20"/>
                <w:color w:val="auto"/>
              </w:rPr>
            </w:pPr>
            <w:r>
              <w:rPr>
                <w:rFonts w:ascii="Arial" w:cs="Arial" w:eastAsia="Arial" w:hAnsi="Arial"/>
                <w:sz w:val="18"/>
                <w:szCs w:val="18"/>
                <w:b w:val="1"/>
                <w:bCs w:val="1"/>
                <w:color w:val="auto"/>
              </w:rPr>
              <w:t>Acquired</w:t>
            </w:r>
          </w:p>
        </w:tc>
        <w:tc>
          <w:tcPr>
            <w:tcW w:w="120" w:type="dxa"/>
            <w:vAlign w:val="bottom"/>
          </w:tcPr>
          <w:p>
            <w:pPr>
              <w:spacing w:after="0"/>
              <w:rPr>
                <w:sz w:val="16"/>
                <w:szCs w:val="16"/>
                <w:color w:val="auto"/>
              </w:rPr>
            </w:pPr>
          </w:p>
        </w:tc>
        <w:tc>
          <w:tcPr>
            <w:tcW w:w="12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Accumulated</w:t>
            </w:r>
          </w:p>
        </w:tc>
        <w:tc>
          <w:tcPr>
            <w:tcW w:w="7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Net Book</w:t>
            </w:r>
          </w:p>
        </w:tc>
        <w:tc>
          <w:tcPr>
            <w:tcW w:w="200" w:type="dxa"/>
            <w:vAlign w:val="bottom"/>
          </w:tcPr>
          <w:p>
            <w:pPr>
              <w:spacing w:after="0"/>
              <w:rPr>
                <w:sz w:val="16"/>
                <w:szCs w:val="16"/>
                <w:color w:val="auto"/>
              </w:rPr>
            </w:pPr>
          </w:p>
        </w:tc>
        <w:tc>
          <w:tcPr>
            <w:tcW w:w="1000" w:type="dxa"/>
            <w:vAlign w:val="bottom"/>
            <w:gridSpan w:val="3"/>
          </w:tcPr>
          <w:p>
            <w:pPr>
              <w:jc w:val="center"/>
              <w:ind w:right="200"/>
              <w:spacing w:after="0" w:line="189" w:lineRule="exact"/>
              <w:rPr>
                <w:sz w:val="20"/>
                <w:szCs w:val="20"/>
                <w:color w:val="auto"/>
              </w:rPr>
            </w:pPr>
            <w:r>
              <w:rPr>
                <w:rFonts w:ascii="Arial" w:cs="Arial" w:eastAsia="Arial" w:hAnsi="Arial"/>
                <w:sz w:val="18"/>
                <w:szCs w:val="18"/>
                <w:b w:val="1"/>
                <w:bCs w:val="1"/>
                <w:color w:val="auto"/>
                <w:w w:val="92"/>
              </w:rPr>
              <w:t>Acquired</w:t>
            </w:r>
          </w:p>
        </w:tc>
        <w:tc>
          <w:tcPr>
            <w:tcW w:w="1300" w:type="dxa"/>
            <w:vAlign w:val="bottom"/>
            <w:gridSpan w:val="3"/>
          </w:tcPr>
          <w:p>
            <w:pPr>
              <w:ind w:left="40"/>
              <w:spacing w:after="0" w:line="189" w:lineRule="exact"/>
              <w:rPr>
                <w:sz w:val="20"/>
                <w:szCs w:val="20"/>
                <w:color w:val="auto"/>
              </w:rPr>
            </w:pPr>
            <w:r>
              <w:rPr>
                <w:rFonts w:ascii="Arial" w:cs="Arial" w:eastAsia="Arial" w:hAnsi="Arial"/>
                <w:sz w:val="18"/>
                <w:szCs w:val="18"/>
                <w:b w:val="1"/>
                <w:bCs w:val="1"/>
                <w:color w:val="auto"/>
              </w:rPr>
              <w:t>Accumulated</w:t>
            </w:r>
          </w:p>
        </w:tc>
        <w:tc>
          <w:tcPr>
            <w:tcW w:w="8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1"/>
              </w:rPr>
              <w:t>Net Book</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3"/>
          </w:tcPr>
          <w:p>
            <w:pPr>
              <w:spacing w:after="0" w:line="242" w:lineRule="exact"/>
              <w:rPr>
                <w:sz w:val="20"/>
                <w:szCs w:val="20"/>
                <w:color w:val="auto"/>
              </w:rPr>
            </w:pPr>
            <w:r>
              <w:rPr>
                <w:rFonts w:ascii="Arial" w:cs="Arial" w:eastAsia="Arial" w:hAnsi="Arial"/>
                <w:sz w:val="18"/>
                <w:szCs w:val="18"/>
                <w:b w:val="1"/>
                <w:bCs w:val="1"/>
                <w:color w:val="auto"/>
                <w:w w:val="93"/>
              </w:rPr>
              <w:t xml:space="preserve">Amount </w:t>
            </w:r>
            <w:r>
              <w:rPr>
                <w:rFonts w:ascii="Arial" w:cs="Arial" w:eastAsia="Arial" w:hAnsi="Arial"/>
                <w:sz w:val="26"/>
                <w:szCs w:val="26"/>
                <w:b w:val="1"/>
                <w:bCs w:val="1"/>
                <w:color w:val="auto"/>
                <w:w w:val="93"/>
                <w:vertAlign w:val="superscript"/>
              </w:rPr>
              <w:t>(1)</w:t>
            </w:r>
          </w:p>
        </w:tc>
        <w:tc>
          <w:tcPr>
            <w:tcW w:w="12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8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1"/>
                <w:szCs w:val="2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4"/>
          </w:tcPr>
          <w:p>
            <w:pPr>
              <w:jc w:val="right"/>
              <w:ind w:right="250"/>
              <w:spacing w:after="0" w:line="202" w:lineRule="exact"/>
              <w:rPr>
                <w:sz w:val="20"/>
                <w:szCs w:val="20"/>
                <w:color w:val="auto"/>
              </w:rPr>
            </w:pPr>
            <w:r>
              <w:rPr>
                <w:rFonts w:ascii="Arial" w:cs="Arial" w:eastAsia="Arial" w:hAnsi="Arial"/>
                <w:sz w:val="18"/>
                <w:szCs w:val="18"/>
                <w:b w:val="1"/>
                <w:bCs w:val="1"/>
                <w:color w:val="auto"/>
              </w:rPr>
              <w:t>(Thousands)</w:t>
            </w:r>
          </w:p>
        </w:tc>
        <w:tc>
          <w:tcPr>
            <w:tcW w:w="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300,937</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(266,759)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$ 34,178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(208,329)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51,698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(32,493)</w:t>
            </w:r>
          </w:p>
        </w:tc>
        <w:tc>
          <w:tcPr>
            <w:tcW w:w="720" w:type="dxa"/>
            <w:vAlign w:val="bottom"/>
          </w:tcPr>
          <w:p>
            <w:pPr>
              <w:jc w:val="right"/>
              <w:spacing w:after="0"/>
              <w:rPr>
                <w:sz w:val="20"/>
                <w:szCs w:val="20"/>
                <w:color w:val="auto"/>
              </w:rPr>
            </w:pPr>
            <w:r>
              <w:rPr>
                <w:rFonts w:ascii="Arial" w:cs="Arial" w:eastAsia="Arial" w:hAnsi="Arial"/>
                <w:sz w:val="18"/>
                <w:szCs w:val="18"/>
                <w:color w:val="auto"/>
              </w:rPr>
              <w:t>19,205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52,760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(24,752)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other</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(41,587)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12,054</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63,753</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(32,178)</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406,276</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(340,839)</w:t>
            </w:r>
          </w:p>
        </w:tc>
        <w:tc>
          <w:tcPr>
            <w:tcW w:w="18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$ 65,437</w:t>
            </w: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408,779</w:t>
            </w: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(265,259)</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143,520</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240" w:type="dxa"/>
            <w:vAlign w:val="bottom"/>
            <w:tcBorders>
              <w:bottom w:val="single" w:sz="8" w:color="0D0D0D"/>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300" w:hanging="250"/>
        <w:spacing w:after="0" w:line="227" w:lineRule="auto"/>
        <w:tabs>
          <w:tab w:leader="none" w:pos="300" w:val="left"/>
        </w:tabs>
        <w:numPr>
          <w:ilvl w:val="0"/>
          <w:numId w:val="21"/>
        </w:numPr>
        <w:rPr>
          <w:rFonts w:ascii="Arial" w:cs="Arial" w:eastAsia="Arial" w:hAnsi="Arial"/>
          <w:sz w:val="23"/>
          <w:szCs w:val="23"/>
          <w:color w:val="auto"/>
          <w:vertAlign w:val="superscript"/>
        </w:rPr>
      </w:pPr>
      <w:r>
        <w:rPr>
          <w:rFonts w:ascii="Arial" w:cs="Arial" w:eastAsia="Arial" w:hAnsi="Arial"/>
          <w:sz w:val="15"/>
          <w:szCs w:val="15"/>
          <w:color w:val="auto"/>
        </w:rPr>
        <w:t>Acquired amount in fiscal 2020 reduced by $17,473 related to the impairment of intangible asset in the third quarter of fiscal 2020.</w:t>
      </w:r>
    </w:p>
    <w:p>
      <w:pPr>
        <w:spacing w:after="0" w:line="208" w:lineRule="exact"/>
        <w:rPr>
          <w:sz w:val="20"/>
          <w:szCs w:val="20"/>
          <w:color w:val="auto"/>
        </w:rPr>
      </w:pPr>
    </w:p>
    <w:p>
      <w:pPr>
        <w:ind w:left="60" w:right="139" w:firstLine="427"/>
        <w:spacing w:after="0" w:line="310" w:lineRule="auto"/>
        <w:rPr>
          <w:sz w:val="20"/>
          <w:szCs w:val="20"/>
          <w:color w:val="auto"/>
        </w:rPr>
      </w:pPr>
      <w:r>
        <w:rPr>
          <w:rFonts w:ascii="Arial" w:cs="Arial" w:eastAsia="Arial" w:hAnsi="Arial"/>
          <w:sz w:val="18"/>
          <w:szCs w:val="18"/>
          <w:color w:val="auto"/>
        </w:rPr>
        <w:t>Intangible asset amortization expense was $81.1 million, $83.7 million and $91.5 million for fiscal 2020, 2019 and 2018, respectively. Intangible assets have a weighted average remaining useful life of approximately 2 years as of June 27, 2020.</w:t>
      </w:r>
    </w:p>
    <w:p>
      <w:pPr>
        <w:spacing w:after="0" w:line="143" w:lineRule="exact"/>
        <w:rPr>
          <w:sz w:val="20"/>
          <w:szCs w:val="20"/>
          <w:color w:val="auto"/>
        </w:rPr>
      </w:pPr>
    </w:p>
    <w:p>
      <w:pPr>
        <w:ind w:left="60" w:right="99" w:firstLine="427"/>
        <w:spacing w:after="0" w:line="324" w:lineRule="auto"/>
        <w:rPr>
          <w:sz w:val="20"/>
          <w:szCs w:val="20"/>
          <w:color w:val="auto"/>
        </w:rPr>
      </w:pPr>
      <w:r>
        <w:rPr>
          <w:rFonts w:ascii="Arial" w:cs="Arial" w:eastAsia="Arial" w:hAnsi="Arial"/>
          <w:sz w:val="18"/>
          <w:szCs w:val="18"/>
          <w:color w:val="auto"/>
        </w:rPr>
        <w:t>The following table presents the estimated future amortization expense for the next five fiscal years and thereafter (in thousands):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8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2022</w:t>
            </w:r>
          </w:p>
        </w:tc>
        <w:tc>
          <w:tcPr>
            <w:tcW w:w="34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2024</w:t>
            </w:r>
          </w:p>
        </w:tc>
        <w:tc>
          <w:tcPr>
            <w:tcW w:w="34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4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Goodwill and long-lived asset impairment expense</w:t>
      </w:r>
    </w:p>
    <w:p>
      <w:pPr>
        <w:spacing w:after="0" w:line="239" w:lineRule="exact"/>
        <w:rPr>
          <w:sz w:val="20"/>
          <w:szCs w:val="20"/>
          <w:color w:val="auto"/>
        </w:rPr>
      </w:pPr>
    </w:p>
    <w:p>
      <w:pPr>
        <w:ind w:left="60" w:right="379" w:firstLine="427"/>
        <w:spacing w:after="0" w:line="306" w:lineRule="auto"/>
        <w:rPr>
          <w:sz w:val="20"/>
          <w:szCs w:val="20"/>
          <w:color w:val="auto"/>
        </w:rPr>
      </w:pPr>
      <w:r>
        <w:rPr>
          <w:rFonts w:ascii="Arial" w:cs="Arial" w:eastAsia="Arial" w:hAnsi="Arial"/>
          <w:sz w:val="18"/>
          <w:szCs w:val="18"/>
          <w:color w:val="auto"/>
        </w:rPr>
        <w:t>During the third quarter of fiscal 2020, an interim goodwill impairment test was performed as of March 28, 2020. The macroeconomic impacts of the COVID-19 pandemic and the corresponding decline in the Company’s share price below tangible book value, were indicators in the third quarter of fiscal 2020, that goodwill was potentially not recoverable.</w:t>
      </w:r>
    </w:p>
    <w:p>
      <w:pPr>
        <w:spacing w:after="0" w:line="146" w:lineRule="exact"/>
        <w:rPr>
          <w:sz w:val="20"/>
          <w:szCs w:val="20"/>
          <w:color w:val="auto"/>
        </w:rPr>
      </w:pPr>
    </w:p>
    <w:p>
      <w:pPr>
        <w:ind w:left="60" w:right="199" w:firstLine="427"/>
        <w:spacing w:after="0" w:line="325" w:lineRule="auto"/>
        <w:rPr>
          <w:sz w:val="20"/>
          <w:szCs w:val="20"/>
          <w:color w:val="auto"/>
        </w:rPr>
      </w:pPr>
      <w:r>
        <w:rPr>
          <w:rFonts w:ascii="Arial" w:cs="Arial" w:eastAsia="Arial" w:hAnsi="Arial"/>
          <w:sz w:val="17"/>
          <w:szCs w:val="17"/>
          <w:color w:val="auto"/>
        </w:rPr>
        <w:t>The Company recorded non-cash goodwill impairment expense of $120.5 million in the third quarter of fiscal 2020, and $118.7 million in fiscal 2020, related to reporting units in the Electronic Components (EC) reportable segment including goodwill in the Americas and goodwill associated with recent acquisitions. The impairment of goodwill in such reporting units was primarily the result of COVID-19 related impacts, including the significant decline in market capitalization during the quarter, as well as a reduction in expected future operating results.</w:t>
      </w:r>
    </w:p>
    <w:p>
      <w:pPr>
        <w:spacing w:after="0" w:line="134" w:lineRule="exact"/>
        <w:rPr>
          <w:sz w:val="20"/>
          <w:szCs w:val="20"/>
          <w:color w:val="auto"/>
        </w:rPr>
      </w:pPr>
    </w:p>
    <w:p>
      <w:pPr>
        <w:ind w:left="60" w:right="639" w:firstLine="427"/>
        <w:spacing w:after="0" w:line="354" w:lineRule="auto"/>
        <w:rPr>
          <w:sz w:val="20"/>
          <w:szCs w:val="20"/>
          <w:color w:val="auto"/>
        </w:rPr>
      </w:pPr>
      <w:r>
        <w:rPr>
          <w:rFonts w:ascii="Arial" w:cs="Arial" w:eastAsia="Arial" w:hAnsi="Arial"/>
          <w:sz w:val="16"/>
          <w:szCs w:val="16"/>
          <w:color w:val="auto"/>
        </w:rPr>
        <w:t>In assessing goodwill for impairment in the third quarter of fiscal 2020, the Company was required to make significant judgments related to the fair value of its reporting units. The Company used a combination of an income approach, specifically a discounted cash flow methodology, and a market approach to estimate the fair value of its reporting units. The discounted cash flow methodology includes market participant assumptions for, among other</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159"/>
        <w:spacing w:after="0" w:line="349" w:lineRule="auto"/>
        <w:rPr>
          <w:sz w:val="20"/>
          <w:szCs w:val="20"/>
          <w:color w:val="auto"/>
        </w:rPr>
      </w:pPr>
      <w:r>
        <w:rPr>
          <w:rFonts w:ascii="Arial" w:cs="Arial" w:eastAsia="Arial" w:hAnsi="Arial"/>
          <w:sz w:val="16"/>
          <w:szCs w:val="16"/>
          <w:color w:val="auto"/>
        </w:rPr>
        <w:t>factors, forecasted sales, gross profit margins, operating expenses, cash flows, perpetual growth rates and long-term discount rates, all of which required judgments and estimates by management that are inherently uncertain. The market approach methodology required significant assumptions related to comparable transactions, market multiples, capital structure and control premiums. The interim goodwill impairment testing results were also reconciled with the Company’s market capitalization on and around March 28, 2020, as the final step in the impairment testing.</w:t>
      </w:r>
    </w:p>
    <w:p>
      <w:pPr>
        <w:spacing w:after="0" w:line="120" w:lineRule="exact"/>
        <w:rPr>
          <w:sz w:val="20"/>
          <w:szCs w:val="20"/>
          <w:color w:val="auto"/>
        </w:rPr>
      </w:pPr>
    </w:p>
    <w:p>
      <w:pPr>
        <w:ind w:left="60" w:right="279" w:firstLine="427"/>
        <w:spacing w:after="0" w:line="306" w:lineRule="auto"/>
        <w:rPr>
          <w:sz w:val="20"/>
          <w:szCs w:val="20"/>
          <w:color w:val="auto"/>
        </w:rPr>
      </w:pPr>
      <w:r>
        <w:rPr>
          <w:rFonts w:ascii="Arial" w:cs="Arial" w:eastAsia="Arial" w:hAnsi="Arial"/>
          <w:sz w:val="18"/>
          <w:szCs w:val="18"/>
          <w:color w:val="auto"/>
        </w:rPr>
        <w:t>The Company also performed asset impairment testing over long-lived assets, including intangible assets and property, plant and equipment, as of March 28, 2020 due primarily to the same indicators that led to the interim goodwill impairment testing. As a result of such long-lived asset impairment testing, the Company recorded $25.4 million in impairment expense substantially all related to intangible assets.</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impairment expense</w:t>
      </w:r>
    </w:p>
    <w:p>
      <w:pPr>
        <w:spacing w:after="0" w:line="239" w:lineRule="exact"/>
        <w:rPr>
          <w:sz w:val="20"/>
          <w:szCs w:val="20"/>
          <w:color w:val="auto"/>
        </w:rPr>
      </w:pPr>
    </w:p>
    <w:p>
      <w:pPr>
        <w:ind w:left="60" w:right="319" w:firstLine="427"/>
        <w:spacing w:after="0" w:line="357" w:lineRule="auto"/>
        <w:rPr>
          <w:sz w:val="20"/>
          <w:szCs w:val="20"/>
          <w:color w:val="auto"/>
        </w:rPr>
      </w:pPr>
      <w:r>
        <w:rPr>
          <w:rFonts w:ascii="Arial" w:cs="Arial" w:eastAsia="Arial" w:hAnsi="Arial"/>
          <w:sz w:val="17"/>
          <w:szCs w:val="17"/>
          <w:color w:val="auto"/>
        </w:rPr>
        <w:t>During the third quarter of fiscal 2020, the Company also recorded $15.3 million of equity investment impairment expense classified within other (expense) income, net in the consolidated statements of operations.</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color w:val="auto"/>
              </w:rPr>
              <w:t>7. Debt</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100" w:type="dxa"/>
            <w:vAlign w:val="bottom"/>
          </w:tcPr>
          <w:p>
            <w:pPr>
              <w:ind w:left="420"/>
              <w:spacing w:after="0"/>
              <w:rPr>
                <w:sz w:val="20"/>
                <w:szCs w:val="20"/>
                <w:color w:val="auto"/>
              </w:rPr>
            </w:pPr>
            <w:r>
              <w:rPr>
                <w:rFonts w:ascii="Arial" w:cs="Arial" w:eastAsia="Arial" w:hAnsi="Arial"/>
                <w:sz w:val="18"/>
                <w:szCs w:val="18"/>
                <w:color w:val="auto"/>
              </w:rPr>
              <w:t>Short-term debt consists of the following (in thousands):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0"/>
        </w:trPr>
        <w:tc>
          <w:tcPr>
            <w:tcW w:w="5100" w:type="dxa"/>
            <w:vAlign w:val="bottom"/>
          </w:tcPr>
          <w:p>
            <w:pPr>
              <w:spacing w:after="0"/>
              <w:rPr>
                <w:sz w:val="24"/>
                <w:szCs w:val="24"/>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27,</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June 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June 29,</w:t>
            </w:r>
          </w:p>
        </w:tc>
      </w:tr>
      <w:tr>
        <w:trPr>
          <w:trHeight w:val="241"/>
        </w:trPr>
        <w:tc>
          <w:tcPr>
            <w:tcW w:w="510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10"/>
        </w:trPr>
        <w:tc>
          <w:tcPr>
            <w:tcW w:w="5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jc w:val="right"/>
              <w:ind w:right="290"/>
              <w:spacing w:after="0" w:line="202" w:lineRule="exact"/>
              <w:rPr>
                <w:sz w:val="20"/>
                <w:szCs w:val="20"/>
                <w:color w:val="auto"/>
              </w:rPr>
            </w:pPr>
            <w:r>
              <w:rPr>
                <w:rFonts w:ascii="Arial" w:cs="Arial" w:eastAsia="Arial" w:hAnsi="Arial"/>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0" w:type="dxa"/>
            <w:vAlign w:val="bottom"/>
            <w:shd w:val="clear" w:color="auto" w:fill="CCEEFF"/>
          </w:tcPr>
          <w:p>
            <w:pPr>
              <w:spacing w:after="0"/>
              <w:rPr>
                <w:sz w:val="18"/>
                <w:szCs w:val="18"/>
                <w:color w:val="auto"/>
              </w:rPr>
            </w:pPr>
          </w:p>
        </w:tc>
      </w:tr>
      <w:tr>
        <w:trPr>
          <w:trHeight w:val="223"/>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Public notes due June 2020</w:t>
            </w:r>
          </w:p>
        </w:tc>
        <w:tc>
          <w:tcPr>
            <w:tcW w:w="98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5.88 %</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Borders>
              <w:bottom w:val="single" w:sz="8" w:color="CCEEFF"/>
            </w:tcBorders>
          </w:tcPr>
          <w:p>
            <w:pPr>
              <w:spacing w:after="0"/>
              <w:rPr>
                <w:sz w:val="19"/>
                <w:szCs w:val="19"/>
                <w:color w:val="auto"/>
              </w:rPr>
            </w:pPr>
          </w:p>
        </w:tc>
      </w:tr>
      <w:tr>
        <w:trPr>
          <w:trHeight w:val="216"/>
        </w:trPr>
        <w:tc>
          <w:tcPr>
            <w:tcW w:w="5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Short-term debt</w:t>
            </w:r>
          </w:p>
        </w:tc>
        <w:tc>
          <w:tcPr>
            <w:tcW w:w="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300,538</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79" w:firstLine="427"/>
        <w:spacing w:after="0" w:line="310" w:lineRule="auto"/>
        <w:rPr>
          <w:sz w:val="20"/>
          <w:szCs w:val="20"/>
          <w:color w:val="auto"/>
        </w:rPr>
      </w:pPr>
      <w:r>
        <w:rPr>
          <w:rFonts w:ascii="Arial" w:cs="Arial" w:eastAsia="Arial" w:hAnsi="Arial"/>
          <w:sz w:val="18"/>
          <w:szCs w:val="18"/>
          <w:color w:val="auto"/>
        </w:rPr>
        <w:t>Bank credit facilities and other consist of various committed and uncommitted lines of credit and other forms of bank debt with financial institutions utilized primarily to support the working capital requirements of the Company including its foreign operations.</w:t>
      </w:r>
    </w:p>
    <w:p>
      <w:pPr>
        <w:spacing w:after="0" w:line="156" w:lineRule="exact"/>
        <w:rPr>
          <w:sz w:val="20"/>
          <w:szCs w:val="20"/>
          <w:color w:val="auto"/>
        </w:rPr>
      </w:pPr>
    </w:p>
    <w:p>
      <w:pPr>
        <w:ind w:left="60" w:right="79" w:firstLine="427"/>
        <w:spacing w:after="0" w:line="339" w:lineRule="auto"/>
        <w:rPr>
          <w:sz w:val="20"/>
          <w:szCs w:val="20"/>
          <w:color w:val="auto"/>
        </w:rPr>
      </w:pPr>
      <w:r>
        <w:rPr>
          <w:rFonts w:ascii="Arial" w:cs="Arial" w:eastAsia="Arial" w:hAnsi="Arial"/>
          <w:sz w:val="16"/>
          <w:szCs w:val="16"/>
          <w:color w:val="auto"/>
        </w:rPr>
        <w:t>The Company has an accounts receivable Securitization Program in the United States with a group of financial institutions to allow the Company to transfer, on an ongoing revolving basis, an undivided interest in a designated pool of trade accounts receivable, to provide security or collateral for borrowings up to a maximum of $500 million. The Securitization Program does not qualify for off-balance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$703.8 million and $857.3 million at June 27, 2020, and June 29, 2019, respectively. The Securitization Program contains certain covenants relating to the quality of the receivables sold. The Securitization Program also requires the Company to maintain certain minimum interest coverage and leverage ratios, which the Company was in compliance with as of June 27, 2020. There were no borrowings outstanding under the Securitization Program as of June 27, 2020, and $227.3 million as of June 29, 2019. Interest on borrowings is calculated using a one-month LIBOR rate plus a spread of 0.75%. The facility fee on the unused balance of the facility is up to 0.35%.</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239" w:firstLine="427"/>
        <w:spacing w:after="0" w:line="304" w:lineRule="auto"/>
        <w:rPr>
          <w:sz w:val="20"/>
          <w:szCs w:val="20"/>
          <w:color w:val="auto"/>
        </w:rPr>
      </w:pPr>
      <w:r>
        <w:rPr>
          <w:rFonts w:ascii="Arial" w:cs="Arial" w:eastAsia="Arial" w:hAnsi="Arial"/>
          <w:sz w:val="18"/>
          <w:szCs w:val="18"/>
          <w:color w:val="auto"/>
        </w:rPr>
        <w:t>On July 31, 2020, the Company amended the Securitization Program, which was due to expire on August 19, 2020. Among other changes, the term of the Securitization Program was extended to July 30, 2021, the amount of undivided interests in eligible receivables that may be sold pursuant to the Receivables Purchase Agreement was reduced from $500,000,000 to $450,000,000, and the minimum interest coverage and maximum leverage financial covenants were eliminated.</w:t>
      </w:r>
    </w:p>
    <w:p>
      <w:pPr>
        <w:spacing w:after="0" w:line="147" w:lineRule="exact"/>
        <w:rPr>
          <w:sz w:val="20"/>
          <w:szCs w:val="20"/>
          <w:color w:val="auto"/>
        </w:rPr>
      </w:pPr>
    </w:p>
    <w:p>
      <w:pPr>
        <w:ind w:left="60" w:right="179" w:firstLine="427"/>
        <w:spacing w:after="0" w:line="324" w:lineRule="auto"/>
        <w:rPr>
          <w:sz w:val="20"/>
          <w:szCs w:val="20"/>
          <w:color w:val="auto"/>
        </w:rPr>
      </w:pPr>
      <w:r>
        <w:rPr>
          <w:rFonts w:ascii="Arial" w:cs="Arial" w:eastAsia="Arial" w:hAnsi="Arial"/>
          <w:sz w:val="18"/>
          <w:szCs w:val="18"/>
          <w:color w:val="auto"/>
        </w:rPr>
        <w:t>In April 2020, the Company redeemed the $300.0 million of outstanding 5.875% Notes due in June 2020 at a make-whole redemption price of $302.0 million.</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180" w:type="dxa"/>
            <w:vAlign w:val="bottom"/>
          </w:tcPr>
          <w:p>
            <w:pPr>
              <w:ind w:left="420"/>
              <w:spacing w:after="0"/>
              <w:rPr>
                <w:sz w:val="20"/>
                <w:szCs w:val="20"/>
                <w:color w:val="auto"/>
              </w:rPr>
            </w:pPr>
            <w:r>
              <w:rPr>
                <w:rFonts w:ascii="Arial" w:cs="Arial" w:eastAsia="Arial" w:hAnsi="Arial"/>
                <w:sz w:val="18"/>
                <w:szCs w:val="18"/>
                <w:color w:val="auto"/>
              </w:rPr>
              <w:t>Long-term debt consists of the following (in thousands):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0"/>
        </w:trPr>
        <w:tc>
          <w:tcPr>
            <w:tcW w:w="518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27,</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5"/>
              </w:rPr>
              <w:t>June 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51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CEEFF"/>
            </w:tcBorders>
          </w:tcPr>
          <w:p>
            <w:pPr>
              <w:spacing w:after="0"/>
              <w:rPr>
                <w:sz w:val="20"/>
                <w:szCs w:val="20"/>
                <w:color w:val="auto"/>
              </w:rPr>
            </w:pPr>
          </w:p>
        </w:tc>
      </w:tr>
      <w:tr>
        <w:trPr>
          <w:trHeight w:val="223"/>
        </w:trPr>
        <w:tc>
          <w:tcPr>
            <w:tcW w:w="5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w w:val="92"/>
              </w:rPr>
              <w:t>Interest</w:t>
            </w:r>
          </w:p>
        </w:tc>
        <w:tc>
          <w:tcPr>
            <w:tcW w:w="6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b w:val="1"/>
                <w:bCs w:val="1"/>
                <w:color w:val="auto"/>
                <w:w w:val="92"/>
              </w:rPr>
              <w:t>Rate</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bottom w:val="single" w:sz="8" w:color="auto"/>
            </w:tcBorders>
            <w:gridSpan w:val="2"/>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w w:val="86"/>
              </w:rPr>
              <w:t>Balance</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3"/>
        </w:trPr>
        <w:tc>
          <w:tcPr>
            <w:tcW w:w="5180" w:type="dxa"/>
            <w:vAlign w:val="bottom"/>
          </w:tcPr>
          <w:p>
            <w:pPr>
              <w:spacing w:after="0" w:line="203" w:lineRule="exact"/>
              <w:rPr>
                <w:sz w:val="20"/>
                <w:szCs w:val="20"/>
                <w:color w:val="auto"/>
              </w:rPr>
            </w:pPr>
            <w:r>
              <w:rPr>
                <w:rFonts w:ascii="Arial" w:cs="Arial" w:eastAsia="Arial" w:hAnsi="Arial"/>
                <w:sz w:val="18"/>
                <w:szCs w:val="18"/>
                <w:color w:val="auto"/>
              </w:rPr>
              <w:t>Revolving credit facilities: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Securitization Program</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227,300</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100"/>
              <w:spacing w:after="0"/>
              <w:rPr>
                <w:sz w:val="20"/>
                <w:szCs w:val="20"/>
                <w:color w:val="auto"/>
              </w:rPr>
            </w:pPr>
            <w:r>
              <w:rPr>
                <w:rFonts w:ascii="Arial" w:cs="Arial" w:eastAsia="Arial" w:hAnsi="Arial"/>
                <w:sz w:val="18"/>
                <w:szCs w:val="18"/>
                <w:color w:val="auto"/>
              </w:rPr>
              <w:t>Credit Facility (due June 2023)</w:t>
            </w:r>
          </w:p>
        </w:tc>
        <w:tc>
          <w:tcPr>
            <w:tcW w:w="700" w:type="dxa"/>
            <w:vAlign w:val="bottom"/>
          </w:tcPr>
          <w:p>
            <w:pPr>
              <w:ind w:left="160"/>
              <w:spacing w:after="0"/>
              <w:rPr>
                <w:sz w:val="20"/>
                <w:szCs w:val="20"/>
                <w:color w:val="auto"/>
              </w:rPr>
            </w:pPr>
            <w:r>
              <w:rPr>
                <w:rFonts w:ascii="Arial" w:cs="Arial" w:eastAsia="Arial" w:hAnsi="Arial"/>
                <w:sz w:val="18"/>
                <w:szCs w:val="18"/>
                <w:color w:val="auto"/>
                <w:w w:val="92"/>
              </w:rPr>
              <w:t>1.28 %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5.68 %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1,100</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Public notes due: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100"/>
              <w:spacing w:after="0"/>
              <w:rPr>
                <w:sz w:val="20"/>
                <w:szCs w:val="20"/>
                <w:color w:val="auto"/>
              </w:rPr>
            </w:pPr>
            <w:r>
              <w:rPr>
                <w:rFonts w:ascii="Arial" w:cs="Arial" w:eastAsia="Arial" w:hAnsi="Arial"/>
                <w:sz w:val="18"/>
                <w:szCs w:val="18"/>
                <w:color w:val="auto"/>
              </w:rPr>
              <w:t>December 2021</w:t>
            </w:r>
          </w:p>
        </w:tc>
        <w:tc>
          <w:tcPr>
            <w:tcW w:w="700" w:type="dxa"/>
            <w:vAlign w:val="bottom"/>
          </w:tcPr>
          <w:p>
            <w:pPr>
              <w:ind w:left="160"/>
              <w:spacing w:after="0"/>
              <w:rPr>
                <w:sz w:val="20"/>
                <w:szCs w:val="20"/>
                <w:color w:val="auto"/>
              </w:rPr>
            </w:pPr>
            <w:r>
              <w:rPr>
                <w:rFonts w:ascii="Arial" w:cs="Arial" w:eastAsia="Arial" w:hAnsi="Arial"/>
                <w:sz w:val="18"/>
                <w:szCs w:val="18"/>
                <w:color w:val="auto"/>
                <w:w w:val="92"/>
              </w:rPr>
              <w:t>3.75 %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2022</w:t>
            </w: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4.88 %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100"/>
              <w:spacing w:after="0"/>
              <w:rPr>
                <w:sz w:val="20"/>
                <w:szCs w:val="20"/>
                <w:color w:val="auto"/>
              </w:rPr>
            </w:pPr>
            <w:r>
              <w:rPr>
                <w:rFonts w:ascii="Arial" w:cs="Arial" w:eastAsia="Arial" w:hAnsi="Arial"/>
                <w:sz w:val="18"/>
                <w:szCs w:val="18"/>
                <w:color w:val="auto"/>
              </w:rPr>
              <w:t>April 2026</w:t>
            </w:r>
          </w:p>
        </w:tc>
        <w:tc>
          <w:tcPr>
            <w:tcW w:w="700" w:type="dxa"/>
            <w:vAlign w:val="bottom"/>
          </w:tcPr>
          <w:p>
            <w:pPr>
              <w:ind w:left="160"/>
              <w:spacing w:after="0"/>
              <w:rPr>
                <w:sz w:val="20"/>
                <w:szCs w:val="20"/>
                <w:color w:val="auto"/>
              </w:rPr>
            </w:pPr>
            <w:r>
              <w:rPr>
                <w:rFonts w:ascii="Arial" w:cs="Arial" w:eastAsia="Arial" w:hAnsi="Arial"/>
                <w:sz w:val="18"/>
                <w:szCs w:val="18"/>
                <w:color w:val="auto"/>
                <w:w w:val="92"/>
              </w:rPr>
              <w:t>4.63 %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tcPr>
          <w:p>
            <w:pPr>
              <w:spacing w:after="0"/>
              <w:rPr>
                <w:sz w:val="18"/>
                <w:szCs w:val="18"/>
                <w:color w:val="auto"/>
              </w:rPr>
            </w:pPr>
          </w:p>
        </w:tc>
      </w:tr>
      <w:tr>
        <w:trPr>
          <w:trHeight w:val="236"/>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1.19 %</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180" w:type="dxa"/>
            <w:vAlign w:val="bottom"/>
          </w:tcPr>
          <w:p>
            <w:pPr>
              <w:spacing w:after="0" w:line="203" w:lineRule="exact"/>
              <w:rPr>
                <w:sz w:val="20"/>
                <w:szCs w:val="20"/>
                <w:color w:val="auto"/>
              </w:rPr>
            </w:pPr>
            <w:r>
              <w:rPr>
                <w:rFonts w:ascii="Arial" w:cs="Arial" w:eastAsia="Arial" w:hAnsi="Arial"/>
                <w:sz w:val="18"/>
                <w:szCs w:val="18"/>
                <w:color w:val="auto"/>
              </w:rPr>
              <w:t>Long-term debt before discount and debt issuance costs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2"/>
              </w:rPr>
              <w:t>1,431,491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4"/>
              </w:rPr>
              <w:t>1,428,803</w:t>
            </w:r>
          </w:p>
        </w:tc>
        <w:tc>
          <w:tcPr>
            <w:tcW w:w="60" w:type="dxa"/>
            <w:vAlign w:val="bottom"/>
          </w:tcPr>
          <w:p>
            <w:pPr>
              <w:spacing w:after="0"/>
              <w:rPr>
                <w:sz w:val="17"/>
                <w:szCs w:val="17"/>
                <w:color w:val="auto"/>
              </w:rPr>
            </w:pPr>
          </w:p>
        </w:tc>
      </w:tr>
      <w:tr>
        <w:trPr>
          <w:trHeight w:val="236"/>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and debt issuance costs – unamortized</w:t>
            </w:r>
          </w:p>
        </w:tc>
        <w:tc>
          <w:tcPr>
            <w:tcW w:w="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180" w:type="dxa"/>
            <w:vAlign w:val="bottom"/>
          </w:tcPr>
          <w:p>
            <w:pPr>
              <w:ind w:left="320"/>
              <w:spacing w:after="0" w:line="203" w:lineRule="exact"/>
              <w:rPr>
                <w:sz w:val="20"/>
                <w:szCs w:val="20"/>
                <w:color w:val="auto"/>
              </w:rPr>
            </w:pPr>
            <w:r>
              <w:rPr>
                <w:rFonts w:ascii="Arial" w:cs="Arial" w:eastAsia="Arial" w:hAnsi="Arial"/>
                <w:sz w:val="18"/>
                <w:szCs w:val="18"/>
                <w:color w:val="auto"/>
              </w:rPr>
              <w:t>Long-term debt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1,424,791</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1,419,922</w:t>
            </w:r>
          </w:p>
        </w:tc>
        <w:tc>
          <w:tcPr>
            <w:tcW w:w="60" w:type="dxa"/>
            <w:vAlign w:val="bottom"/>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427"/>
        <w:spacing w:after="0" w:line="320" w:lineRule="auto"/>
        <w:rPr>
          <w:sz w:val="20"/>
          <w:szCs w:val="20"/>
          <w:color w:val="auto"/>
        </w:rPr>
      </w:pPr>
      <w:r>
        <w:rPr>
          <w:rFonts w:ascii="Arial" w:cs="Arial" w:eastAsia="Arial" w:hAnsi="Arial"/>
          <w:sz w:val="17"/>
          <w:szCs w:val="17"/>
          <w:color w:val="auto"/>
        </w:rPr>
        <w:t>The Company has a five-year $1.25 billion Credit Facility with a syndicate of banks, consisting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June 27, 2020. At June 27, 2020, and June 29, 2019, there were $1.6 million and $4.0 million, respectively, in letters of credit issued under the Credit Facility.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219" w:firstLine="427"/>
        <w:spacing w:after="0" w:line="304" w:lineRule="auto"/>
        <w:rPr>
          <w:sz w:val="20"/>
          <w:szCs w:val="20"/>
          <w:color w:val="auto"/>
        </w:rPr>
      </w:pPr>
      <w:r>
        <w:rPr>
          <w:rFonts w:ascii="Arial" w:cs="Arial" w:eastAsia="Arial" w:hAnsi="Arial"/>
          <w:sz w:val="18"/>
          <w:szCs w:val="18"/>
          <w:color w:val="auto"/>
        </w:rPr>
        <w:t>On August 4, 2020, the Company amended the Credit Facility, which among other changes temporarily reduced the minimum interest coverage covenant for each four fiscal quarter period ending on or around September 30, 2020 through and including June 30, 2021 and temporarily increased the maximum leverage covenant commencing in the four fiscal quarter period ending on or around September 30, 2020 through the four fiscal quarter period ending on or around September 30, 2021.</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40" w:type="dxa"/>
            <w:vAlign w:val="bottom"/>
          </w:tcPr>
          <w:p>
            <w:pPr>
              <w:ind w:left="440"/>
              <w:spacing w:after="0"/>
              <w:rPr>
                <w:sz w:val="20"/>
                <w:szCs w:val="20"/>
                <w:color w:val="auto"/>
              </w:rPr>
            </w:pPr>
            <w:r>
              <w:rPr>
                <w:rFonts w:ascii="Arial" w:cs="Arial" w:eastAsia="Arial" w:hAnsi="Arial"/>
                <w:sz w:val="18"/>
                <w:szCs w:val="18"/>
                <w:color w:val="auto"/>
                <w:w w:val="95"/>
              </w:rPr>
              <w:t>Aggregate debt maturities for the next five fiscal years and thereafter are as follows (in thousands):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7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530,758</w:t>
            </w:r>
          </w:p>
        </w:tc>
        <w:tc>
          <w:tcPr>
            <w:tcW w:w="2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350,356</w:t>
            </w:r>
          </w:p>
        </w:tc>
        <w:tc>
          <w:tcPr>
            <w:tcW w:w="2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r>
      <w:tr>
        <w:trPr>
          <w:trHeight w:val="223"/>
        </w:trPr>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20" w:type="dxa"/>
            <w:vAlign w:val="bottom"/>
            <w:tcBorders>
              <w:bottom w:val="single" w:sz="8" w:color="CCEEFF"/>
            </w:tcBorders>
          </w:tcPr>
          <w:p>
            <w:pPr>
              <w:spacing w:after="0"/>
              <w:rPr>
                <w:sz w:val="19"/>
                <w:szCs w:val="19"/>
                <w:color w:val="auto"/>
              </w:rPr>
            </w:pPr>
          </w:p>
        </w:tc>
      </w:tr>
      <w:tr>
        <w:trPr>
          <w:trHeight w:val="216"/>
        </w:trPr>
        <w:tc>
          <w:tcPr>
            <w:tcW w:w="7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1,431,542</w:t>
            </w:r>
          </w:p>
        </w:tc>
        <w:tc>
          <w:tcPr>
            <w:tcW w:w="20" w:type="dxa"/>
            <w:vAlign w:val="bottom"/>
            <w:shd w:val="clear" w:color="auto" w:fill="CCEEFF"/>
          </w:tcPr>
          <w:p>
            <w:pPr>
              <w:spacing w:after="0"/>
              <w:rPr>
                <w:sz w:val="18"/>
                <w:szCs w:val="18"/>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Discount and debt issuance costs – unamortized</w:t>
            </w:r>
          </w:p>
        </w:tc>
        <w:tc>
          <w:tcPr>
            <w:tcW w:w="1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(6,700)</w:t>
            </w:r>
          </w:p>
        </w:tc>
      </w:tr>
      <w:tr>
        <w:trPr>
          <w:trHeight w:val="216"/>
        </w:trPr>
        <w:tc>
          <w:tcPr>
            <w:tcW w:w="79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1,424,842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199" w:firstLine="427"/>
        <w:spacing w:after="0" w:line="304" w:lineRule="auto"/>
        <w:rPr>
          <w:sz w:val="20"/>
          <w:szCs w:val="20"/>
          <w:color w:val="auto"/>
        </w:rPr>
      </w:pPr>
      <w:r>
        <w:rPr>
          <w:rFonts w:ascii="Arial" w:cs="Arial" w:eastAsia="Arial" w:hAnsi="Arial"/>
          <w:sz w:val="18"/>
          <w:szCs w:val="18"/>
          <w:color w:val="auto"/>
        </w:rPr>
        <w:t>At June 27, 2020, the carrying value and fair value of the Company’s total debt was $1.42 billion and $1.52 billion, respectively. At June 29, 2019, the carrying value and fair value of the Company’s total debt was $1.72 billion and $1.78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Accrued expenses and other</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and other consist of the following:</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June 27, 2020</w:t>
            </w:r>
          </w:p>
        </w:tc>
        <w:tc>
          <w:tcPr>
            <w:tcW w:w="18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29,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ind w:left="420"/>
              <w:spacing w:after="0" w:line="202" w:lineRule="exact"/>
              <w:rPr>
                <w:sz w:val="20"/>
                <w:szCs w:val="20"/>
                <w:color w:val="auto"/>
              </w:rPr>
            </w:pPr>
            <w:r>
              <w:rPr>
                <w:rFonts w:ascii="Arial" w:cs="Arial" w:eastAsia="Arial" w:hAnsi="Arial"/>
                <w:sz w:val="18"/>
                <w:szCs w:val="18"/>
                <w:b w:val="1"/>
                <w:bCs w:val="1"/>
                <w:color w:val="auto"/>
                <w:w w:val="88"/>
              </w:rPr>
              <w:t>(Thousands)</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320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200,987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198,969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Accrued operating costs</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121,701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107,621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and banking costs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Accrued restructuring costs</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16,942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 payable</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Accrued property, plant and equipment</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2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65,629</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3" w:lineRule="exact"/>
              <w:rPr>
                <w:sz w:val="20"/>
                <w:szCs w:val="20"/>
                <w:color w:val="auto"/>
              </w:rPr>
            </w:pPr>
            <w:r>
              <w:rPr>
                <w:rFonts w:ascii="Arial" w:cs="Arial" w:eastAsia="Arial" w:hAnsi="Arial"/>
                <w:sz w:val="18"/>
                <w:szCs w:val="18"/>
                <w:color w:val="auto"/>
              </w:rPr>
              <w:t>Total accrued expenses and other</w:t>
            </w:r>
          </w:p>
        </w:tc>
        <w:tc>
          <w:tcPr>
            <w:tcW w:w="2940" w:type="dxa"/>
            <w:vAlign w:val="bottom"/>
          </w:tcPr>
          <w:p>
            <w:pPr>
              <w:spacing w:after="0"/>
              <w:rPr>
                <w:sz w:val="17"/>
                <w:szCs w:val="17"/>
                <w:color w:val="auto"/>
              </w:rPr>
            </w:pPr>
          </w:p>
        </w:tc>
        <w:tc>
          <w:tcPr>
            <w:tcW w:w="2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472,924</w:t>
            </w: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89"/>
              </w:rPr>
              <w:t>413,696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940" w:type="dxa"/>
            <w:vAlign w:val="bottom"/>
            <w:vMerge w:val="restart"/>
          </w:tcPr>
          <w:p>
            <w:pPr>
              <w:jc w:val="right"/>
              <w:ind w:right="1890"/>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Income taxes</w:t>
      </w:r>
    </w:p>
    <w:p>
      <w:pPr>
        <w:spacing w:after="0" w:line="135" w:lineRule="exact"/>
        <w:rPr>
          <w:sz w:val="20"/>
          <w:szCs w:val="20"/>
          <w:color w:val="auto"/>
        </w:rPr>
      </w:pPr>
    </w:p>
    <w:p>
      <w:pPr>
        <w:ind w:left="60" w:right="59" w:firstLine="427"/>
        <w:spacing w:after="0" w:line="306" w:lineRule="auto"/>
        <w:rPr>
          <w:sz w:val="20"/>
          <w:szCs w:val="20"/>
          <w:color w:val="auto"/>
        </w:rPr>
      </w:pPr>
      <w:r>
        <w:rPr>
          <w:rFonts w:ascii="Arial" w:cs="Arial" w:eastAsia="Arial" w:hAnsi="Arial"/>
          <w:sz w:val="18"/>
          <w:szCs w:val="18"/>
          <w:color w:val="auto"/>
        </w:rPr>
        <w:t>The components of income tax (benefit) expense (“tax provision”) are included in the table below. The tax provision for deferred income taxes results from temporary differences arising primarily from net operating losses, inventories valuation, receivables valuation, suspended interest deductions, certain accrued amounts and depreciation and amortization, net of any changes to valuation allowances.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89"/>
              </w:rPr>
              <w:t>Years Ended</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June 27, 2020</w:t>
            </w:r>
          </w:p>
        </w:tc>
        <w:tc>
          <w:tcPr>
            <w:tcW w:w="1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June 29, 2019</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2018</w:t>
            </w:r>
          </w:p>
        </w:tc>
        <w:tc>
          <w:tcPr>
            <w:tcW w:w="60" w:type="dxa"/>
            <w:vAlign w:val="bottom"/>
          </w:tcPr>
          <w:p>
            <w:pPr>
              <w:spacing w:after="0"/>
              <w:rPr>
                <w:sz w:val="19"/>
                <w:szCs w:val="19"/>
                <w:color w:val="auto"/>
              </w:rPr>
            </w:pPr>
          </w:p>
        </w:tc>
      </w:tr>
      <w:tr>
        <w:trPr>
          <w:trHeight w:val="203"/>
        </w:trPr>
        <w:tc>
          <w:tcPr>
            <w:tcW w:w="3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top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b w:val="1"/>
                <w:bCs w:val="1"/>
                <w:color w:val="auto"/>
                <w:w w:val="90"/>
              </w:rPr>
              <w:t>(Thousands)</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ind w:left="320"/>
              <w:spacing w:after="0"/>
              <w:rPr>
                <w:sz w:val="20"/>
                <w:szCs w:val="20"/>
                <w:color w:val="auto"/>
              </w:rPr>
            </w:pPr>
            <w:r>
              <w:rPr>
                <w:rFonts w:ascii="Arial" w:cs="Arial" w:eastAsia="Arial" w:hAnsi="Arial"/>
                <w:sz w:val="18"/>
                <w:szCs w:val="18"/>
                <w:color w:val="auto"/>
              </w:rPr>
              <w:t>Federal</w:t>
            </w:r>
          </w:p>
        </w:tc>
        <w:tc>
          <w:tcPr>
            <w:tcW w:w="17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(127,312)</w:t>
            </w:r>
          </w:p>
        </w:tc>
        <w:tc>
          <w:tcPr>
            <w:tcW w:w="520" w:type="dxa"/>
            <w:vAlign w:val="bottom"/>
            <w:gridSpan w:val="2"/>
          </w:tcPr>
          <w:p>
            <w:pPr>
              <w:jc w:val="right"/>
              <w:ind w:right="17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(18,611)</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255,810</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6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Foreign</w:t>
            </w:r>
          </w:p>
        </w:tc>
        <w:tc>
          <w:tcPr>
            <w:tcW w:w="1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22,816</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78,988</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104,156</w:t>
            </w:r>
          </w:p>
        </w:tc>
        <w:tc>
          <w:tcPr>
            <w:tcW w:w="60" w:type="dxa"/>
            <w:vAlign w:val="bottom"/>
            <w:tcBorders>
              <w:bottom w:val="single" w:sz="8" w:color="CCEEFF"/>
            </w:tcBorders>
          </w:tcPr>
          <w:p>
            <w:pPr>
              <w:spacing w:after="0"/>
              <w:rPr>
                <w:sz w:val="19"/>
                <w:szCs w:val="19"/>
                <w:color w:val="auto"/>
              </w:rPr>
            </w:pPr>
          </w:p>
        </w:tc>
      </w:tr>
      <w:tr>
        <w:trPr>
          <w:trHeight w:val="236"/>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taxes</w:t>
            </w:r>
          </w:p>
        </w:tc>
        <w:tc>
          <w:tcPr>
            <w:tcW w:w="1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(86,513)</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68,900</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356,792</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3540" w:type="dxa"/>
            <w:vAlign w:val="bottom"/>
          </w:tcPr>
          <w:p>
            <w:pPr>
              <w:spacing w:after="0" w:line="203" w:lineRule="exact"/>
              <w:rPr>
                <w:sz w:val="20"/>
                <w:szCs w:val="20"/>
                <w:color w:val="auto"/>
              </w:rPr>
            </w:pPr>
            <w:r>
              <w:rPr>
                <w:rFonts w:ascii="Arial" w:cs="Arial" w:eastAsia="Arial" w:hAnsi="Arial"/>
                <w:sz w:val="18"/>
                <w:szCs w:val="18"/>
                <w:color w:val="auto"/>
              </w:rPr>
              <w:t>Deferred:</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(70,172)</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ind w:left="320"/>
              <w:spacing w:after="0"/>
              <w:rPr>
                <w:sz w:val="20"/>
                <w:szCs w:val="20"/>
                <w:color w:val="auto"/>
              </w:rPr>
            </w:pPr>
            <w:r>
              <w:rPr>
                <w:rFonts w:ascii="Arial" w:cs="Arial" w:eastAsia="Arial" w:hAnsi="Arial"/>
                <w:sz w:val="18"/>
                <w:szCs w:val="18"/>
                <w:color w:val="auto"/>
              </w:rPr>
              <w:t>State and local</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(10,551)</w:t>
            </w:r>
          </w:p>
        </w:tc>
        <w:tc>
          <w:tcPr>
            <w:tcW w:w="60" w:type="dxa"/>
            <w:vAlign w:val="bottom"/>
          </w:tcPr>
          <w:p>
            <w:pPr>
              <w:spacing w:after="0"/>
              <w:rPr>
                <w:sz w:val="18"/>
                <w:szCs w:val="18"/>
                <w:color w:val="auto"/>
              </w:rPr>
            </w:pPr>
          </w:p>
        </w:tc>
      </w:tr>
      <w:tr>
        <w:trPr>
          <w:trHeight w:val="236"/>
        </w:trPr>
        <w:tc>
          <w:tcPr>
            <w:tcW w:w="3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1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(31,355)</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(25,048)</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354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Total deferred taxes</w:t>
            </w:r>
          </w:p>
        </w:tc>
        <w:tc>
          <w:tcPr>
            <w:tcW w:w="1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(12,061)</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(6,743)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(68,826)</w:t>
            </w:r>
          </w:p>
        </w:tc>
        <w:tc>
          <w:tcPr>
            <w:tcW w:w="60" w:type="dxa"/>
            <w:vAlign w:val="bottom"/>
            <w:tcBorders>
              <w:bottom w:val="single" w:sz="8" w:color="CCEEFF"/>
            </w:tcBorders>
          </w:tcPr>
          <w:p>
            <w:pPr>
              <w:spacing w:after="0"/>
              <w:rPr>
                <w:sz w:val="18"/>
                <w:szCs w:val="18"/>
                <w:color w:val="auto"/>
              </w:rPr>
            </w:pPr>
          </w:p>
        </w:tc>
      </w:tr>
      <w:tr>
        <w:trPr>
          <w:trHeight w:val="216"/>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287,966</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19" w:firstLine="427"/>
        <w:spacing w:after="0" w:line="354" w:lineRule="auto"/>
        <w:rPr>
          <w:sz w:val="20"/>
          <w:szCs w:val="20"/>
          <w:color w:val="auto"/>
        </w:rPr>
      </w:pPr>
      <w:r>
        <w:rPr>
          <w:rFonts w:ascii="Arial" w:cs="Arial" w:eastAsia="Arial" w:hAnsi="Arial"/>
          <w:sz w:val="16"/>
          <w:szCs w:val="16"/>
          <w:color w:val="auto"/>
        </w:rPr>
        <w:t>The tax provision is computed based upon income (loss) from continuing operations before income taxes from both U.S. and foreign operations. U.S. loss from continuing operations before income taxes was $253.3 million, $68.5 million and $385.1 million, in fiscal 2020, 2019 and 2018, respectively, and foreign income from continuing operations before income taxes was $125.2 million, $310.8 million and $530.2 million in fiscal 2020, 2019 and 2018, respectively.</w:t>
      </w:r>
    </w:p>
    <w:p>
      <w:pPr>
        <w:spacing w:after="0" w:line="116" w:lineRule="exact"/>
        <w:rPr>
          <w:sz w:val="20"/>
          <w:szCs w:val="20"/>
          <w:color w:val="auto"/>
        </w:rPr>
      </w:pPr>
    </w:p>
    <w:p>
      <w:pPr>
        <w:ind w:left="60" w:right="79" w:firstLine="427"/>
        <w:spacing w:after="0" w:line="302" w:lineRule="auto"/>
        <w:rPr>
          <w:sz w:val="20"/>
          <w:szCs w:val="20"/>
          <w:color w:val="auto"/>
        </w:rPr>
      </w:pPr>
      <w:r>
        <w:rPr>
          <w:rFonts w:ascii="Arial" w:cs="Arial" w:eastAsia="Arial" w:hAnsi="Arial"/>
          <w:sz w:val="18"/>
          <w:szCs w:val="18"/>
          <w:color w:val="auto"/>
        </w:rPr>
        <w:t>On March 27, 2020, the United States enacted the Coronavirus Aid, Relief, and Economic Security Act (the “CARES Act”). The CARES Act is an approximately $2 trillion emergency economic stimulus package in response to the COVID-19 pandemic, which among other things contains numerous income tax provisions. The CARES Act allows net operating losses incurred in fiscal years 2019, 2020, and 2021 to be carried back to each of the five preceding taxable years to generate a refund of previously paid income taxes. The Company expects to utilize this carryback provision, which is generating a tax provision benefit in fiscal 2020.</w:t>
      </w:r>
    </w:p>
    <w:p>
      <w:pPr>
        <w:spacing w:after="0" w:line="165" w:lineRule="exact"/>
        <w:rPr>
          <w:sz w:val="20"/>
          <w:szCs w:val="20"/>
          <w:color w:val="auto"/>
        </w:rPr>
      </w:pPr>
    </w:p>
    <w:p>
      <w:pPr>
        <w:jc w:val="both"/>
        <w:ind w:left="60" w:right="219" w:firstLine="427"/>
        <w:spacing w:after="0" w:line="336" w:lineRule="auto"/>
        <w:rPr>
          <w:sz w:val="20"/>
          <w:szCs w:val="20"/>
          <w:color w:val="auto"/>
        </w:rPr>
      </w:pPr>
      <w:r>
        <w:rPr>
          <w:rFonts w:ascii="Arial" w:cs="Arial" w:eastAsia="Arial" w:hAnsi="Arial"/>
          <w:sz w:val="17"/>
          <w:szCs w:val="17"/>
          <w:color w:val="auto"/>
        </w:rPr>
        <w:t>The Company changed its historical assertion as of June 27, 2020, so that all of its unremitted foreign earnings are permanently reinvested as the current year remitted foreign earnings have provided sufficient liquidity for the foreseeable future. The Company believes any unrecorded liabilities related to this assertion are not material.</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Reconciliations of the federal statutory tax rate to the effective tax rates are as follows: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89"/>
              </w:rPr>
              <w:t>Years Ended</w:t>
            </w: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4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87"/>
              </w:rPr>
              <w:t>June 27, 2020</w:t>
            </w:r>
          </w:p>
        </w:tc>
        <w:tc>
          <w:tcPr>
            <w:tcW w:w="13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2"/>
              </w:rPr>
              <w:t>June 29, 2019</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June 30, 2018</w:t>
            </w:r>
          </w:p>
        </w:tc>
        <w:tc>
          <w:tcPr>
            <w:tcW w:w="240" w:type="dxa"/>
            <w:vAlign w:val="bottom"/>
          </w:tcPr>
          <w:p>
            <w:pPr>
              <w:spacing w:after="0"/>
              <w:rPr>
                <w:sz w:val="19"/>
                <w:szCs w:val="19"/>
                <w:color w:val="auto"/>
              </w:rPr>
            </w:pPr>
          </w:p>
        </w:tc>
      </w:tr>
      <w:tr>
        <w:trPr>
          <w:trHeight w:val="216"/>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Tax on foreign income, net of valuation allowances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w w:val="95"/>
              </w:rPr>
              <w:t>Establishment/release of valuation allowances, net of U.S. tax</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expense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unrecognized tax benefit reserves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Tax audit settlements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Impact of the Act - transition tax</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Impact of the Act - deferred tax effects</w:t>
            </w:r>
          </w:p>
        </w:tc>
        <w:tc>
          <w:tcPr>
            <w:tcW w:w="28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Impact of the CARES Act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Impairment of investments, including goodwill</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203"/>
        </w:trPr>
        <w:tc>
          <w:tcPr>
            <w:tcW w:w="4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Effective tax rate - continuing operations</w:t>
            </w:r>
          </w:p>
        </w:tc>
        <w:tc>
          <w:tcPr>
            <w:tcW w:w="28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76.9</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25.7</w:t>
            </w:r>
          </w:p>
        </w:tc>
        <w:tc>
          <w:tcPr>
            <w:tcW w:w="24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74"/>
              </w:rPr>
              <w:t>%</w:t>
            </w:r>
          </w:p>
        </w:tc>
        <w:tc>
          <w:tcPr>
            <w:tcW w:w="1080" w:type="dxa"/>
            <w:vAlign w:val="bottom"/>
            <w:tcBorders>
              <w:top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198.5</w:t>
            </w:r>
          </w:p>
        </w:tc>
        <w:tc>
          <w:tcPr>
            <w:tcW w:w="24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74"/>
              </w:rPr>
              <w:t>%</w:t>
            </w:r>
          </w:p>
        </w:tc>
      </w:tr>
      <w:tr>
        <w:trPr>
          <w:trHeight w:val="20"/>
        </w:trPr>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Tax rates on foreign income represents the impact of the difference between foreign rates and the U.S. federal statutory rate applied to foreign income or loss, foreign income taxed in the U.S. at rates other than its statutory rate, and the impact of valuation allowances previously established against the Company’s otherwise realizable foreign deferred tax assets, which are primarily net operating loss carry-forwards.</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Avnet’s effective tax rate on loss before income taxes from continuing operations was a benefit of 76.9% in fiscal</w:t>
      </w:r>
    </w:p>
    <w:p>
      <w:pPr>
        <w:spacing w:after="0" w:line="61" w:lineRule="exact"/>
        <w:rPr>
          <w:sz w:val="20"/>
          <w:szCs w:val="20"/>
          <w:color w:val="auto"/>
        </w:rPr>
      </w:pPr>
    </w:p>
    <w:p>
      <w:pPr>
        <w:ind w:left="60" w:right="79"/>
        <w:spacing w:after="0" w:line="306" w:lineRule="auto"/>
        <w:rPr>
          <w:sz w:val="20"/>
          <w:szCs w:val="20"/>
          <w:color w:val="auto"/>
        </w:rPr>
      </w:pPr>
      <w:r>
        <w:rPr>
          <w:rFonts w:ascii="Arial" w:cs="Arial" w:eastAsia="Arial" w:hAnsi="Arial"/>
          <w:sz w:val="18"/>
          <w:szCs w:val="18"/>
          <w:color w:val="auto"/>
        </w:rPr>
        <w:t>2020 as compared with an effective tax rate of 25.7% of expense on fiscal 2019 income before income taxes. Included in the fiscal 2020 effective tax rate is a tax benefit arising from the reduction in value of certain businesses for tax purposes, partially offset by the establishment of valuation allowances against deferred tax assets that the Company no longer expects to realize the future benefit from.</w:t>
      </w:r>
    </w:p>
    <w:p>
      <w:pPr>
        <w:spacing w:after="0" w:line="78" w:lineRule="exact"/>
        <w:rPr>
          <w:sz w:val="20"/>
          <w:szCs w:val="20"/>
          <w:color w:val="auto"/>
        </w:rPr>
      </w:pPr>
    </w:p>
    <w:p>
      <w:pPr>
        <w:ind w:left="60" w:right="99" w:firstLine="427"/>
        <w:spacing w:after="0" w:line="319" w:lineRule="auto"/>
        <w:rPr>
          <w:sz w:val="20"/>
          <w:szCs w:val="20"/>
          <w:color w:val="auto"/>
        </w:rPr>
      </w:pPr>
      <w:r>
        <w:rPr>
          <w:rFonts w:ascii="Arial" w:cs="Arial" w:eastAsia="Arial" w:hAnsi="Arial"/>
          <w:sz w:val="17"/>
          <w:szCs w:val="17"/>
          <w:color w:val="auto"/>
        </w:rPr>
        <w:t xml:space="preserve">The Company applies the guidance in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management to use its judgment to the appropriate weighting of all available evidence when assessing the need for the establishment or the release of valuation allowances. As part of this analysis, the Company examines all available evidence on a jurisdiction by jurisdiction basis and weighs the positive and negative evidence when determining the need for full or partial valuation allowances. The evidence considered for each jurisdiction includes, among other items: (i) the historic levels and types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Company’s served industries; (iii) jurisdictional specific limitations on the utilization of deferred tax assets including when such assets expire; and (iv) prudent and feasible tax planning strategies.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579" w:firstLine="427"/>
        <w:spacing w:after="0" w:line="324" w:lineRule="auto"/>
        <w:rPr>
          <w:sz w:val="20"/>
          <w:szCs w:val="20"/>
          <w:color w:val="auto"/>
        </w:rPr>
      </w:pPr>
      <w:r>
        <w:rPr>
          <w:rFonts w:ascii="Arial" w:cs="Arial" w:eastAsia="Arial" w:hAnsi="Arial"/>
          <w:sz w:val="18"/>
          <w:szCs w:val="18"/>
          <w:color w:val="auto"/>
        </w:rPr>
        <w:t>The significant components of deferred tax assets and liabilities, included in “other assets” on the consolidated balance sheets, are as follows: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27,</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68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3"/>
        </w:trPr>
        <w:tc>
          <w:tcPr>
            <w:tcW w:w="6820" w:type="dxa"/>
            <w:vAlign w:val="bottom"/>
          </w:tcPr>
          <w:p>
            <w:pPr>
              <w:spacing w:after="0"/>
              <w:rPr>
                <w:sz w:val="17"/>
                <w:szCs w:val="17"/>
                <w:color w:val="auto"/>
              </w:rPr>
            </w:pPr>
          </w:p>
        </w:tc>
        <w:tc>
          <w:tcPr>
            <w:tcW w:w="2000" w:type="dxa"/>
            <w:vAlign w:val="bottom"/>
            <w:gridSpan w:val="3"/>
          </w:tcPr>
          <w:p>
            <w:pPr>
              <w:jc w:val="right"/>
              <w:ind w:right="430"/>
              <w:spacing w:after="0" w:line="202" w:lineRule="exact"/>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7"/>
                <w:szCs w:val="17"/>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Federal, state and foreign net operating loss carry-forwards</w:t>
            </w:r>
          </w:p>
        </w:tc>
        <w:tc>
          <w:tcPr>
            <w:tcW w:w="900" w:type="dxa"/>
            <w:vAlign w:val="bottom"/>
          </w:tcPr>
          <w:p>
            <w:pPr>
              <w:jc w:val="right"/>
              <w:spacing w:after="0"/>
              <w:rPr>
                <w:sz w:val="20"/>
                <w:szCs w:val="20"/>
                <w:color w:val="auto"/>
              </w:rPr>
            </w:pPr>
            <w:r>
              <w:rPr>
                <w:rFonts w:ascii="Arial" w:cs="Arial" w:eastAsia="Arial" w:hAnsi="Arial"/>
                <w:sz w:val="18"/>
                <w:szCs w:val="18"/>
                <w:color w:val="auto"/>
                <w:w w:val="96"/>
              </w:rPr>
              <w:t>$  237,200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8"/>
              </w:rPr>
              <w:t>$  241,747</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Inventories valuation</w:t>
            </w:r>
          </w:p>
        </w:tc>
        <w:tc>
          <w:tcPr>
            <w:tcW w:w="900" w:type="dxa"/>
            <w:vAlign w:val="bottom"/>
          </w:tcPr>
          <w:p>
            <w:pPr>
              <w:jc w:val="right"/>
              <w:spacing w:after="0"/>
              <w:rPr>
                <w:sz w:val="20"/>
                <w:szCs w:val="20"/>
                <w:color w:val="auto"/>
              </w:rPr>
            </w:pPr>
            <w:r>
              <w:rPr>
                <w:rFonts w:ascii="Arial" w:cs="Arial" w:eastAsia="Arial" w:hAnsi="Arial"/>
                <w:sz w:val="18"/>
                <w:szCs w:val="18"/>
                <w:color w:val="auto"/>
              </w:rPr>
              <w:t>35,509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28,441</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Receivables valuation</w:t>
            </w:r>
          </w:p>
        </w:tc>
        <w:tc>
          <w:tcPr>
            <w:tcW w:w="900" w:type="dxa"/>
            <w:vAlign w:val="bottom"/>
          </w:tcPr>
          <w:p>
            <w:pPr>
              <w:jc w:val="right"/>
              <w:spacing w:after="0"/>
              <w:rPr>
                <w:sz w:val="20"/>
                <w:szCs w:val="20"/>
                <w:color w:val="auto"/>
              </w:rPr>
            </w:pPr>
            <w:r>
              <w:rPr>
                <w:rFonts w:ascii="Arial" w:cs="Arial" w:eastAsia="Arial" w:hAnsi="Arial"/>
                <w:sz w:val="18"/>
                <w:szCs w:val="18"/>
                <w:color w:val="auto"/>
              </w:rPr>
              <w:t>11,868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9,138</w:t>
            </w:r>
          </w:p>
        </w:tc>
        <w:tc>
          <w:tcPr>
            <w:tcW w:w="80" w:type="dxa"/>
            <w:vAlign w:val="bottom"/>
          </w:tcPr>
          <w:p>
            <w:pPr>
              <w:spacing w:after="0"/>
              <w:rPr>
                <w:sz w:val="18"/>
                <w:szCs w:val="18"/>
                <w:color w:val="auto"/>
              </w:rPr>
            </w:pPr>
          </w:p>
        </w:tc>
      </w:tr>
      <w:tr>
        <w:trPr>
          <w:trHeight w:val="223"/>
        </w:trPr>
        <w:tc>
          <w:tcPr>
            <w:tcW w:w="6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Various accrued liabilities and other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102,298</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68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471,274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322,177</w:t>
            </w:r>
          </w:p>
        </w:tc>
        <w:tc>
          <w:tcPr>
            <w:tcW w:w="80" w:type="dxa"/>
            <w:vAlign w:val="bottom"/>
          </w:tcPr>
          <w:p>
            <w:pPr>
              <w:spacing w:after="0"/>
              <w:rPr>
                <w:sz w:val="18"/>
                <w:szCs w:val="18"/>
                <w:color w:val="auto"/>
              </w:rPr>
            </w:pPr>
          </w:p>
        </w:tc>
      </w:tr>
      <w:tr>
        <w:trPr>
          <w:trHeight w:val="223"/>
        </w:trPr>
        <w:tc>
          <w:tcPr>
            <w:tcW w:w="6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 valuation allowances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(283,721)</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(231,463)</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1" w:lineRule="exact"/>
        <w:rPr>
          <w:sz w:val="20"/>
          <w:szCs w:val="20"/>
          <w:color w:val="auto"/>
        </w:rPr>
      </w:pPr>
    </w:p>
    <w:p>
      <w:pPr>
        <w:jc w:val="right"/>
        <w:ind w:right="4420"/>
        <w:spacing w:after="0"/>
        <w:rPr>
          <w:sz w:val="20"/>
          <w:szCs w:val="20"/>
          <w:color w:val="auto"/>
        </w:rPr>
      </w:pPr>
      <w:r>
        <w:rPr>
          <w:rFonts w:ascii="Arial" w:cs="Arial" w:eastAsia="Arial" w:hAnsi="Arial"/>
          <w:sz w:val="16"/>
          <w:szCs w:val="16"/>
          <w:color w:val="auto"/>
        </w:rPr>
        <w:t>Deferred tax liabilities:</w:t>
      </w:r>
    </w:p>
    <w:p>
      <w:pPr>
        <w:spacing w:after="0" w:line="46" w:lineRule="exact"/>
        <w:rPr>
          <w:sz w:val="20"/>
          <w:szCs w:val="20"/>
          <w:color w:val="auto"/>
        </w:rPr>
      </w:pPr>
    </w:p>
    <w:p>
      <w:pPr>
        <w:jc w:val="right"/>
        <w:ind w:right="4400"/>
        <w:spacing w:after="0"/>
        <w:rPr>
          <w:sz w:val="20"/>
          <w:szCs w:val="20"/>
          <w:color w:val="auto"/>
        </w:rPr>
      </w:pPr>
      <w:r>
        <w:rPr>
          <w:rFonts w:ascii="Arial" w:cs="Arial" w:eastAsia="Arial" w:hAnsi="Arial"/>
          <w:sz w:val="16"/>
          <w:szCs w:val="16"/>
          <w:color w:val="auto"/>
        </w:rPr>
        <w:t>Operating lease assets</w:t>
      </w:r>
    </w:p>
    <w:p>
      <w:pPr>
        <w:spacing w:after="0" w:line="58" w:lineRule="exact"/>
        <w:rPr>
          <w:sz w:val="20"/>
          <w:szCs w:val="20"/>
          <w:color w:val="auto"/>
        </w:rPr>
      </w:pPr>
    </w:p>
    <w:p>
      <w:pPr>
        <w:jc w:val="right"/>
        <w:ind w:right="4340"/>
        <w:spacing w:after="0"/>
        <w:rPr>
          <w:sz w:val="20"/>
          <w:szCs w:val="20"/>
          <w:color w:val="auto"/>
        </w:rPr>
      </w:pPr>
      <w:r>
        <w:rPr>
          <w:rFonts w:ascii="Arial" w:cs="Arial" w:eastAsia="Arial" w:hAnsi="Arial"/>
          <w:sz w:val="16"/>
          <w:szCs w:val="16"/>
          <w:color w:val="auto"/>
        </w:rPr>
        <w:t>Net deferred tax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spacing w:after="0"/>
              <w:rPr>
                <w:sz w:val="20"/>
                <w:szCs w:val="20"/>
                <w:color w:val="auto"/>
              </w:rPr>
            </w:pPr>
            <w:r>
              <w:rPr>
                <w:rFonts w:ascii="Arial" w:cs="Arial" w:eastAsia="Arial" w:hAnsi="Arial"/>
                <w:sz w:val="18"/>
                <w:szCs w:val="18"/>
                <w:color w:val="auto"/>
              </w:rPr>
              <w:t>187,553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90,714</w:t>
            </w:r>
          </w:p>
        </w:tc>
      </w:tr>
      <w:tr>
        <w:trPr>
          <w:trHeight w:val="425"/>
        </w:trPr>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(66,316)</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121,237</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90,714</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-453390</wp:posOffset>
            </wp:positionV>
            <wp:extent cx="56489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-170815</wp:posOffset>
            </wp:positionV>
            <wp:extent cx="564896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6140" w:space="720"/>
            <w:col w:w="2159"/>
          </w:cols>
          <w:pgMar w:left="1440" w:top="517" w:right="1440" w:bottom="1440" w:gutter="0" w:footer="0" w:header="0"/>
          <w:type w:val="continuous"/>
        </w:sectPr>
      </w:pPr>
    </w:p>
    <w:p>
      <w:pPr>
        <w:ind w:left="60" w:right="139" w:firstLine="427"/>
        <w:spacing w:after="0" w:line="310" w:lineRule="auto"/>
        <w:rPr>
          <w:sz w:val="20"/>
          <w:szCs w:val="20"/>
          <w:color w:val="auto"/>
        </w:rPr>
      </w:pPr>
      <w:r>
        <w:rPr>
          <w:rFonts w:ascii="Arial" w:cs="Arial" w:eastAsia="Arial" w:hAnsi="Arial"/>
          <w:sz w:val="18"/>
          <w:szCs w:val="18"/>
          <w:color w:val="auto"/>
        </w:rPr>
        <w:t>The change in valuation allowances in fiscal 2020 from fiscal 2019 was primarily related to the $61.4 million establishment of valuation allowance as a result of changes to management’s expectation of its ability to realize certain tax assets in the United States.</w:t>
      </w:r>
    </w:p>
    <w:p>
      <w:pPr>
        <w:spacing w:after="0" w:line="75" w:lineRule="exact"/>
        <w:rPr>
          <w:sz w:val="20"/>
          <w:szCs w:val="20"/>
          <w:color w:val="auto"/>
        </w:rPr>
      </w:pPr>
    </w:p>
    <w:p>
      <w:pPr>
        <w:ind w:left="60" w:right="79" w:firstLine="427"/>
        <w:spacing w:after="0" w:line="320" w:lineRule="auto"/>
        <w:rPr>
          <w:sz w:val="20"/>
          <w:szCs w:val="20"/>
          <w:color w:val="auto"/>
        </w:rPr>
      </w:pPr>
      <w:r>
        <w:rPr>
          <w:rFonts w:ascii="Arial" w:cs="Arial" w:eastAsia="Arial" w:hAnsi="Arial"/>
          <w:sz w:val="17"/>
          <w:szCs w:val="17"/>
          <w:color w:val="auto"/>
        </w:rPr>
        <w:t>As of June 27, 2020, the Company had net operating and capital loss carry-forwards of approximately $1.28 billion, of which $33.4 million will expire during fiscal 2021 and fiscal 2022, substantially all of which have full valuation allowances, $246.3 million have expiration dates ranging from fiscal 2023 to fiscal 2040, and the remaining $999.1 million have no expiration date. A significant portion of these losses are not expected to be realized in the foreseeable future and have valuation allowances against them. The carrying value of the Company’s net operating and capital loss carry-forwards is dependent upon the Company’s ability to generate sufficient future taxable income in certain tax jurisdictions. In addition, the Company considers historic levels and types of income or losses, expectations and risk associated with estimates of future taxable income and ongoing prudent and feasible tax planning strategies in assessing the need for valuation allowances as discussed further above.</w:t>
      </w:r>
    </w:p>
    <w:p>
      <w:pPr>
        <w:spacing w:after="0" w:line="71" w:lineRule="exact"/>
        <w:rPr>
          <w:sz w:val="20"/>
          <w:szCs w:val="20"/>
          <w:color w:val="auto"/>
        </w:rPr>
      </w:pPr>
    </w:p>
    <w:p>
      <w:pPr>
        <w:ind w:left="60" w:right="159" w:firstLine="427"/>
        <w:spacing w:after="0" w:line="323" w:lineRule="auto"/>
        <w:rPr>
          <w:sz w:val="20"/>
          <w:szCs w:val="20"/>
          <w:color w:val="auto"/>
        </w:rPr>
      </w:pPr>
      <w:r>
        <w:rPr>
          <w:rFonts w:ascii="Arial" w:cs="Arial" w:eastAsia="Arial" w:hAnsi="Arial"/>
          <w:sz w:val="17"/>
          <w:szCs w:val="17"/>
          <w:color w:val="auto"/>
        </w:rPr>
        <w:t>Estimated liabilities for unrecognized tax benefits are included in “Accrued expenses and other” and “Other liabilities” on the consolidated balance sheets. These contingent liabilities relate to various tax matters that result from uncertainties in the application of complex income tax regulations in the numerous jurisdictions in which the Company operates. As of June 27, 2020, unrecognized tax benefits were $116.5 million. The estimated liability for unrecognized tax benefits included accrued interest expense and penalties of $20.2 million and $23.4 million, net of applicable state tax benefits, as of the end of fiscal 2020 and 2019, respectively.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Reconciliations of the beginning and ending liability balances for unrecognized tax benefits are as follows: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June 27, 2020</w:t>
            </w:r>
          </w:p>
        </w:tc>
        <w:tc>
          <w:tcPr>
            <w:tcW w:w="180" w:type="dxa"/>
            <w:vAlign w:val="bottom"/>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June 29, 2019</w:t>
            </w:r>
          </w:p>
        </w:tc>
        <w:tc>
          <w:tcPr>
            <w:tcW w:w="60" w:type="dxa"/>
            <w:vAlign w:val="bottom"/>
          </w:tcPr>
          <w:p>
            <w:pPr>
              <w:spacing w:after="0"/>
              <w:rPr>
                <w:sz w:val="20"/>
                <w:szCs w:val="20"/>
                <w:color w:val="auto"/>
              </w:rPr>
            </w:pPr>
          </w:p>
        </w:tc>
      </w:tr>
      <w:tr>
        <w:trPr>
          <w:trHeight w:val="203"/>
        </w:trPr>
        <w:tc>
          <w:tcPr>
            <w:tcW w:w="5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(Thousands)</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123,765</w:t>
            </w:r>
          </w:p>
        </w:tc>
        <w:tc>
          <w:tcPr>
            <w:tcW w:w="58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84,357</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Additions for tax positions taken in prior periods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44,429</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taken in prior periods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Reductions related to tax rate change</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taken in current period</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Reductions related to settlements with taxing authorities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Reductions related to the lapse of applicable statutes of limitations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60" w:type="dxa"/>
            <w:vAlign w:val="bottom"/>
            <w:shd w:val="clear" w:color="auto" w:fill="CCEEFF"/>
          </w:tcPr>
          <w:p>
            <w:pPr>
              <w:spacing w:after="0"/>
              <w:rPr>
                <w:sz w:val="18"/>
                <w:szCs w:val="18"/>
                <w:color w:val="auto"/>
              </w:rPr>
            </w:pPr>
          </w:p>
        </w:tc>
      </w:tr>
      <w:tr>
        <w:trPr>
          <w:trHeight w:val="223"/>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Adjustments related to foreign currency translation</w:t>
            </w:r>
          </w:p>
        </w:tc>
        <w:tc>
          <w:tcPr>
            <w:tcW w:w="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60" w:type="dxa"/>
            <w:vAlign w:val="bottom"/>
            <w:tcBorders>
              <w:bottom w:val="single" w:sz="8" w:color="CCEEFF"/>
            </w:tcBorders>
          </w:tcPr>
          <w:p>
            <w:pPr>
              <w:spacing w:after="0"/>
              <w:rPr>
                <w:sz w:val="19"/>
                <w:szCs w:val="19"/>
                <w:color w:val="auto"/>
              </w:rPr>
            </w:pP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96,292</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123,765</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9" w:firstLine="427"/>
        <w:spacing w:after="0" w:line="318" w:lineRule="auto"/>
        <w:rPr>
          <w:sz w:val="20"/>
          <w:szCs w:val="20"/>
          <w:color w:val="auto"/>
        </w:rPr>
      </w:pPr>
      <w:r>
        <w:rPr>
          <w:rFonts w:ascii="Arial" w:cs="Arial" w:eastAsia="Arial" w:hAnsi="Arial"/>
          <w:sz w:val="17"/>
          <w:szCs w:val="17"/>
          <w:color w:val="auto"/>
        </w:rPr>
        <w:t>The evaluation of uncertain income tax positions requires management to estimate the ability of the Company to sustain its position with applicable tax authorities and estimate the final benefit to the Company. To the extent that these estimates do not reflect the actual outcome there could be an impact on the consolidated financial statements in the period in which the position is settled, the applicable statutes of limitations expire or new information becomes available as the impact of these events are recognized in the period in which they occur. It is difficult to estimate the period in which the amount of a tax position will change as settlement may include administrative and legal proceedings where the Company cannot control the timing. The effects of settling tax positions with tax authorities and statute expirations may significantly impact the estimate for unrecognized tax benefits. Within the next twelve months, the Company estimates that approximately $16.1 million of these liabilities for unrecognized tax benefits will be settled by the expiration of the statutes of limitations or through agreement with the tax authorities for tax positions related to valuation matters and positions related to acquired entities. The expected cash payment related to the settlement of these contingencies is approximately $1.7 million.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The Company conducts business globally and consequently files income tax returns in numerous jurisdictions including those listed in the following table. It is also routinely subject to audit in these and other countries. The Company is no longer subject to audit in its major jurisdictions for periods prior to fiscal 2010. The years remaining subject to audit, by major jurisdiction, are as follows: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w:t>
            </w:r>
          </w:p>
        </w:tc>
      </w:tr>
      <w:tr>
        <w:trPr>
          <w:trHeight w:val="216"/>
        </w:trPr>
        <w:tc>
          <w:tcPr>
            <w:tcW w:w="7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 (Federal and state)</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2016 - 2020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Taiwan</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2015 - 2020</w:t>
            </w:r>
          </w:p>
        </w:tc>
        <w:tc>
          <w:tcPr>
            <w:tcW w:w="1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2014 - 2020</w:t>
            </w:r>
          </w:p>
        </w:tc>
        <w:tc>
          <w:tcPr>
            <w:tcW w:w="14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2010 - 2020</w:t>
            </w:r>
          </w:p>
        </w:tc>
        <w:tc>
          <w:tcPr>
            <w:tcW w:w="1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2016 - 2020</w:t>
            </w:r>
          </w:p>
        </w:tc>
        <w:tc>
          <w:tcPr>
            <w:tcW w:w="14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2017 - 2020</w:t>
            </w:r>
          </w:p>
        </w:tc>
        <w:tc>
          <w:tcPr>
            <w:tcW w:w="1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2018 - 2020</w:t>
            </w:r>
          </w:p>
        </w:tc>
        <w:tc>
          <w:tcPr>
            <w:tcW w:w="140" w:type="dxa"/>
            <w:vAlign w:val="bottom"/>
            <w:shd w:val="clear" w:color="auto" w:fill="CCEEFF"/>
          </w:tcPr>
          <w:p>
            <w:pPr>
              <w:spacing w:after="0"/>
              <w:rPr>
                <w:sz w:val="18"/>
                <w:szCs w:val="18"/>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2011 - 2020</w:t>
            </w:r>
          </w:p>
        </w:tc>
        <w:tc>
          <w:tcPr>
            <w:tcW w:w="140" w:type="dxa"/>
            <w:vAlign w:val="bottom"/>
          </w:tcPr>
          <w:p>
            <w:pPr>
              <w:spacing w:after="0"/>
              <w:rPr>
                <w:sz w:val="20"/>
                <w:szCs w:val="20"/>
                <w:color w:val="auto"/>
              </w:rPr>
            </w:pPr>
          </w:p>
        </w:tc>
      </w:tr>
    </w:tbl>
    <w:p>
      <w:pPr>
        <w:spacing w:after="0" w:line="106" w:lineRule="exact"/>
        <w:rPr>
          <w:sz w:val="20"/>
          <w:szCs w:val="20"/>
          <w:color w:val="auto"/>
        </w:rPr>
      </w:pPr>
    </w:p>
    <w:p>
      <w:pPr>
        <w:ind w:left="60" w:right="139" w:firstLine="427"/>
        <w:spacing w:after="0" w:line="323" w:lineRule="auto"/>
        <w:rPr>
          <w:sz w:val="20"/>
          <w:szCs w:val="20"/>
          <w:color w:val="auto"/>
        </w:rPr>
      </w:pPr>
      <w:r>
        <w:rPr>
          <w:rFonts w:ascii="Arial" w:cs="Arial" w:eastAsia="Arial" w:hAnsi="Arial"/>
          <w:sz w:val="17"/>
          <w:szCs w:val="17"/>
          <w:color w:val="auto"/>
        </w:rPr>
        <w:t>In connection with the sale of the TS business during fiscal 2017, several legal entities were sold to the Buyer and post-closing tax obligations are the responsibility of the Buyer. Under the terms of the sale agreement, the Company still maintains responsibility for certain pre-closing taxes including any amounts that arise from audits or other judgments received from tax authorities. The Company believes that its current estimates related to tax reserves related to the TS business are reasonable, but future changes in facts and circumstances could results in significant changes in estimates that impact tax expense from discontinued operations in the period of change.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Pension and retirement plans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Pension Plan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has a noncontributory defined benefit pension plan that covers substantially all current or former U.S.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Employees (the “Plan”).</w:t>
      </w:r>
    </w:p>
    <w:p>
      <w:pPr>
        <w:spacing w:after="0" w:line="225" w:lineRule="exact"/>
        <w:rPr>
          <w:sz w:val="20"/>
          <w:szCs w:val="20"/>
          <w:color w:val="auto"/>
        </w:rPr>
      </w:pPr>
    </w:p>
    <w:p>
      <w:pPr>
        <w:ind w:left="60" w:right="99" w:firstLine="427"/>
        <w:spacing w:after="0" w:line="302" w:lineRule="auto"/>
        <w:rPr>
          <w:sz w:val="20"/>
          <w:szCs w:val="20"/>
          <w:color w:val="auto"/>
        </w:rPr>
      </w:pPr>
      <w:r>
        <w:rPr>
          <w:rFonts w:ascii="Arial" w:cs="Arial" w:eastAsia="Arial" w:hAnsi="Arial"/>
          <w:sz w:val="18"/>
          <w:szCs w:val="18"/>
          <w:color w:val="auto"/>
        </w:rPr>
        <w:t>The Company’s Plan meets the definition of a defined benefit plan and as a result, the Company applies ASC 715 pension accounting to the Plan. The Plan is a cash balance plan that is similar in nature to a defined contribution plan in that a participant’s benefit is defined in terms of stated account balances. The Plan provides the Company with the benefit of applying any earnings on the Plan’s investments beyond the fixed return provided to participants, toward the Company’s future cash funding obligations. Employees are eligible to participate in the Plan following the first year of service during which they worked at least 1,000 hours.</w:t>
      </w:r>
    </w:p>
    <w:p>
      <w:pPr>
        <w:spacing w:after="0" w:line="165" w:lineRule="exact"/>
        <w:rPr>
          <w:sz w:val="20"/>
          <w:szCs w:val="20"/>
          <w:color w:val="auto"/>
        </w:rPr>
      </w:pPr>
    </w:p>
    <w:p>
      <w:pPr>
        <w:ind w:left="60" w:right="99" w:firstLine="427"/>
        <w:spacing w:after="0" w:line="336" w:lineRule="auto"/>
        <w:rPr>
          <w:sz w:val="20"/>
          <w:szCs w:val="20"/>
          <w:color w:val="auto"/>
        </w:rPr>
      </w:pPr>
      <w:r>
        <w:rPr>
          <w:rFonts w:ascii="Arial" w:cs="Arial" w:eastAsia="Arial" w:hAnsi="Arial"/>
          <w:sz w:val="17"/>
          <w:szCs w:val="17"/>
          <w:color w:val="auto"/>
        </w:rPr>
        <w:t>The Plan provides defined benefits pursuant to a cash balance feature whereby a participant accumulates a benefit based upon a percentage of current salary, which varies with age, and interest credits. The Company uses its fiscal year end as the measurement date for determining pension expense and benefit obligations for each fiscal year.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99" w:firstLine="427"/>
        <w:spacing w:after="0" w:line="324" w:lineRule="auto"/>
        <w:rPr>
          <w:sz w:val="20"/>
          <w:szCs w:val="20"/>
          <w:color w:val="auto"/>
        </w:rPr>
      </w:pPr>
      <w:r>
        <w:rPr>
          <w:rFonts w:ascii="Arial" w:cs="Arial" w:eastAsia="Arial" w:hAnsi="Arial"/>
          <w:sz w:val="18"/>
          <w:szCs w:val="18"/>
          <w:color w:val="auto"/>
        </w:rPr>
        <w:t>The following table outlines changes in benefit obligations, plan assets and the funded status of the Plan as of the end of fiscal 2020 and 2019:</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June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5"/>
          </w:tcPr>
          <w:p>
            <w:pPr>
              <w:jc w:val="right"/>
              <w:ind w:right="370"/>
              <w:spacing w:after="0" w:line="202" w:lineRule="exact"/>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Changes in benefit obligations: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Benefit obligations at beginning of year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731,695</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685,160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Actuarial loss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Plan amendments</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tcBorders>
              <w:top w:val="single" w:sz="8" w:color="CCEEFF"/>
              <w:bottom w:val="single" w:sz="8" w:color="CCEEFF"/>
            </w:tcBorders>
          </w:tcPr>
          <w:p>
            <w:pPr>
              <w:ind w:left="80"/>
              <w:spacing w:after="0" w:line="203" w:lineRule="exact"/>
              <w:rPr>
                <w:sz w:val="20"/>
                <w:szCs w:val="20"/>
                <w:color w:val="auto"/>
              </w:rPr>
            </w:pPr>
            <w:r>
              <w:rPr>
                <w:rFonts w:ascii="Arial" w:cs="Arial" w:eastAsia="Arial" w:hAnsi="Arial"/>
                <w:sz w:val="18"/>
                <w:szCs w:val="18"/>
                <w:color w:val="auto"/>
              </w:rPr>
              <w:t>Benefit obligations at end of year</w:t>
            </w:r>
          </w:p>
        </w:tc>
        <w:tc>
          <w:tcPr>
            <w:tcW w:w="34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790,179</w:t>
            </w:r>
          </w:p>
        </w:tc>
        <w:tc>
          <w:tcPr>
            <w:tcW w:w="18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731,695</w:t>
            </w:r>
          </w:p>
        </w:tc>
        <w:tc>
          <w:tcPr>
            <w:tcW w:w="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Changes in plan assets: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Fair value of plan assets at beginning of year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664,063</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659,038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Actual return on plan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Contributions</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tcBorders>
              <w:bottom w:val="single" w:sz="8" w:color="CCEEFF"/>
            </w:tcBorders>
          </w:tcPr>
          <w:p>
            <w:pPr>
              <w:ind w:left="80"/>
              <w:spacing w:after="0" w:line="203" w:lineRule="exact"/>
              <w:rPr>
                <w:sz w:val="20"/>
                <w:szCs w:val="20"/>
                <w:color w:val="auto"/>
              </w:rPr>
            </w:pPr>
            <w:r>
              <w:rPr>
                <w:rFonts w:ascii="Arial" w:cs="Arial" w:eastAsia="Arial" w:hAnsi="Arial"/>
                <w:sz w:val="18"/>
                <w:szCs w:val="18"/>
                <w:color w:val="auto"/>
              </w:rPr>
              <w:t>Fair value of plan assets at end of year</w:t>
            </w:r>
          </w:p>
        </w:tc>
        <w:tc>
          <w:tcPr>
            <w:tcW w:w="3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707,800</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664,063</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Funded status of the plan recognized as a non-current liability</w:t>
            </w: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(82,379)</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(67,632)</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accumulated other comprehensive loss: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Unrecognized net actuarial losses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256,477</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235,384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Unamortized prior service cost</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256,809</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237,854</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9"/>
              </w:rPr>
              <w:t>Other changes in plan assets and benefit obligations recognized in other comprehensive</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Net actuarial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35,721</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prior service cost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Amortization of net actuarial losses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Amortization of prior service (costs) credits</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18,955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54,364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79" w:firstLine="427"/>
        <w:spacing w:after="0" w:line="325" w:lineRule="auto"/>
        <w:rPr>
          <w:sz w:val="20"/>
          <w:szCs w:val="20"/>
          <w:color w:val="auto"/>
        </w:rPr>
      </w:pPr>
      <w:r>
        <w:rPr>
          <w:rFonts w:ascii="Arial" w:cs="Arial" w:eastAsia="Arial" w:hAnsi="Arial"/>
          <w:sz w:val="17"/>
          <w:szCs w:val="17"/>
          <w:color w:val="auto"/>
        </w:rPr>
        <w:t>Included in accumulated other comprehensive loss at June 27, 2020, is a before tax expense of $256.5 million of net actuarial losses that have not yet been recognized in net periodic pension cost, of which $20.6 million is expected to be recognized as a component of net periodic pension cost during fiscal 2021. Also included is a before tax net cost of $0.3 million of prior service costs that have not yet been recognized in net periodic pension costs, of which $0.3 million is expected to be recognized as a component of net periodic pension costs during fiscal 2021.</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620" w:type="dxa"/>
            <w:vAlign w:val="bottom"/>
          </w:tcPr>
          <w:p>
            <w:pPr>
              <w:ind w:left="420"/>
              <w:spacing w:after="0"/>
              <w:rPr>
                <w:sz w:val="20"/>
                <w:szCs w:val="20"/>
                <w:color w:val="auto"/>
              </w:rPr>
            </w:pPr>
            <w:r>
              <w:rPr>
                <w:rFonts w:ascii="Arial" w:cs="Arial" w:eastAsia="Arial" w:hAnsi="Arial"/>
                <w:sz w:val="18"/>
                <w:szCs w:val="18"/>
                <w:color w:val="auto"/>
                <w:w w:val="98"/>
              </w:rPr>
              <w:t>Assumptions used to calculate actuarial present values of benefit obligations are as follows: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58"/>
        </w:trPr>
        <w:tc>
          <w:tcPr>
            <w:tcW w:w="76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2019</w:t>
            </w:r>
          </w:p>
        </w:tc>
        <w:tc>
          <w:tcPr>
            <w:tcW w:w="260" w:type="dxa"/>
            <w:vAlign w:val="bottom"/>
            <w:tcBorders>
              <w:bottom w:val="single" w:sz="8" w:color="CCEEFF"/>
            </w:tcBorders>
          </w:tcPr>
          <w:p>
            <w:pPr>
              <w:spacing w:after="0"/>
              <w:rPr>
                <w:sz w:val="24"/>
                <w:szCs w:val="24"/>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left="60" w:right="379" w:firstLine="427"/>
        <w:spacing w:after="0" w:line="395" w:lineRule="auto"/>
        <w:rPr>
          <w:sz w:val="20"/>
          <w:szCs w:val="20"/>
          <w:color w:val="auto"/>
        </w:rPr>
      </w:pPr>
      <w:r>
        <w:rPr>
          <w:rFonts w:ascii="Arial" w:cs="Arial" w:eastAsia="Arial" w:hAnsi="Arial"/>
          <w:sz w:val="16"/>
          <w:szCs w:val="16"/>
          <w:color w:val="auto"/>
        </w:rPr>
        <w:t>The discount rate selected by the Company for the Plan reflects the current rate at which the underlying liability could be settled at the measurement date as of June 27, 2020. The estimated discount rate in fiscal 2020 and fiscal 2019</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119"/>
        <w:spacing w:after="0" w:line="324" w:lineRule="auto"/>
        <w:rPr>
          <w:sz w:val="20"/>
          <w:szCs w:val="20"/>
          <w:color w:val="auto"/>
        </w:rPr>
      </w:pPr>
      <w:r>
        <w:rPr>
          <w:rFonts w:ascii="Arial" w:cs="Arial" w:eastAsia="Arial" w:hAnsi="Arial"/>
          <w:sz w:val="18"/>
          <w:szCs w:val="18"/>
          <w:color w:val="auto"/>
        </w:rPr>
        <w:t>was based on the spot yield curve approach, which applies the individual spot rates from a highly rated bond yield curve to each future year’s estimated cash flows.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540" w:type="dxa"/>
            <w:vAlign w:val="bottom"/>
          </w:tcPr>
          <w:p>
            <w:pPr>
              <w:ind w:left="440"/>
              <w:spacing w:after="0"/>
              <w:rPr>
                <w:sz w:val="20"/>
                <w:szCs w:val="20"/>
                <w:color w:val="auto"/>
              </w:rPr>
            </w:pPr>
            <w:r>
              <w:rPr>
                <w:rFonts w:ascii="Arial" w:cs="Arial" w:eastAsia="Arial" w:hAnsi="Arial"/>
                <w:sz w:val="18"/>
                <w:szCs w:val="18"/>
                <w:color w:val="auto"/>
              </w:rPr>
              <w:t>Assumptions used to determine net benefit costs are as follows: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58"/>
        </w:trPr>
        <w:tc>
          <w:tcPr>
            <w:tcW w:w="75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2020</w:t>
            </w:r>
          </w:p>
        </w:tc>
        <w:tc>
          <w:tcPr>
            <w:tcW w:w="2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2019</w:t>
            </w:r>
          </w:p>
        </w:tc>
        <w:tc>
          <w:tcPr>
            <w:tcW w:w="280" w:type="dxa"/>
            <w:vAlign w:val="bottom"/>
            <w:tcBorders>
              <w:bottom w:val="single" w:sz="8" w:color="CCEEFF"/>
            </w:tcBorders>
          </w:tcPr>
          <w:p>
            <w:pPr>
              <w:spacing w:after="0"/>
              <w:rPr>
                <w:sz w:val="24"/>
                <w:szCs w:val="24"/>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8.0 %</w:t>
            </w:r>
          </w:p>
        </w:tc>
      </w:tr>
    </w:tbl>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Components of net periodic pension cost for the Plan during the last three fiscal years are as follows:</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Years Ended</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90"/>
              <w:spacing w:after="0" w:line="157" w:lineRule="exact"/>
              <w:rPr>
                <w:sz w:val="20"/>
                <w:szCs w:val="20"/>
                <w:color w:val="auto"/>
              </w:rPr>
            </w:pPr>
            <w:r>
              <w:rPr>
                <w:rFonts w:ascii="Arial" w:cs="Arial" w:eastAsia="Arial" w:hAnsi="Arial"/>
                <w:sz w:val="18"/>
                <w:szCs w:val="18"/>
                <w:b w:val="1"/>
                <w:bCs w:val="1"/>
                <w:color w:val="auto"/>
                <w:w w:val="97"/>
              </w:rPr>
              <w:t>June 27,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120"/>
              <w:spacing w:after="0" w:line="157" w:lineRule="exact"/>
              <w:rPr>
                <w:sz w:val="20"/>
                <w:szCs w:val="20"/>
                <w:color w:val="auto"/>
              </w:rPr>
            </w:pPr>
            <w:r>
              <w:rPr>
                <w:rFonts w:ascii="Arial" w:cs="Arial" w:eastAsia="Arial" w:hAnsi="Arial"/>
                <w:sz w:val="18"/>
                <w:szCs w:val="18"/>
                <w:b w:val="1"/>
                <w:bCs w:val="1"/>
                <w:color w:val="auto"/>
              </w:rPr>
              <w:t>June 29,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310"/>
              <w:spacing w:after="0" w:line="157"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94"/>
              </w:rPr>
              <w:t>(Thousands)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Service cost</w:t>
            </w:r>
          </w:p>
        </w:tc>
        <w:tc>
          <w:tcPr>
            <w:tcW w:w="300" w:type="dxa"/>
            <w:vAlign w:val="bottom"/>
            <w:gridSpan w:val="2"/>
            <w:shd w:val="clear" w:color="auto" w:fill="CCEEFF"/>
          </w:tcPr>
          <w:p>
            <w:pPr>
              <w:jc w:val="right"/>
              <w:ind w:right="7"/>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15,145</w:t>
            </w:r>
          </w:p>
        </w:tc>
        <w:tc>
          <w:tcPr>
            <w:tcW w:w="440" w:type="dxa"/>
            <w:vAlign w:val="bottom"/>
            <w:gridSpan w:val="2"/>
            <w:shd w:val="clear" w:color="auto" w:fill="CCEEFF"/>
          </w:tcPr>
          <w:p>
            <w:pPr>
              <w:jc w:val="right"/>
              <w:ind w:right="7"/>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14,631</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7"/>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Borders>
              <w:top w:val="single" w:sz="8" w:color="CCEEFF"/>
            </w:tcBorders>
          </w:tcPr>
          <w:p>
            <w:pPr>
              <w:ind w:left="80"/>
              <w:spacing w:after="0" w:line="135" w:lineRule="exact"/>
              <w:rPr>
                <w:sz w:val="20"/>
                <w:szCs w:val="20"/>
                <w:color w:val="auto"/>
              </w:rPr>
            </w:pPr>
            <w:r>
              <w:rPr>
                <w:rFonts w:ascii="Arial" w:cs="Arial" w:eastAsia="Arial" w:hAnsi="Arial"/>
                <w:sz w:val="15"/>
                <w:szCs w:val="15"/>
                <w:color w:val="auto"/>
              </w:rPr>
              <w:t>Total net periodic pension cost within selling, general</w:t>
            </w:r>
          </w:p>
        </w:tc>
        <w:tc>
          <w:tcPr>
            <w:tcW w:w="14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and administrative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14,631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22,552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26,354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23,732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(50,671)</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(53,518)</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(54,686)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spacing w:after="0" w:line="189" w:lineRule="exact"/>
              <w:rPr>
                <w:sz w:val="20"/>
                <w:szCs w:val="20"/>
                <w:color w:val="auto"/>
              </w:rPr>
            </w:pPr>
            <w:r>
              <w:rPr>
                <w:rFonts w:ascii="Arial" w:cs="Arial" w:eastAsia="Arial" w:hAnsi="Arial"/>
                <w:sz w:val="18"/>
                <w:szCs w:val="18"/>
                <w:color w:val="auto"/>
              </w:rPr>
              <w:t>Amortization of prior service cost (credit)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2,137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(1,571)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(1,573)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Recognized net actuarial loss</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14,629</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9,251</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14,404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80" w:type="dxa"/>
            <w:vAlign w:val="bottom"/>
          </w:tcPr>
          <w:p>
            <w:pPr>
              <w:ind w:left="80"/>
              <w:spacing w:after="0" w:line="135" w:lineRule="exact"/>
              <w:rPr>
                <w:sz w:val="20"/>
                <w:szCs w:val="20"/>
                <w:color w:val="auto"/>
              </w:rPr>
            </w:pPr>
            <w:r>
              <w:rPr>
                <w:rFonts w:ascii="Arial" w:cs="Arial" w:eastAsia="Arial" w:hAnsi="Arial"/>
                <w:sz w:val="15"/>
                <w:szCs w:val="15"/>
                <w:color w:val="auto"/>
              </w:rPr>
              <w:t>Total net periodic pension benefit within other (expense)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income,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(19,484)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tcPr>
          <w:p>
            <w:pPr>
              <w:ind w:left="80"/>
              <w:spacing w:after="0" w:line="176" w:lineRule="exact"/>
              <w:rPr>
                <w:sz w:val="20"/>
                <w:szCs w:val="20"/>
                <w:color w:val="auto"/>
              </w:rPr>
            </w:pPr>
            <w:r>
              <w:rPr>
                <w:rFonts w:ascii="Arial" w:cs="Arial" w:eastAsia="Arial" w:hAnsi="Arial"/>
                <w:sz w:val="18"/>
                <w:szCs w:val="18"/>
                <w:color w:val="auto"/>
              </w:rPr>
              <w:t>Net periodic pension cost (benefit)</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3,792</w:t>
            </w:r>
          </w:p>
        </w:tc>
        <w:tc>
          <w:tcPr>
            <w:tcW w:w="28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(4,853)</w:t>
            </w: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 w:right="279" w:firstLine="427"/>
        <w:spacing w:after="0" w:line="324" w:lineRule="auto"/>
        <w:rPr>
          <w:sz w:val="20"/>
          <w:szCs w:val="20"/>
          <w:color w:val="auto"/>
        </w:rPr>
      </w:pPr>
      <w:r>
        <w:rPr>
          <w:rFonts w:ascii="Arial" w:cs="Arial" w:eastAsia="Arial" w:hAnsi="Arial"/>
          <w:sz w:val="18"/>
          <w:szCs w:val="18"/>
          <w:color w:val="auto"/>
        </w:rPr>
        <w:t>The Company made $8.0 million and $8.0 million of contributions in fiscal 2020 and fiscal 2019, respectively, and expects to make approximately $16.0 million of contributions in fiscal 2021.</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739" w:firstLine="427"/>
        <w:spacing w:after="0" w:line="324" w:lineRule="auto"/>
        <w:rPr>
          <w:sz w:val="20"/>
          <w:szCs w:val="20"/>
          <w:color w:val="auto"/>
        </w:rPr>
      </w:pPr>
      <w:r>
        <w:rPr>
          <w:rFonts w:ascii="Arial" w:cs="Arial" w:eastAsia="Arial" w:hAnsi="Arial"/>
          <w:sz w:val="18"/>
          <w:szCs w:val="18"/>
          <w:color w:val="auto"/>
        </w:rPr>
        <w:t>Benefit payments are expected to be paid to Plan participants as follows for the next five fiscal years and the aggregate for the five years thereafter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49,144</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41,897</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44,868</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46,817</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48,149</w:t>
            </w:r>
          </w:p>
        </w:tc>
        <w:tc>
          <w:tcPr>
            <w:tcW w:w="40" w:type="dxa"/>
            <w:vAlign w:val="bottom"/>
            <w:shd w:val="clear" w:color="auto" w:fill="CCEEFF"/>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2026 through 2030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2"/>
              </w:rPr>
              <w:t>259,412</w:t>
            </w:r>
          </w:p>
        </w:tc>
        <w:tc>
          <w:tcPr>
            <w:tcW w:w="40" w:type="dxa"/>
            <w:vAlign w:val="bottom"/>
          </w:tcPr>
          <w:p>
            <w:pPr>
              <w:spacing w:after="0"/>
              <w:rPr>
                <w:sz w:val="20"/>
                <w:szCs w:val="20"/>
                <w:color w:val="auto"/>
              </w:rPr>
            </w:pPr>
          </w:p>
        </w:tc>
      </w:tr>
      <w:tr>
        <w:trPr>
          <w:trHeight w:val="404"/>
        </w:trPr>
        <w:tc>
          <w:tcPr>
            <w:tcW w:w="8940" w:type="dxa"/>
            <w:vAlign w:val="bottom"/>
            <w:gridSpan w:val="7"/>
          </w:tcPr>
          <w:p>
            <w:pPr>
              <w:ind w:left="440"/>
              <w:spacing w:after="0"/>
              <w:rPr>
                <w:sz w:val="20"/>
                <w:szCs w:val="20"/>
                <w:color w:val="auto"/>
              </w:rPr>
            </w:pPr>
            <w:r>
              <w:rPr>
                <w:rFonts w:ascii="Arial" w:cs="Arial" w:eastAsia="Arial" w:hAnsi="Arial"/>
                <w:sz w:val="18"/>
                <w:szCs w:val="18"/>
                <w:color w:val="auto"/>
                <w:w w:val="90"/>
              </w:rPr>
              <w:t>The Plan’s assets are held in trust and were allocated as follows as of the measurement date at the end of fiscal 2020</w:t>
            </w: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and 2019:</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25"/>
        </w:trPr>
        <w:tc>
          <w:tcPr>
            <w:tcW w:w="76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2019</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Return seeking investments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58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Fixed income investments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680" w:type="dxa"/>
            <w:vAlign w:val="bottom"/>
            <w:gridSpan w:val="3"/>
          </w:tcPr>
          <w:p>
            <w:pPr>
              <w:ind w:left="200"/>
              <w:spacing w:after="0"/>
              <w:rPr>
                <w:sz w:val="20"/>
                <w:szCs w:val="20"/>
                <w:color w:val="auto"/>
              </w:rPr>
            </w:pPr>
            <w:r>
              <w:rPr>
                <w:rFonts w:ascii="Arial" w:cs="Arial" w:eastAsia="Arial" w:hAnsi="Arial"/>
                <w:sz w:val="18"/>
                <w:szCs w:val="18"/>
                <w:color w:val="auto"/>
              </w:rPr>
              <w:t>42 %</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bl>
    <w:p>
      <w:pPr>
        <w:spacing w:after="0" w:line="188" w:lineRule="exact"/>
        <w:rPr>
          <w:sz w:val="20"/>
          <w:szCs w:val="20"/>
          <w:color w:val="auto"/>
        </w:rPr>
      </w:pPr>
    </w:p>
    <w:p>
      <w:pPr>
        <w:ind w:left="60" w:right="79" w:firstLine="427"/>
        <w:spacing w:after="0" w:line="340" w:lineRule="auto"/>
        <w:rPr>
          <w:sz w:val="20"/>
          <w:szCs w:val="20"/>
          <w:color w:val="auto"/>
        </w:rPr>
      </w:pPr>
      <w:r>
        <w:rPr>
          <w:rFonts w:ascii="Arial" w:cs="Arial" w:eastAsia="Arial" w:hAnsi="Arial"/>
          <w:sz w:val="16"/>
          <w:szCs w:val="16"/>
          <w:color w:val="auto"/>
        </w:rPr>
        <w:t>The general investment objectives of the Plan are to maximize returns through a diversified investment portfolio in order to earn annualized returns that exceed the long-term cost of funding the Plan’s pension obligations while maintaining reasonable and prudent levels of risk. The expected return on the Plan’s assets in fiscal 2021 is currently 7.4%, which represents the average rate of earnings expected on the funds invested or to be invested to provide for the benefits included in the benefit obligation based upon the targeted investment allocations. This assumption has been determined by combining expectations regarding future rates of return for the investment portfolio along with the historical and expected distribution of investments by asset class and the historical rates of return for each of those asset classes. The mix of return seeking and fixed income investments is typically diversified. The Plan’s assets do not include any investments in Avnet common stock. As of June 27, 2020, the Company’s target allocation for the Plan’s investment portfolio is for return seeking investments to represent approximately 65% of the investment portfolio. The majority of the remaining portfolio of investments is to be invested in fixed income investments, which typically have lower risks, but also lower returns.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fair value of the Plan’s investments as of June 27, 2020:</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Net Asset Value</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3"/>
        </w:trPr>
        <w:tc>
          <w:tcPr>
            <w:tcW w:w="2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w w:val="72"/>
              </w:rPr>
              <w:t>(Thousands)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Return Seeking Investments: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254,917</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ind w:left="100"/>
              <w:spacing w:after="0"/>
              <w:rPr>
                <w:sz w:val="20"/>
                <w:szCs w:val="20"/>
                <w:color w:val="auto"/>
              </w:rPr>
            </w:pPr>
            <w:r>
              <w:rPr>
                <w:rFonts w:ascii="Arial" w:cs="Arial" w:eastAsia="Arial" w:hAnsi="Arial"/>
                <w:sz w:val="18"/>
                <w:szCs w:val="18"/>
                <w:color w:val="auto"/>
              </w:rPr>
              <w:t>Real estate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81,817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81,817</w:t>
            </w: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High yield credit and bonds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103,925</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Fixed Income Investments: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218,573</w:t>
            </w:r>
          </w:p>
        </w:tc>
        <w:tc>
          <w:tcPr>
            <w:tcW w:w="100" w:type="dxa"/>
            <w:vAlign w:val="bottom"/>
            <w:shd w:val="clear" w:color="auto" w:fill="CCEEFF"/>
          </w:tcPr>
          <w:p>
            <w:pPr>
              <w:spacing w:after="0"/>
              <w:rPr>
                <w:sz w:val="18"/>
                <w:szCs w:val="18"/>
                <w:color w:val="auto"/>
              </w:rPr>
            </w:pPr>
          </w:p>
        </w:tc>
      </w:tr>
      <w:tr>
        <w:trPr>
          <w:trHeight w:val="223"/>
        </w:trPr>
        <w:tc>
          <w:tcPr>
            <w:tcW w:w="2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w:t>
            </w: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35,325</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35,325</w:t>
            </w:r>
          </w:p>
        </w:tc>
        <w:tc>
          <w:tcPr>
            <w:tcW w:w="100" w:type="dxa"/>
            <w:vAlign w:val="bottom"/>
            <w:tcBorders>
              <w:bottom w:val="single" w:sz="8" w:color="CCEEFF"/>
            </w:tcBorders>
          </w:tcPr>
          <w:p>
            <w:pPr>
              <w:spacing w:after="0"/>
              <w:rPr>
                <w:sz w:val="19"/>
                <w:szCs w:val="19"/>
                <w:color w:val="auto"/>
              </w:rPr>
            </w:pPr>
          </w:p>
        </w:tc>
      </w:tr>
      <w:tr>
        <w:trPr>
          <w:trHeight w:val="216"/>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694,557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Certain investments included in the table above are measured at fair value using the net asset value per share (or its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equivalent) practical expedient and are not included in the three levels of the fair value hierarchy.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fair value of the Plan’s investments as of June 29, 2019:</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Level 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Level 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r>
      <w:tr>
        <w:trPr>
          <w:trHeight w:val="203"/>
        </w:trPr>
        <w:tc>
          <w:tcPr>
            <w:tcW w:w="3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4"/>
          </w:tcPr>
          <w:p>
            <w:pPr>
              <w:ind w:left="660"/>
              <w:spacing w:after="0" w:line="202" w:lineRule="exact"/>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40" w:type="dxa"/>
            <w:vAlign w:val="bottom"/>
            <w:shd w:val="clear" w:color="auto" w:fill="CCEEFF"/>
          </w:tcPr>
          <w:p>
            <w:pPr>
              <w:spacing w:after="0"/>
              <w:rPr>
                <w:sz w:val="18"/>
                <w:szCs w:val="18"/>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Equities: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common stocks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254,139</w:t>
            </w:r>
          </w:p>
        </w:tc>
        <w:tc>
          <w:tcPr>
            <w:tcW w:w="140" w:type="dxa"/>
            <w:vAlign w:val="bottom"/>
            <w:shd w:val="clear" w:color="auto" w:fill="CCEEFF"/>
          </w:tcPr>
          <w:p>
            <w:pPr>
              <w:spacing w:after="0"/>
              <w:rPr>
                <w:sz w:val="18"/>
                <w:szCs w:val="18"/>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International common stocks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131,847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131,847</w:t>
            </w:r>
          </w:p>
        </w:tc>
        <w:tc>
          <w:tcPr>
            <w:tcW w:w="14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U.S. government agencies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97,015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97,015</w:t>
            </w:r>
          </w:p>
        </w:tc>
        <w:tc>
          <w:tcPr>
            <w:tcW w:w="140" w:type="dxa"/>
            <w:vAlign w:val="bottom"/>
          </w:tcPr>
          <w:p>
            <w:pPr>
              <w:spacing w:after="0"/>
              <w:rPr>
                <w:sz w:val="18"/>
                <w:szCs w:val="18"/>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and international corporate bonds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153,891</w:t>
            </w:r>
          </w:p>
        </w:tc>
        <w:tc>
          <w:tcPr>
            <w:tcW w:w="140" w:type="dxa"/>
            <w:vAlign w:val="bottom"/>
            <w:shd w:val="clear" w:color="auto" w:fill="CCEEFF"/>
          </w:tcPr>
          <w:p>
            <w:pPr>
              <w:spacing w:after="0"/>
              <w:rPr>
                <w:sz w:val="18"/>
                <w:szCs w:val="18"/>
                <w:color w:val="auto"/>
              </w:rPr>
            </w:pPr>
          </w:p>
        </w:tc>
      </w:tr>
      <w:tr>
        <w:trPr>
          <w:trHeight w:val="223"/>
        </w:trPr>
        <w:tc>
          <w:tcPr>
            <w:tcW w:w="3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24,730</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24,730</w:t>
            </w:r>
          </w:p>
        </w:tc>
        <w:tc>
          <w:tcPr>
            <w:tcW w:w="140" w:type="dxa"/>
            <w:vAlign w:val="bottom"/>
            <w:tcBorders>
              <w:bottom w:val="single" w:sz="8" w:color="CCEEFF"/>
            </w:tcBorders>
          </w:tcPr>
          <w:p>
            <w:pPr>
              <w:spacing w:after="0"/>
              <w:rPr>
                <w:sz w:val="19"/>
                <w:szCs w:val="19"/>
                <w:color w:val="auto"/>
              </w:rPr>
            </w:pPr>
          </w:p>
        </w:tc>
      </w:tr>
      <w:tr>
        <w:trPr>
          <w:trHeight w:val="216"/>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661,622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664,063</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firstLine="427"/>
        <w:spacing w:after="0" w:line="324" w:lineRule="auto"/>
        <w:rPr>
          <w:sz w:val="20"/>
          <w:szCs w:val="20"/>
          <w:color w:val="auto"/>
        </w:rPr>
      </w:pPr>
      <w:r>
        <w:rPr>
          <w:rFonts w:ascii="Arial" w:cs="Arial" w:eastAsia="Arial" w:hAnsi="Arial"/>
          <w:sz w:val="18"/>
          <w:szCs w:val="18"/>
          <w:color w:val="auto"/>
        </w:rPr>
        <w:t>Each of these investments may be redeemed without restrictions in the normal course of business and there were no material unfunded commitments as of June 27, 2020.</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lease cost related to the Company’s operating leases were as follows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Year Ended</w:t>
            </w:r>
          </w:p>
        </w:tc>
      </w:tr>
      <w:tr>
        <w:trPr>
          <w:trHeight w:val="223"/>
        </w:trPr>
        <w:tc>
          <w:tcPr>
            <w:tcW w:w="7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June 27, 2020</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75,748</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20,804</w:t>
            </w:r>
          </w:p>
        </w:tc>
      </w:tr>
      <w:tr>
        <w:trPr>
          <w:trHeight w:val="216"/>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96,552</w:t>
            </w: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w w:val="97"/>
              </w:rPr>
              <w:t>Future minimum operating lease payments as of June 27, 2020, are as follows (in thousands):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76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61,497</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52,951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44,975</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152,229</w:t>
            </w:r>
          </w:p>
        </w:tc>
        <w:tc>
          <w:tcPr>
            <w:tcW w:w="1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375,532</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ind w:left="20"/>
              <w:spacing w:after="0"/>
              <w:rPr>
                <w:sz w:val="20"/>
                <w:szCs w:val="20"/>
                <w:color w:val="auto"/>
              </w:rPr>
            </w:pPr>
            <w:r>
              <w:rPr>
                <w:rFonts w:ascii="Arial" w:cs="Arial" w:eastAsia="Arial" w:hAnsi="Arial"/>
                <w:sz w:val="18"/>
                <w:szCs w:val="18"/>
                <w:color w:val="auto"/>
              </w:rPr>
              <w:t>Total imputed interest on operating lease liabilities</w:t>
            </w: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(68,500)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7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ind w:left="4380"/>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80" w:type="dxa"/>
            <w:vAlign w:val="bottom"/>
            <w:gridSpan w:val="5"/>
          </w:tcPr>
          <w:p>
            <w:pPr>
              <w:ind w:left="420"/>
              <w:spacing w:after="0"/>
              <w:rPr>
                <w:sz w:val="20"/>
                <w:szCs w:val="20"/>
                <w:color w:val="auto"/>
              </w:rPr>
            </w:pPr>
            <w:r>
              <w:rPr>
                <w:rFonts w:ascii="Arial" w:cs="Arial" w:eastAsia="Arial" w:hAnsi="Arial"/>
                <w:sz w:val="18"/>
                <w:szCs w:val="18"/>
                <w:color w:val="auto"/>
                <w:w w:val="90"/>
              </w:rPr>
              <w:t>Prior to the Company’s adoption of ASC 842, future minimum operating lease payments as of June 29, 2019 were as</w:t>
            </w:r>
          </w:p>
        </w:tc>
        <w:tc>
          <w:tcPr>
            <w:tcW w:w="0" w:type="dxa"/>
            <w:vAlign w:val="bottom"/>
          </w:tcPr>
          <w:p>
            <w:pPr>
              <w:spacing w:after="0"/>
              <w:rPr>
                <w:sz w:val="1"/>
                <w:szCs w:val="1"/>
                <w:color w:val="auto"/>
              </w:rPr>
            </w:pPr>
          </w:p>
        </w:tc>
      </w:tr>
      <w:tr>
        <w:trPr>
          <w:trHeight w:val="257"/>
        </w:trPr>
        <w:tc>
          <w:tcPr>
            <w:tcW w:w="7760" w:type="dxa"/>
            <w:vAlign w:val="bottom"/>
            <w:gridSpan w:val="3"/>
          </w:tcPr>
          <w:p>
            <w:pPr>
              <w:ind w:left="20"/>
              <w:spacing w:after="0"/>
              <w:rPr>
                <w:sz w:val="20"/>
                <w:szCs w:val="20"/>
                <w:color w:val="auto"/>
              </w:rPr>
            </w:pPr>
            <w:r>
              <w:rPr>
                <w:rFonts w:ascii="Arial" w:cs="Arial" w:eastAsia="Arial" w:hAnsi="Arial"/>
                <w:sz w:val="18"/>
                <w:szCs w:val="18"/>
                <w:color w:val="auto"/>
              </w:rPr>
              <w:t>follows (in thousands) on an undiscounted basis and excluding non-lease components:</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776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85,196</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77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303,750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gridSpan w:val="2"/>
            <w:vMerge w:val="restart"/>
          </w:tcPr>
          <w:p>
            <w:pPr>
              <w:ind w:left="420"/>
              <w:spacing w:after="0"/>
              <w:rPr>
                <w:sz w:val="20"/>
                <w:szCs w:val="20"/>
                <w:color w:val="auto"/>
              </w:rPr>
            </w:pPr>
            <w:r>
              <w:rPr>
                <w:rFonts w:ascii="Arial" w:cs="Arial" w:eastAsia="Arial" w:hAnsi="Arial"/>
                <w:sz w:val="18"/>
                <w:szCs w:val="18"/>
                <w:color w:val="auto"/>
              </w:rPr>
              <w:t>Other information pertaining to operating leases consists of the following:</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7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Term and Discount Rate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Weighted-average remaining lease term in years</w:t>
            </w:r>
          </w:p>
        </w:tc>
        <w:tc>
          <w:tcPr>
            <w:tcW w:w="22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Weighted-average discount rate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3.9 %</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60" w:right="99" w:firstLine="427"/>
        <w:spacing w:after="0" w:line="324" w:lineRule="auto"/>
        <w:rPr>
          <w:sz w:val="20"/>
          <w:szCs w:val="20"/>
          <w:color w:val="auto"/>
        </w:rPr>
      </w:pPr>
      <w:r>
        <w:rPr>
          <w:rFonts w:ascii="Arial" w:cs="Arial" w:eastAsia="Arial" w:hAnsi="Arial"/>
          <w:sz w:val="18"/>
          <w:szCs w:val="18"/>
          <w:color w:val="auto"/>
        </w:rPr>
        <w:t>Supplemental cash flow information related to the Company’s operating leases for the year ended June 27, 2020, was as follows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1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Cash paid for operating lease liabilities</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60,957</w:t>
            </w:r>
          </w:p>
        </w:tc>
      </w:tr>
      <w:tr>
        <w:trPr>
          <w:trHeight w:val="216"/>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 obtained from new operating lease liabilities</w:t>
            </w:r>
          </w:p>
        </w:tc>
        <w:tc>
          <w:tcPr>
            <w:tcW w:w="1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Stock-based compensation</w:t>
      </w:r>
    </w:p>
    <w:p>
      <w:pPr>
        <w:spacing w:after="0" w:line="243" w:lineRule="exact"/>
        <w:rPr>
          <w:sz w:val="20"/>
          <w:szCs w:val="20"/>
          <w:color w:val="auto"/>
        </w:rPr>
      </w:pPr>
    </w:p>
    <w:p>
      <w:pPr>
        <w:ind w:left="60" w:right="119" w:firstLine="427"/>
        <w:spacing w:after="0" w:line="354" w:lineRule="auto"/>
        <w:rPr>
          <w:sz w:val="20"/>
          <w:szCs w:val="20"/>
          <w:color w:val="auto"/>
        </w:rPr>
      </w:pPr>
      <w:r>
        <w:rPr>
          <w:rFonts w:ascii="Arial" w:cs="Arial" w:eastAsia="Arial" w:hAnsi="Arial"/>
          <w:sz w:val="16"/>
          <w:szCs w:val="16"/>
          <w:color w:val="auto"/>
        </w:rPr>
        <w:t>The Company measures all stock-based payments at fair value and recognizes related expense within selling, general and administrative expenses in the consolidated statements of operations over the requisite service period (generally the vesting period). During fiscal 2020, 2019, and 2018, the Company recorded stock-based compensation expense of $26.8 million, $30.1 million, and $24.0 million, respectively, for all forms of stock-based compensation awards.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plan</w:t>
      </w:r>
    </w:p>
    <w:p>
      <w:pPr>
        <w:spacing w:after="0" w:line="225"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color w:val="auto"/>
        </w:rPr>
        <w:t>At June 27, 2020, the Company had 7.7 million shares of common stock reserved for stock-based payments, which consisted of 1.5 million shares for unvested or unexercised stock options, 4.7 million shares available for stock-based awards under plans approved by shareholders, and 1.5 million shares for restricted stock units and performance share units granted but not yet vested.</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0" w:right="99" w:firstLine="427"/>
        <w:spacing w:after="0" w:line="329" w:lineRule="auto"/>
        <w:rPr>
          <w:sz w:val="20"/>
          <w:szCs w:val="20"/>
          <w:color w:val="auto"/>
        </w:rPr>
      </w:pPr>
      <w:r>
        <w:rPr>
          <w:rFonts w:ascii="Arial" w:cs="Arial" w:eastAsia="Arial" w:hAnsi="Arial"/>
          <w:sz w:val="17"/>
          <w:szCs w:val="17"/>
          <w:color w:val="auto"/>
        </w:rPr>
        <w:t>Service based stock option grants have a contractual life of ten years, vest in 25% increments on each anniversary of the grant date, commencing with the first anniversary, and require an exercise price of 100% of the fair market value of common stock at the date of grant. Stock-based compensation expense associated with all stock options during fiscal 2020, 2019 and 2018 was $2.9 million, $2.2 million and $(0.2) million, respectively.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79" w:firstLine="427"/>
        <w:spacing w:after="0" w:line="323" w:lineRule="auto"/>
        <w:rPr>
          <w:sz w:val="20"/>
          <w:szCs w:val="20"/>
          <w:color w:val="auto"/>
        </w:rPr>
      </w:pPr>
      <w:r>
        <w:rPr>
          <w:rFonts w:ascii="Arial" w:cs="Arial" w:eastAsia="Arial" w:hAnsi="Arial"/>
          <w:sz w:val="17"/>
          <w:szCs w:val="17"/>
          <w:color w:val="auto"/>
        </w:rPr>
        <w:t>The fair value of stock options is estimated as of the date of grant using the Black-Scholes model based on the assumptions in the following table. The assumption for the expected term is based on evaluations of historical and expected future employee exercise behavior. The risk-free interest rate is based on U.S. Treasury rates as of the date of grant with maturity dates approximately equal to the expected term at the grant date. The historical volatility of Avnet’s common stock is used as the basis for the volatility assumption. The Company estimates dividend yield based upon expectations of future dividends compared to the market value of the Company’s stock as of the grant date.</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3"/>
              </w:rPr>
              <w:t>Years Ended</w:t>
            </w: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5920" w:type="dxa"/>
            <w:vAlign w:val="bottom"/>
          </w:tcPr>
          <w:p>
            <w:pPr>
              <w:spacing w:after="0"/>
              <w:rPr>
                <w:sz w:val="17"/>
                <w:szCs w:val="17"/>
                <w:color w:val="auto"/>
              </w:rPr>
            </w:pPr>
          </w:p>
        </w:tc>
        <w:tc>
          <w:tcPr>
            <w:tcW w:w="1040" w:type="dxa"/>
            <w:vAlign w:val="bottom"/>
            <w:gridSpan w:val="2"/>
          </w:tcPr>
          <w:p>
            <w:pPr>
              <w:jc w:val="right"/>
              <w:ind w:right="250"/>
              <w:spacing w:after="0" w:line="198" w:lineRule="exact"/>
              <w:rPr>
                <w:sz w:val="20"/>
                <w:szCs w:val="20"/>
                <w:color w:val="auto"/>
              </w:rPr>
            </w:pPr>
            <w:r>
              <w:rPr>
                <w:rFonts w:ascii="Arial" w:cs="Arial" w:eastAsia="Arial" w:hAnsi="Arial"/>
                <w:sz w:val="18"/>
                <w:szCs w:val="18"/>
                <w:b w:val="1"/>
                <w:bCs w:val="1"/>
                <w:color w:val="auto"/>
                <w:w w:val="94"/>
              </w:rPr>
              <w:t>June 27,</w:t>
            </w:r>
          </w:p>
        </w:tc>
        <w:tc>
          <w:tcPr>
            <w:tcW w:w="9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4"/>
              </w:rPr>
              <w:t>June 29,</w:t>
            </w:r>
          </w:p>
        </w:tc>
        <w:tc>
          <w:tcPr>
            <w:tcW w:w="7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June 30,</w:t>
            </w:r>
          </w:p>
        </w:tc>
        <w:tc>
          <w:tcPr>
            <w:tcW w:w="260" w:type="dxa"/>
            <w:vAlign w:val="bottom"/>
          </w:tcPr>
          <w:p>
            <w:pPr>
              <w:spacing w:after="0"/>
              <w:rPr>
                <w:sz w:val="17"/>
                <w:szCs w:val="17"/>
                <w:color w:val="auto"/>
              </w:rPr>
            </w:pPr>
          </w:p>
        </w:tc>
      </w:tr>
      <w:tr>
        <w:trPr>
          <w:trHeight w:val="241"/>
        </w:trPr>
        <w:tc>
          <w:tcPr>
            <w:tcW w:w="592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r>
      <w:tr>
        <w:trPr>
          <w:trHeight w:val="216"/>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1.6 %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2.8 %</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2.0 %</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23.7 %</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23.1 %</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26.3 %</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2.3 %</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2.0 %</w:t>
            </w:r>
          </w:p>
        </w:tc>
      </w:tr>
    </w:tbl>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changes in outstanding options for fiscal 2020:</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41"/>
        </w:trPr>
        <w:tc>
          <w:tcPr>
            <w:tcW w:w="512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1480" w:type="dxa"/>
            <w:vAlign w:val="bottom"/>
            <w:gridSpan w:val="4"/>
          </w:tcPr>
          <w:p>
            <w:pPr>
              <w:ind w:left="180"/>
              <w:spacing w:after="0"/>
              <w:rPr>
                <w:sz w:val="20"/>
                <w:szCs w:val="20"/>
                <w:color w:val="auto"/>
              </w:rPr>
            </w:pPr>
            <w:r>
              <w:rPr>
                <w:rFonts w:ascii="Arial" w:cs="Arial" w:eastAsia="Arial" w:hAnsi="Arial"/>
                <w:sz w:val="18"/>
                <w:szCs w:val="18"/>
                <w:b w:val="1"/>
                <w:bCs w:val="1"/>
                <w:color w:val="auto"/>
              </w:rPr>
              <w:t>Exercise Price</w:t>
            </w:r>
          </w:p>
        </w:tc>
        <w:tc>
          <w:tcPr>
            <w:tcW w:w="14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Contractual Life</w:t>
            </w: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29,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1,236,639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Months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383,984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Months</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Forfeited or expired</w:t>
            </w:r>
          </w:p>
        </w:tc>
        <w:tc>
          <w:tcPr>
            <w:tcW w:w="820" w:type="dxa"/>
            <w:vAlign w:val="bottom"/>
          </w:tcPr>
          <w:p>
            <w:pPr>
              <w:jc w:val="right"/>
              <w:spacing w:after="0"/>
              <w:rPr>
                <w:sz w:val="20"/>
                <w:szCs w:val="20"/>
                <w:color w:val="auto"/>
              </w:rPr>
            </w:pPr>
            <w:r>
              <w:rPr>
                <w:rFonts w:ascii="Arial" w:cs="Arial" w:eastAsia="Arial" w:hAnsi="Arial"/>
                <w:sz w:val="18"/>
                <w:szCs w:val="18"/>
                <w:color w:val="auto"/>
              </w:rPr>
              <w:t>(45,605)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27,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1,537,669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Months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Exercisable at June 27, 2020</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756,570</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39.88</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w:t>
            </w:r>
          </w:p>
        </w:tc>
        <w:tc>
          <w:tcPr>
            <w:tcW w:w="6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Months</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179" w:firstLine="427"/>
        <w:spacing w:after="0" w:line="324" w:lineRule="auto"/>
        <w:rPr>
          <w:sz w:val="20"/>
          <w:szCs w:val="20"/>
          <w:color w:val="auto"/>
        </w:rPr>
      </w:pPr>
      <w:r>
        <w:rPr>
          <w:rFonts w:ascii="Arial" w:cs="Arial" w:eastAsia="Arial" w:hAnsi="Arial"/>
          <w:sz w:val="18"/>
          <w:szCs w:val="18"/>
          <w:color w:val="auto"/>
        </w:rPr>
        <w:t>The weighted-average grant-date fair values of stock options granted during fiscal 2020, 2019 and 2018 were $7.41, $10.74 and $8.33, respectively.</w:t>
      </w:r>
    </w:p>
    <w:p>
      <w:pPr>
        <w:spacing w:after="0" w:line="143" w:lineRule="exact"/>
        <w:rPr>
          <w:sz w:val="20"/>
          <w:szCs w:val="20"/>
          <w:color w:val="auto"/>
        </w:rPr>
      </w:pPr>
    </w:p>
    <w:p>
      <w:pPr>
        <w:ind w:left="60" w:right="79" w:firstLine="427"/>
        <w:spacing w:after="0" w:line="324" w:lineRule="auto"/>
        <w:rPr>
          <w:sz w:val="20"/>
          <w:szCs w:val="20"/>
          <w:color w:val="auto"/>
        </w:rPr>
      </w:pPr>
      <w:r>
        <w:rPr>
          <w:rFonts w:ascii="Arial" w:cs="Arial" w:eastAsia="Arial" w:hAnsi="Arial"/>
          <w:sz w:val="18"/>
          <w:szCs w:val="18"/>
          <w:color w:val="auto"/>
        </w:rPr>
        <w:t>At June 27, 2020, the aggregate intrinsic value of all outstanding stock option awards and all exercisable stock option awards were inconsequential.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changes in non-vested stock options for the fiscal year 2020:</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Grant-Date</w:t>
            </w:r>
          </w:p>
        </w:tc>
      </w:tr>
      <w:tr>
        <w:trPr>
          <w:trHeight w:val="241"/>
        </w:trPr>
        <w:tc>
          <w:tcPr>
            <w:tcW w:w="668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stock options at June 29,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691,473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383,984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8"/>
                <w:szCs w:val="18"/>
                <w:color w:val="auto"/>
              </w:rPr>
            </w:pPr>
          </w:p>
        </w:tc>
      </w:tr>
      <w:tr>
        <w:trPr>
          <w:trHeight w:val="223"/>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(45,605)</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tcPr>
          <w:p>
            <w:pPr>
              <w:spacing w:after="0"/>
              <w:rPr>
                <w:sz w:val="19"/>
                <w:szCs w:val="19"/>
                <w:color w:val="auto"/>
              </w:rPr>
            </w:pPr>
          </w:p>
        </w:tc>
      </w:tr>
      <w:tr>
        <w:trPr>
          <w:trHeight w:val="21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stock options at June 27, 2020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781,099</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119" w:firstLine="427"/>
        <w:spacing w:after="0" w:line="364" w:lineRule="auto"/>
        <w:rPr>
          <w:sz w:val="20"/>
          <w:szCs w:val="20"/>
          <w:color w:val="auto"/>
        </w:rPr>
      </w:pPr>
      <w:r>
        <w:rPr>
          <w:rFonts w:ascii="Arial" w:cs="Arial" w:eastAsia="Arial" w:hAnsi="Arial"/>
          <w:sz w:val="16"/>
          <w:szCs w:val="16"/>
          <w:color w:val="auto"/>
        </w:rPr>
        <w:t>As of June 27, 2020, there was $2.7 million of total unrecognized compensation cost related to stock options, which is expected to be recognized over a weighted-average period of 2.3 years. The total fair value of stock options vested, as of the vesting dates, during fiscal 2020, 2019 and 2018 were $7.9 million, $5.7 million and $3.6 million, respectively.</w:t>
      </w:r>
    </w:p>
    <w:p>
      <w:pPr>
        <w:spacing w:after="0" w:line="108" w:lineRule="exact"/>
        <w:rPr>
          <w:sz w:val="20"/>
          <w:szCs w:val="20"/>
          <w:color w:val="auto"/>
        </w:rPr>
      </w:pPr>
    </w:p>
    <w:p>
      <w:pPr>
        <w:ind w:left="60" w:right="79" w:firstLine="427"/>
        <w:spacing w:after="0" w:line="310" w:lineRule="auto"/>
        <w:rPr>
          <w:sz w:val="20"/>
          <w:szCs w:val="20"/>
          <w:color w:val="auto"/>
        </w:rPr>
      </w:pPr>
      <w:r>
        <w:rPr>
          <w:rFonts w:ascii="Arial" w:cs="Arial" w:eastAsia="Arial" w:hAnsi="Arial"/>
          <w:sz w:val="18"/>
          <w:szCs w:val="18"/>
          <w:color w:val="auto"/>
        </w:rPr>
        <w:t>Cash received from stock option exercises during fiscal 2020, 2019, and 2018 totaled $0.9 million, $20.2 million, and $9.2 million, respectively. The impact of these cash receipts is included in “Other, net” within financing activities in the accompanying consolidated statements of cash flows.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0" w:right="59" w:firstLine="427"/>
        <w:spacing w:after="0" w:line="325" w:lineRule="auto"/>
        <w:rPr>
          <w:sz w:val="20"/>
          <w:szCs w:val="20"/>
          <w:color w:val="auto"/>
        </w:rPr>
      </w:pPr>
      <w:r>
        <w:rPr>
          <w:rFonts w:ascii="Arial" w:cs="Arial" w:eastAsia="Arial" w:hAnsi="Arial"/>
          <w:sz w:val="17"/>
          <w:szCs w:val="17"/>
          <w:color w:val="auto"/>
        </w:rPr>
        <w:t>Delivery of restricted stock units, and the associated compensation expense, is recognized over the vesting period and is generally subject to the employee’s continued service to the Company, except for employees who are retirement eligible under the terms of the restricted stock units. As of June 27, 2020, 1.0 million shares previously awarded have not yet vested. Stock-based compensation expense associated with restricted stock units was $26.1 million, $23.7 million and $23.0 million for fiscal years 2020, 2019 and 2018, respectively.</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changes in non-vested restricted stock units during fiscal 2020:</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Grant-Date</w:t>
            </w:r>
          </w:p>
        </w:tc>
      </w:tr>
      <w:tr>
        <w:trPr>
          <w:trHeight w:val="241"/>
        </w:trPr>
        <w:tc>
          <w:tcPr>
            <w:tcW w:w="64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June 29,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909,177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812,412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(88,915)</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w:t>
            </w:r>
          </w:p>
        </w:tc>
        <w:tc>
          <w:tcPr>
            <w:tcW w:w="120" w:type="dxa"/>
            <w:vAlign w:val="bottom"/>
            <w:tcBorders>
              <w:bottom w:val="single" w:sz="8" w:color="CCEEFF"/>
            </w:tcBorders>
          </w:tcPr>
          <w:p>
            <w:pPr>
              <w:spacing w:after="0"/>
              <w:rPr>
                <w:sz w:val="19"/>
                <w:szCs w:val="19"/>
                <w:color w:val="auto"/>
              </w:rPr>
            </w:pPr>
          </w:p>
        </w:tc>
      </w:tr>
      <w:tr>
        <w:trPr>
          <w:trHeight w:val="216"/>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June 27, 2020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1,015,822</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427"/>
        <w:spacing w:after="0" w:line="397" w:lineRule="auto"/>
        <w:rPr>
          <w:sz w:val="20"/>
          <w:szCs w:val="20"/>
          <w:color w:val="auto"/>
        </w:rPr>
      </w:pPr>
      <w:r>
        <w:rPr>
          <w:rFonts w:ascii="Arial" w:cs="Arial" w:eastAsia="Arial" w:hAnsi="Arial"/>
          <w:sz w:val="15"/>
          <w:szCs w:val="15"/>
          <w:color w:val="auto"/>
        </w:rPr>
        <w:t>As of June 27, 2020, there was $23.0 million of total unrecognized compensation expense related to non-vested restricted stock units, which is expected to be recognized over a weighted-average period of 2.1 years. The total fair value of restricted stock units vested during fiscal 2020, 2019 and 2018 was $24.8 million, $25.7 million and $26.0 million,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25" w:lineRule="exact"/>
        <w:rPr>
          <w:sz w:val="20"/>
          <w:szCs w:val="20"/>
          <w:color w:val="auto"/>
        </w:rPr>
      </w:pPr>
    </w:p>
    <w:p>
      <w:pPr>
        <w:ind w:left="60" w:right="79" w:firstLine="427"/>
        <w:spacing w:after="0" w:line="321" w:lineRule="auto"/>
        <w:rPr>
          <w:sz w:val="20"/>
          <w:szCs w:val="20"/>
          <w:color w:val="auto"/>
        </w:rPr>
      </w:pPr>
      <w:r>
        <w:rPr>
          <w:rFonts w:ascii="Arial" w:cs="Arial" w:eastAsia="Arial" w:hAnsi="Arial"/>
          <w:sz w:val="17"/>
          <w:szCs w:val="17"/>
          <w:color w:val="auto"/>
        </w:rPr>
        <w:t>Certain eligible employees, including Avnet’s executive officers, may receive a portion of their long-term stock-based compensation through the performance share program, which allows for the vesting of shares based upon achievement of certain performance-based criteria (“Performance Share Program”). The Performance Share Program provides for the vesting to each grantee of a number of shares of Avnet’s common stock at the end of a three-year performance period based upon the Company’s achievement of certain performance goals established by the Compensation Committee of the Board of Directors for each Performance Share Program three-year performance period. The performance goals consist of a combination of measures including earnings per share, economic profit, return on capital employed and total shareholder return.</w:t>
      </w:r>
    </w:p>
    <w:p>
      <w:pPr>
        <w:spacing w:after="0" w:line="136" w:lineRule="exact"/>
        <w:rPr>
          <w:sz w:val="20"/>
          <w:szCs w:val="20"/>
          <w:color w:val="auto"/>
        </w:rPr>
      </w:pPr>
    </w:p>
    <w:p>
      <w:pPr>
        <w:ind w:left="60" w:right="99" w:firstLine="427"/>
        <w:spacing w:after="0" w:line="304" w:lineRule="auto"/>
        <w:rPr>
          <w:sz w:val="20"/>
          <w:szCs w:val="20"/>
          <w:color w:val="auto"/>
        </w:rPr>
      </w:pPr>
      <w:r>
        <w:rPr>
          <w:rFonts w:ascii="Arial" w:cs="Arial" w:eastAsia="Arial" w:hAnsi="Arial"/>
          <w:sz w:val="18"/>
          <w:szCs w:val="18"/>
          <w:color w:val="auto"/>
        </w:rPr>
        <w:t>During each of fiscal 2020, 2019 and 2018, the Company granted 0.2 million performance share units. The actual amount of performance share units vested at the end of each three-year period is measured based upon the actual level of achievement of the defined performance goals and can range from 0% to 200% of the award grant. During fiscal 2020, 2019 and 2018, the Company recognized stock-based compensation expense associated with the Performance Share Program of $(3.8) million, $2.8 million and $0.2 million, respectively.</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243" w:lineRule="exact"/>
        <w:rPr>
          <w:sz w:val="20"/>
          <w:szCs w:val="20"/>
          <w:color w:val="auto"/>
        </w:rPr>
      </w:pPr>
    </w:p>
    <w:p>
      <w:pPr>
        <w:ind w:left="60" w:right="179" w:firstLine="427"/>
        <w:spacing w:after="0" w:line="306"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46" w:lineRule="exact"/>
        <w:rPr>
          <w:sz w:val="20"/>
          <w:szCs w:val="20"/>
          <w:color w:val="auto"/>
        </w:rPr>
      </w:pPr>
    </w:p>
    <w:p>
      <w:pPr>
        <w:ind w:left="60" w:right="159" w:firstLine="427"/>
        <w:spacing w:after="0" w:line="322"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35" w:lineRule="exact"/>
        <w:rPr>
          <w:sz w:val="20"/>
          <w:szCs w:val="20"/>
          <w:color w:val="auto"/>
        </w:rPr>
      </w:pPr>
    </w:p>
    <w:p>
      <w:pPr>
        <w:ind w:left="60" w:right="79" w:firstLine="427"/>
        <w:spacing w:after="0" w:line="310" w:lineRule="auto"/>
        <w:rPr>
          <w:sz w:val="20"/>
          <w:szCs w:val="20"/>
          <w:color w:val="auto"/>
        </w:rPr>
      </w:pPr>
      <w:r>
        <w:rPr>
          <w:rFonts w:ascii="Arial" w:cs="Arial" w:eastAsia="Arial" w:hAnsi="Arial"/>
          <w:sz w:val="18"/>
          <w:szCs w:val="18"/>
          <w:color w:val="auto"/>
        </w:rPr>
        <w:t>As of June 27, 2020, and June 29, 2019, the Company had aggregate estimated liabilities of $18.8 million and $14.7 million, respectively classified within accrued expenses and other for such compliance-related matters that were reasonably estimable as of such dates.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tbl>
      <w:tblPr>
        <w:tblLayout w:type="fixed"/>
        <w:tblInd w:w="60" w:type="dxa"/>
        <w:tblCellMar>
          <w:top w:w="0" w:type="dxa"/>
          <w:left w:w="0" w:type="dxa"/>
          <w:bottom w:w="0" w:type="dxa"/>
          <w:right w:w="0" w:type="dxa"/>
        </w:tblCellMar>
      </w:tblPr>
      <w:tr>
        <w:trPr>
          <w:trHeight w:val="230"/>
        </w:trPr>
        <w:tc>
          <w:tcPr>
            <w:tcW w:w="544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5880" w:type="dxa"/>
            <w:vAlign w:val="bottom"/>
            <w:gridSpan w:val="3"/>
          </w:tcPr>
          <w:p>
            <w:pPr>
              <w:jc w:val="right"/>
              <w:spacing w:after="0"/>
              <w:rPr>
                <w:sz w:val="20"/>
                <w:szCs w:val="20"/>
                <w:color w:val="auto"/>
              </w:rPr>
            </w:pPr>
            <w:r>
              <w:rPr>
                <w:rFonts w:ascii="Arial" w:cs="Arial" w:eastAsia="Arial" w:hAnsi="Arial"/>
                <w:sz w:val="18"/>
                <w:szCs w:val="18"/>
                <w:b w:val="1"/>
                <w:bCs w:val="1"/>
                <w:color w:val="auto"/>
              </w:rPr>
              <w:t>AVNET, INC. AND SUBSIDIARIES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7880" w:type="dxa"/>
            <w:vAlign w:val="bottom"/>
            <w:gridSpan w:val="8"/>
          </w:tcPr>
          <w:p>
            <w:pPr>
              <w:ind w:left="14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14. Earnings per share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1"/>
              </w:rPr>
              <w:t>June 27,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June 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gridSpan w:val="8"/>
          </w:tcPr>
          <w:p>
            <w:pPr>
              <w:jc w:val="center"/>
              <w:ind w:right="50"/>
              <w:spacing w:after="0" w:line="202" w:lineRule="exact"/>
              <w:rPr>
                <w:sz w:val="20"/>
                <w:szCs w:val="20"/>
                <w:color w:val="auto"/>
              </w:rPr>
            </w:pPr>
            <w:r>
              <w:rPr>
                <w:rFonts w:ascii="Arial" w:cs="Arial" w:eastAsia="Arial" w:hAnsi="Arial"/>
                <w:sz w:val="18"/>
                <w:szCs w:val="18"/>
                <w:b w:val="1"/>
                <w:bCs w:val="1"/>
                <w:color w:val="auto"/>
                <w:w w:val="89"/>
              </w:rPr>
              <w:t>(Thousands,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(29,533)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180,111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(142,889)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(13,535)</w:t>
            </w:r>
          </w:p>
        </w:tc>
        <w:tc>
          <w:tcPr>
            <w:tcW w:w="0" w:type="dxa"/>
            <w:vAlign w:val="bottom"/>
          </w:tcPr>
          <w:p>
            <w:pPr>
              <w:spacing w:after="0"/>
              <w:rPr>
                <w:sz w:val="1"/>
                <w:szCs w:val="1"/>
                <w:color w:val="auto"/>
              </w:rPr>
            </w:pPr>
          </w:p>
        </w:tc>
      </w:tr>
      <w:tr>
        <w:trPr>
          <w:trHeight w:val="243"/>
        </w:trPr>
        <w:tc>
          <w:tcPr>
            <w:tcW w:w="5440" w:type="dxa"/>
            <w:vAlign w:val="bottom"/>
            <w:gridSpan w:val="2"/>
          </w:tcPr>
          <w:p>
            <w:pPr>
              <w:spacing w:after="0" w:line="203" w:lineRule="exact"/>
              <w:rPr>
                <w:sz w:val="20"/>
                <w:szCs w:val="20"/>
                <w:color w:val="auto"/>
              </w:rPr>
            </w:pPr>
            <w:r>
              <w:rPr>
                <w:rFonts w:ascii="Arial" w:cs="Arial" w:eastAsia="Arial" w:hAnsi="Arial"/>
                <w:sz w:val="18"/>
                <w:szCs w:val="18"/>
                <w:color w:val="auto"/>
              </w:rPr>
              <w:t>Net (loss) income</w:t>
            </w:r>
          </w:p>
        </w:tc>
        <w:tc>
          <w:tcPr>
            <w:tcW w:w="32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(31,081)</w:t>
            </w:r>
          </w:p>
        </w:tc>
        <w:tc>
          <w:tcPr>
            <w:tcW w:w="2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176,337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(156,424)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effect of dilutive stock based compensation awards</w:t>
            </w: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100,474</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119,909</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Basic (loss) earnings per share - continuing operations</w:t>
            </w: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(0.29)</w:t>
            </w:r>
          </w:p>
        </w:tc>
        <w:tc>
          <w:tcPr>
            <w:tcW w:w="20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loss per share - discontinued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3"/>
        </w:trPr>
        <w:tc>
          <w:tcPr>
            <w:tcW w:w="5440" w:type="dxa"/>
            <w:vAlign w:val="bottom"/>
            <w:gridSpan w:val="2"/>
          </w:tcPr>
          <w:p>
            <w:pPr>
              <w:spacing w:after="0" w:line="203" w:lineRule="exact"/>
              <w:rPr>
                <w:sz w:val="20"/>
                <w:szCs w:val="20"/>
                <w:color w:val="auto"/>
              </w:rPr>
            </w:pPr>
            <w:r>
              <w:rPr>
                <w:rFonts w:ascii="Arial" w:cs="Arial" w:eastAsia="Arial" w:hAnsi="Arial"/>
                <w:sz w:val="18"/>
                <w:szCs w:val="18"/>
                <w:color w:val="auto"/>
              </w:rPr>
              <w:t>Basic (loss) earnings per share</w:t>
            </w:r>
          </w:p>
        </w:tc>
        <w:tc>
          <w:tcPr>
            <w:tcW w:w="32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(0.31)</w:t>
            </w:r>
          </w:p>
        </w:tc>
        <w:tc>
          <w:tcPr>
            <w:tcW w:w="2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(loss) earnings per share - continuing operations</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loss per share - discontinued operations</w:t>
            </w: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(loss) earnings per share</w:t>
            </w: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Stock options excluded from earnings per share calculation due to anti-</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dilutive effect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firstLine="427"/>
        <w:spacing w:after="0" w:line="277" w:lineRule="auto"/>
        <w:rPr>
          <w:sz w:val="20"/>
          <w:szCs w:val="20"/>
          <w:color w:val="auto"/>
        </w:rPr>
      </w:pPr>
      <w:r>
        <w:rPr>
          <w:rFonts w:ascii="Arial" w:cs="Arial" w:eastAsia="Arial" w:hAnsi="Arial"/>
          <w:sz w:val="18"/>
          <w:szCs w:val="18"/>
          <w:color w:val="auto"/>
        </w:rPr>
        <w:t>For the fiscal years ended June 27, 2020, and June 30, 2018, the diluted net loss per share is the same as the basic net loss per share as the effect of all potential common shares would be anti-dilutive.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Additional cash flow information</w:t>
      </w:r>
    </w:p>
    <w:p>
      <w:pPr>
        <w:spacing w:after="0" w:line="229" w:lineRule="exact"/>
        <w:rPr>
          <w:sz w:val="20"/>
          <w:szCs w:val="20"/>
          <w:color w:val="auto"/>
        </w:rPr>
      </w:pPr>
    </w:p>
    <w:p>
      <w:pPr>
        <w:ind w:left="60" w:right="279" w:firstLine="427"/>
        <w:spacing w:after="0" w:line="324" w:lineRule="auto"/>
        <w:rPr>
          <w:sz w:val="20"/>
          <w:szCs w:val="20"/>
          <w:color w:val="auto"/>
        </w:rPr>
      </w:pPr>
      <w:r>
        <w:rPr>
          <w:rFonts w:ascii="Arial" w:cs="Arial" w:eastAsia="Arial" w:hAnsi="Arial"/>
          <w:sz w:val="18"/>
          <w:szCs w:val="18"/>
          <w:color w:val="auto"/>
        </w:rPr>
        <w:t>The “Other, net” component of non-cash and other reconciling items within operating activities in the consolidated statements of cash flows consisted of the following during the last three fiscal years: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85"/>
              </w:rPr>
              <w:t>June 27,</w:t>
            </w:r>
          </w:p>
        </w:tc>
        <w:tc>
          <w:tcPr>
            <w:tcW w:w="20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29,</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6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2018</w:t>
            </w:r>
          </w:p>
        </w:tc>
        <w:tc>
          <w:tcPr>
            <w:tcW w:w="60" w:type="dxa"/>
            <w:vAlign w:val="bottom"/>
          </w:tcPr>
          <w:p>
            <w:pPr>
              <w:spacing w:after="0"/>
              <w:rPr>
                <w:sz w:val="20"/>
                <w:szCs w:val="20"/>
                <w:color w:val="auto"/>
              </w:rPr>
            </w:pPr>
          </w:p>
        </w:tc>
      </w:tr>
      <w:tr>
        <w:trPr>
          <w:trHeight w:val="203"/>
        </w:trPr>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7"/>
                <w:szCs w:val="17"/>
                <w:b w:val="1"/>
                <w:bCs w:val="1"/>
                <w:color w:val="auto"/>
                <w:w w:val="72"/>
              </w:rPr>
              <w:t>(Thousands)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6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Periodic pension cost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(4,256)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26,057</w:t>
            </w:r>
          </w:p>
        </w:tc>
        <w:tc>
          <w:tcPr>
            <w:tcW w:w="60" w:type="dxa"/>
            <w:vAlign w:val="bottom"/>
          </w:tcPr>
          <w:p>
            <w:pPr>
              <w:spacing w:after="0"/>
              <w:rPr>
                <w:sz w:val="18"/>
                <w:szCs w:val="18"/>
                <w:color w:val="auto"/>
              </w:rPr>
            </w:pPr>
          </w:p>
        </w:tc>
      </w:tr>
      <w:tr>
        <w:trPr>
          <w:trHeight w:val="23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(27,369)</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11,755</w:t>
            </w:r>
          </w:p>
        </w:tc>
        <w:tc>
          <w:tcPr>
            <w:tcW w:w="60" w:type="dxa"/>
            <w:vAlign w:val="bottom"/>
            <w:shd w:val="clear" w:color="auto" w:fill="CCEEFF"/>
          </w:tcPr>
          <w:p>
            <w:pPr>
              <w:spacing w:after="0"/>
              <w:rPr>
                <w:sz w:val="20"/>
                <w:szCs w:val="20"/>
                <w:color w:val="auto"/>
              </w:rPr>
            </w:pPr>
          </w:p>
        </w:tc>
      </w:tr>
      <w:tr>
        <w:trPr>
          <w:trHeight w:val="203"/>
        </w:trPr>
        <w:tc>
          <w:tcPr>
            <w:tcW w:w="60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45,049</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(21,265)</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43,845</w:t>
            </w:r>
          </w:p>
        </w:tc>
        <w:tc>
          <w:tcPr>
            <w:tcW w:w="60" w:type="dxa"/>
            <w:vAlign w:val="bottom"/>
            <w:tcBorders>
              <w:top w:val="single" w:sz="8" w:color="CCEEFF"/>
            </w:tcBorders>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4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June 27,</w:t>
            </w:r>
          </w:p>
        </w:tc>
        <w:tc>
          <w:tcPr>
            <w:tcW w:w="160" w:type="dxa"/>
            <w:vAlign w:val="bottom"/>
          </w:tcPr>
          <w:p>
            <w:pPr>
              <w:spacing w:after="0"/>
              <w:rPr>
                <w:sz w:val="17"/>
                <w:szCs w:val="17"/>
                <w:color w:val="auto"/>
              </w:rPr>
            </w:pPr>
          </w:p>
        </w:tc>
        <w:tc>
          <w:tcPr>
            <w:tcW w:w="920" w:type="dxa"/>
            <w:vAlign w:val="bottom"/>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88"/>
              </w:rPr>
              <w:t>June 29,</w:t>
            </w:r>
          </w:p>
        </w:tc>
        <w:tc>
          <w:tcPr>
            <w:tcW w:w="20" w:type="dxa"/>
            <w:vAlign w:val="bottom"/>
          </w:tcPr>
          <w:p>
            <w:pPr>
              <w:spacing w:after="0"/>
              <w:rPr>
                <w:sz w:val="17"/>
                <w:szCs w:val="17"/>
                <w:color w:val="auto"/>
              </w:rPr>
            </w:pPr>
          </w:p>
        </w:tc>
        <w:tc>
          <w:tcPr>
            <w:tcW w:w="8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9"/>
              </w:rPr>
              <w:t>June 30,</w:t>
            </w:r>
          </w:p>
        </w:tc>
        <w:tc>
          <w:tcPr>
            <w:tcW w:w="20" w:type="dxa"/>
            <w:vAlign w:val="bottom"/>
          </w:tcPr>
          <w:p>
            <w:pPr>
              <w:spacing w:after="0"/>
              <w:rPr>
                <w:sz w:val="17"/>
                <w:szCs w:val="17"/>
                <w:color w:val="auto"/>
              </w:rPr>
            </w:pPr>
          </w:p>
        </w:tc>
      </w:tr>
      <w:tr>
        <w:trPr>
          <w:trHeight w:val="241"/>
        </w:trPr>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203"/>
        </w:trPr>
        <w:tc>
          <w:tcPr>
            <w:tcW w:w="4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0"/>
              </w:rPr>
              <w:t>(Thousands)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Capital expenditures incurred but not paid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9,009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12,957</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23,400</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Unsettled share repurchases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1,404</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3,425</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Interest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137,995</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144,822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99,929</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net payments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172,834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113,130</w:t>
            </w:r>
          </w:p>
        </w:tc>
        <w:tc>
          <w:tcPr>
            <w:tcW w:w="2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ind w:left="60" w:right="339" w:firstLine="427"/>
        <w:spacing w:after="0" w:line="395" w:lineRule="auto"/>
        <w:rPr>
          <w:sz w:val="20"/>
          <w:szCs w:val="20"/>
          <w:color w:val="auto"/>
        </w:rPr>
      </w:pPr>
      <w:r>
        <w:rPr>
          <w:rFonts w:ascii="Arial" w:cs="Arial" w:eastAsia="Arial" w:hAnsi="Arial"/>
          <w:sz w:val="16"/>
          <w:szCs w:val="16"/>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ind w:left="60" w:right="79" w:firstLine="427"/>
        <w:spacing w:after="0" w:line="329" w:lineRule="auto"/>
        <w:rPr>
          <w:sz w:val="20"/>
          <w:szCs w:val="20"/>
          <w:color w:val="auto"/>
        </w:rPr>
      </w:pPr>
      <w:r>
        <w:rPr>
          <w:rFonts w:ascii="Arial" w:cs="Arial" w:eastAsia="Arial" w:hAnsi="Arial"/>
          <w:sz w:val="17"/>
          <w:szCs w:val="17"/>
          <w:color w:val="auto"/>
        </w:rPr>
        <w:t>Electronic Components (“EC”) and Farnell are the Company’s reportable segments (“operating groups”). EC markets and sells semiconductors and interconnect, passive and electromechanical devices and integrated components to a diverse customer base serving many end-markets. Farnell distributes electronic components and related products to the electronic system design community utilizing multi-channel sales and marketing resources.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tbl>
      <w:tblPr>
        <w:tblLayout w:type="fixed"/>
        <w:tblInd w:w="40" w:type="dxa"/>
        <w:tblCellMar>
          <w:top w:w="0" w:type="dxa"/>
          <w:left w:w="0" w:type="dxa"/>
          <w:bottom w:w="0" w:type="dxa"/>
          <w:right w:w="0" w:type="dxa"/>
        </w:tblCellMar>
      </w:tblPr>
      <w:tr>
        <w:trPr>
          <w:trHeight w:val="230"/>
        </w:trPr>
        <w:tc>
          <w:tcPr>
            <w:tcW w:w="4700" w:type="dxa"/>
            <w:vAlign w:val="bottom"/>
            <w:gridSpan w:val="3"/>
          </w:tcPr>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1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AVNET, INC. AND SUBSIDIARIES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660" w:type="dxa"/>
            <w:vAlign w:val="bottom"/>
            <w:gridSpan w:val="9"/>
          </w:tcPr>
          <w:p>
            <w:pPr>
              <w:ind w:left="14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7"/>
              </w:rPr>
              <w:t>Years Ended</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88"/>
              </w:rPr>
              <w:t>June 27,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June 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1"/>
              </w:rPr>
              <w:t>June 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(Millions)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16,340.1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18,060.3</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17,543.6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Farnell</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24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17,634.3</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19,518.6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19,036.9</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349.1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614.9</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Farnell</w:t>
            </w: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Restructuring, integration and other expenses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intangible asset impairment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20"/>
              <w:spacing w:after="0"/>
              <w:rPr>
                <w:sz w:val="20"/>
                <w:szCs w:val="20"/>
                <w:color w:val="auto"/>
              </w:rPr>
            </w:pPr>
            <w:r>
              <w:rPr>
                <w:rFonts w:ascii="Arial" w:cs="Arial" w:eastAsia="Arial" w:hAnsi="Arial"/>
                <w:sz w:val="18"/>
                <w:szCs w:val="18"/>
                <w:color w:val="auto"/>
              </w:rPr>
              <w:t>Assets:</w:t>
            </w: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 Components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Farnell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24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8,105.2</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8,564.6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9,596.8</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Capital expenditures: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Farnell</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w:t>
            </w: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20"/>
              <w:spacing w:after="0"/>
              <w:rPr>
                <w:sz w:val="20"/>
                <w:szCs w:val="20"/>
                <w:color w:val="auto"/>
              </w:rPr>
            </w:pPr>
            <w:r>
              <w:rPr>
                <w:rFonts w:ascii="Arial" w:cs="Arial" w:eastAsia="Arial" w:hAnsi="Arial"/>
                <w:sz w:val="18"/>
                <w:szCs w:val="18"/>
                <w:color w:val="auto"/>
              </w:rPr>
              <w:t>Depreciation &amp; amortization expense:</w:t>
            </w: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 Components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Farnell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24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182.2</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234.9</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Sales, by geographic area:</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line="216" w:lineRule="exact"/>
              <w:rPr>
                <w:sz w:val="20"/>
                <w:szCs w:val="20"/>
                <w:color w:val="auto"/>
              </w:rPr>
            </w:pPr>
            <w:r>
              <w:rPr>
                <w:rFonts w:ascii="Arial" w:cs="Arial" w:eastAsia="Arial" w:hAnsi="Arial"/>
                <w:sz w:val="17"/>
                <w:szCs w:val="17"/>
                <w:color w:val="auto"/>
              </w:rPr>
              <w:t>Americas</w:t>
            </w:r>
            <w:r>
              <w:rPr>
                <w:rFonts w:ascii="Arial" w:cs="Arial" w:eastAsia="Arial" w:hAnsi="Arial"/>
                <w:sz w:val="25"/>
                <w:szCs w:val="25"/>
                <w:color w:val="auto"/>
                <w:vertAlign w:val="superscript"/>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4,755.3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5,135.8</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5,011.4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EMEA</w:t>
            </w:r>
            <w:r>
              <w:rPr>
                <w:rFonts w:ascii="Arial" w:cs="Arial" w:eastAsia="Arial" w:hAnsi="Arial"/>
                <w:sz w:val="25"/>
                <w:szCs w:val="25"/>
                <w:color w:val="auto"/>
                <w:vertAlign w:val="superscript"/>
              </w:rPr>
              <w:t>(2)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Asia/Pacific</w:t>
            </w:r>
            <w:r>
              <w:rPr>
                <w:rFonts w:ascii="Arial" w:cs="Arial" w:eastAsia="Arial" w:hAnsi="Arial"/>
                <w:sz w:val="25"/>
                <w:szCs w:val="25"/>
                <w:color w:val="auto"/>
                <w:vertAlign w:val="superscript"/>
              </w:rPr>
              <w:t>(3)</w:t>
            </w: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7,125.6</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7,234.6</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17,634.3</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19,518.6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19,036.9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plant and equipment, net, by geographic area:</w:t>
            </w: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Americas</w:t>
            </w:r>
            <w:r>
              <w:rPr>
                <w:rFonts w:ascii="Arial" w:cs="Arial" w:eastAsia="Arial" w:hAnsi="Arial"/>
                <w:sz w:val="25"/>
                <w:szCs w:val="25"/>
                <w:color w:val="auto"/>
                <w:vertAlign w:val="superscript"/>
              </w:rPr>
              <w:t>(4)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line="216" w:lineRule="exact"/>
              <w:rPr>
                <w:sz w:val="20"/>
                <w:szCs w:val="20"/>
                <w:color w:val="auto"/>
              </w:rPr>
            </w:pPr>
            <w:r>
              <w:rPr>
                <w:rFonts w:ascii="Arial" w:cs="Arial" w:eastAsia="Arial" w:hAnsi="Arial"/>
                <w:sz w:val="17"/>
                <w:szCs w:val="17"/>
                <w:color w:val="auto"/>
              </w:rPr>
              <w:t>EMEA</w:t>
            </w:r>
            <w:r>
              <w:rPr>
                <w:rFonts w:ascii="Arial" w:cs="Arial" w:eastAsia="Arial" w:hAnsi="Arial"/>
                <w:sz w:val="25"/>
                <w:szCs w:val="25"/>
                <w:color w:val="auto"/>
                <w:vertAlign w:val="superscript"/>
              </w:rPr>
              <w:t>(5)</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Asia/Pacific</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24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404.6</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452.2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522.9</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439" w:hanging="330"/>
        <w:spacing w:after="0" w:line="32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sales in the United States of $4.46 billion, $4.80 billion and $4.64 billion for fiscal 2020, 2019 and 2018, respectively.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0" w:lineRule="exact"/>
        <w:rPr>
          <w:sz w:val="20"/>
          <w:szCs w:val="20"/>
          <w:color w:val="auto"/>
        </w:rPr>
      </w:pPr>
    </w:p>
    <w:p>
      <w:pPr>
        <w:ind w:left="380" w:right="159" w:hanging="330"/>
        <w:spacing w:after="0" w:line="310"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sales in Germany and Belgium of $2.20 billion and $1.09 billion, respectively, for fiscal 2020. Includes sales in Germany and Belgium of $2.66 billion and $1.16 billion, respectively, for fiscal 2019. Includes sales in Germany and Belgium of $2.66 billion and $1.08 billion, respectively, for fiscal 2018.</w:t>
      </w:r>
    </w:p>
    <w:p>
      <w:pPr>
        <w:spacing w:after="0" w:line="21" w:lineRule="exact"/>
        <w:rPr>
          <w:rFonts w:ascii="Arial" w:cs="Arial" w:eastAsia="Arial" w:hAnsi="Arial"/>
          <w:sz w:val="18"/>
          <w:szCs w:val="18"/>
          <w:color w:val="auto"/>
        </w:rPr>
      </w:pPr>
    </w:p>
    <w:p>
      <w:pPr>
        <w:ind w:left="380" w:right="499" w:hanging="330"/>
        <w:spacing w:after="0" w:line="352"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sales of $3.07 billion, $2.33 billion and $955.4 million in Taiwan, China (including Hong Kong) and Singapore, respectively, for fiscal 2020. Includes sales of $3.20 billion, $2.52 billion and $1.02 billion in Taiwan, China (including Hong Kong) and Singapore, respectively, for fiscal 2019. Includes sales of $2.71 billion, $2.63 billion and $949.5 million in Taiwan, China (including Hong Kong) and Singapore, respectively, for fiscal 2018.</w:t>
      </w:r>
    </w:p>
    <w:p>
      <w:pPr>
        <w:ind w:left="380" w:right="159" w:hanging="330"/>
        <w:spacing w:after="0" w:line="32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property, plant and equipment, net, of $179.4 million, $209.9 million and $271.4 million in the United States for fiscal 2020, 2019 and 2018, respectively.</w:t>
      </w:r>
    </w:p>
    <w:p>
      <w:pPr>
        <w:spacing w:after="0" w:line="8" w:lineRule="exact"/>
        <w:rPr>
          <w:rFonts w:ascii="Arial" w:cs="Arial" w:eastAsia="Arial" w:hAnsi="Arial"/>
          <w:sz w:val="18"/>
          <w:szCs w:val="18"/>
          <w:color w:val="auto"/>
        </w:rPr>
      </w:pPr>
    </w:p>
    <w:p>
      <w:pPr>
        <w:ind w:left="380" w:right="79" w:hanging="330"/>
        <w:spacing w:after="0" w:line="354"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property, plant and equipment, net, of $84.9 million, $72.7 million and $22.4 million in Germany, the UK and Belgium, respectively, for fiscal 2020. Fiscal 2019 includes property, plant and equipment, net, of $95.2 million, $70.5 million and $25.2 million in Germany, the UK and Belgium, respectively. Fiscal 2018 includes property, plant and equipment, net, of $99.4 million, $52.5 million and $43.4 million in Germany, the UK and Belgium, respectively.</w:t>
      </w:r>
    </w:p>
    <w:p>
      <w:pPr>
        <w:spacing w:after="0" w:line="116" w:lineRule="exact"/>
        <w:rPr>
          <w:sz w:val="20"/>
          <w:szCs w:val="20"/>
          <w:color w:val="auto"/>
        </w:rPr>
      </w:pPr>
    </w:p>
    <w:p>
      <w:pPr>
        <w:ind w:left="60" w:right="199" w:firstLine="427"/>
        <w:spacing w:after="0" w:line="324" w:lineRule="auto"/>
        <w:rPr>
          <w:sz w:val="20"/>
          <w:szCs w:val="20"/>
          <w:color w:val="auto"/>
        </w:rPr>
      </w:pPr>
      <w:r>
        <w:rPr>
          <w:rFonts w:ascii="Arial" w:cs="Arial" w:eastAsia="Arial" w:hAnsi="Arial"/>
          <w:sz w:val="18"/>
          <w:szCs w:val="18"/>
          <w:color w:val="auto"/>
        </w:rPr>
        <w:t>Listed in the table below are the Company’s major product categories and the related sales for each of the past three fiscal years: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June 27,</w:t>
            </w:r>
          </w:p>
        </w:tc>
        <w:tc>
          <w:tcPr>
            <w:tcW w:w="180" w:type="dxa"/>
            <w:vAlign w:val="bottom"/>
          </w:tcPr>
          <w:p>
            <w:pPr>
              <w:spacing w:after="0"/>
              <w:rPr>
                <w:sz w:val="17"/>
                <w:szCs w:val="17"/>
                <w:color w:val="auto"/>
              </w:rPr>
            </w:pPr>
          </w:p>
        </w:tc>
        <w:tc>
          <w:tcPr>
            <w:tcW w:w="98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8"/>
              </w:rPr>
              <w:t>June 29,</w:t>
            </w:r>
          </w:p>
        </w:tc>
        <w:tc>
          <w:tcPr>
            <w:tcW w:w="60" w:type="dxa"/>
            <w:vAlign w:val="bottom"/>
          </w:tcPr>
          <w:p>
            <w:pPr>
              <w:spacing w:after="0"/>
              <w:rPr>
                <w:sz w:val="17"/>
                <w:szCs w:val="17"/>
                <w:color w:val="auto"/>
              </w:rPr>
            </w:pPr>
          </w:p>
        </w:tc>
        <w:tc>
          <w:tcPr>
            <w:tcW w:w="8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7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0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3"/>
              </w:rPr>
              <w:t>(Millions)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$ 13,440.3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$ 14,973.3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$ 14,890.9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3,146.0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3,516.0</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476.0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496.2</w:t>
            </w: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$ 17,634.3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$ 19,518.6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$ 19,036.9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40" w:type="dxa"/>
            <w:vAlign w:val="bottom"/>
            <w:vMerge w:val="restart"/>
          </w:tcPr>
          <w:p>
            <w:pPr>
              <w:jc w:val="right"/>
              <w:ind w:right="1310"/>
              <w:spacing w:after="0"/>
              <w:rPr>
                <w:sz w:val="20"/>
                <w:szCs w:val="20"/>
                <w:color w:val="auto"/>
              </w:rPr>
            </w:pPr>
            <w:r>
              <w:rPr>
                <w:rFonts w:ascii="Arial" w:cs="Arial" w:eastAsia="Arial" w:hAnsi="Arial"/>
                <w:sz w:val="18"/>
                <w:szCs w:val="18"/>
                <w:color w:val="auto"/>
              </w:rPr>
              <w:t>74</w:t>
            </w: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Restructuring expenses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Fiscal 2020</w:t>
      </w:r>
    </w:p>
    <w:p>
      <w:pPr>
        <w:spacing w:after="0" w:line="225" w:lineRule="exact"/>
        <w:rPr>
          <w:sz w:val="20"/>
          <w:szCs w:val="20"/>
          <w:color w:val="auto"/>
        </w:rPr>
      </w:pPr>
    </w:p>
    <w:p>
      <w:pPr>
        <w:ind w:left="60" w:right="79" w:firstLine="427"/>
        <w:spacing w:after="0" w:line="354" w:lineRule="auto"/>
        <w:rPr>
          <w:sz w:val="20"/>
          <w:szCs w:val="20"/>
          <w:color w:val="auto"/>
        </w:rPr>
      </w:pPr>
      <w:r>
        <w:rPr>
          <w:rFonts w:ascii="Arial" w:cs="Arial" w:eastAsia="Arial" w:hAnsi="Arial"/>
          <w:sz w:val="16"/>
          <w:szCs w:val="16"/>
          <w:color w:val="auto"/>
        </w:rPr>
        <w:t>During fiscal 2020, the Company undertook restructuring actions in order to improve operating efficiencies and further integrate the acquisition of Farnell. Restructuring expenses are included as a component of restructuring, integration and other expenses in the consolidated statements of operations. The activity related to the restructuring liabilities and asset impairments associated with restructuring activities established during fiscal 2020 is presented in the following table:</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5"/>
              <w:spacing w:after="0"/>
              <w:rPr>
                <w:sz w:val="20"/>
                <w:szCs w:val="20"/>
                <w:color w:val="auto"/>
              </w:rPr>
            </w:pPr>
            <w:r>
              <w:rPr>
                <w:rFonts w:ascii="Arial" w:cs="Arial" w:eastAsia="Arial" w:hAnsi="Arial"/>
                <w:sz w:val="17"/>
                <w:szCs w:val="17"/>
                <w:b w:val="1"/>
                <w:bCs w:val="1"/>
                <w:color w:val="auto"/>
                <w:w w:val="92"/>
              </w:rPr>
              <w:t>Facility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5"/>
              <w:spacing w:after="0"/>
              <w:rPr>
                <w:sz w:val="20"/>
                <w:szCs w:val="20"/>
                <w:color w:val="auto"/>
              </w:rPr>
            </w:pPr>
            <w:r>
              <w:rPr>
                <w:rFonts w:ascii="Arial" w:cs="Arial" w:eastAsia="Arial" w:hAnsi="Arial"/>
                <w:sz w:val="17"/>
                <w:szCs w:val="17"/>
                <w:b w:val="1"/>
                <w:bCs w:val="1"/>
                <w:color w:val="auto"/>
                <w:w w:val="93"/>
              </w:rPr>
              <w:t>and Contract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295"/>
              <w:spacing w:after="0"/>
              <w:rPr>
                <w:sz w:val="20"/>
                <w:szCs w:val="20"/>
                <w:color w:val="auto"/>
              </w:rPr>
            </w:pPr>
            <w:r>
              <w:rPr>
                <w:rFonts w:ascii="Arial" w:cs="Arial" w:eastAsia="Arial" w:hAnsi="Arial"/>
                <w:sz w:val="17"/>
                <w:szCs w:val="17"/>
                <w:b w:val="1"/>
                <w:bCs w:val="1"/>
                <w:color w:val="auto"/>
              </w:rPr>
              <w:t>Asset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1"/>
        </w:trPr>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1"/>
              </w:rPr>
              <w:t>Severance</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8"/>
              </w:rPr>
              <w:t>Exit Costs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92"/>
              </w:rPr>
              <w:t>Impairments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Total</w:t>
            </w:r>
          </w:p>
        </w:tc>
      </w:tr>
      <w:tr>
        <w:trPr>
          <w:trHeight w:val="203"/>
        </w:trPr>
        <w:tc>
          <w:tcPr>
            <w:tcW w:w="3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4"/>
          </w:tcPr>
          <w:p>
            <w:pPr>
              <w:jc w:val="right"/>
              <w:ind w:right="735"/>
              <w:spacing w:after="0"/>
              <w:rPr>
                <w:sz w:val="20"/>
                <w:szCs w:val="20"/>
                <w:color w:val="auto"/>
              </w:rPr>
            </w:pPr>
            <w:r>
              <w:rPr>
                <w:rFonts w:ascii="Arial" w:cs="Arial" w:eastAsia="Arial" w:hAnsi="Arial"/>
                <w:sz w:val="17"/>
                <w:szCs w:val="17"/>
                <w:b w:val="1"/>
                <w:bCs w:val="1"/>
                <w:color w:val="auto"/>
              </w:rPr>
              <w:t>(Thousands)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Fiscal 2020 restructuring expenses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7,111</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45,543</w:t>
            </w:r>
          </w:p>
        </w:tc>
      </w:tr>
      <w:tr>
        <w:trPr>
          <w:trHeight w:val="216"/>
        </w:trPr>
        <w:tc>
          <w:tcPr>
            <w:tcW w:w="3460" w:type="dxa"/>
            <w:vAlign w:val="bottom"/>
          </w:tcPr>
          <w:p>
            <w:pPr>
              <w:ind w:left="100"/>
              <w:spacing w:after="0"/>
              <w:rPr>
                <w:sz w:val="20"/>
                <w:szCs w:val="20"/>
                <w:color w:val="auto"/>
              </w:rPr>
            </w:pPr>
            <w:r>
              <w:rPr>
                <w:rFonts w:ascii="Arial" w:cs="Arial" w:eastAsia="Arial" w:hAnsi="Arial"/>
                <w:sz w:val="17"/>
                <w:szCs w:val="17"/>
                <w:color w:val="auto"/>
              </w:rPr>
              <w:t>Cash payments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(24,063)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(26,678)</w:t>
            </w:r>
          </w:p>
        </w:tc>
      </w:tr>
      <w:tr>
        <w:trPr>
          <w:trHeight w:val="216"/>
        </w:trPr>
        <w:tc>
          <w:tcPr>
            <w:tcW w:w="3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Non-cash amounts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(7,111)</w:t>
            </w:r>
          </w:p>
        </w:tc>
      </w:tr>
      <w:tr>
        <w:trPr>
          <w:trHeight w:val="223"/>
        </w:trPr>
        <w:tc>
          <w:tcPr>
            <w:tcW w:w="34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w w:val="99"/>
              </w:rPr>
              <w:t>Other, principally foreign currency translation</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r>
      <w:tr>
        <w:trPr>
          <w:trHeight w:val="216"/>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June 27, 2020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10,611</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11,712</w:t>
            </w:r>
          </w:p>
        </w:tc>
      </w:tr>
      <w:tr>
        <w:trPr>
          <w:trHeight w:val="20"/>
        </w:trPr>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427"/>
        <w:spacing w:after="0" w:line="301" w:lineRule="auto"/>
        <w:rPr>
          <w:sz w:val="20"/>
          <w:szCs w:val="20"/>
          <w:color w:val="auto"/>
        </w:rPr>
      </w:pPr>
      <w:r>
        <w:rPr>
          <w:rFonts w:ascii="Arial" w:cs="Arial" w:eastAsia="Arial" w:hAnsi="Arial"/>
          <w:sz w:val="18"/>
          <w:szCs w:val="18"/>
          <w:color w:val="auto"/>
        </w:rPr>
        <w:t>Severance expense recorded in fiscal 2020 related to the reduction, or planned reduction, of over 500 employees, primarily in executive management, operations, information technology, warehouse, sales and business support functions. Asset impairments relate primarily to software long-lived assets that were impaired as a result of the restructuring of information technology operations including the re-prioritization of information technology initiatives and resources. Of the $45.5 million in restructuring expenses recorded during fiscal 2020, $32.4 million related to EC, $10.2 million related to Farnell and $2.9 million related to Corporate. The Company expects the majority of the remaining amounts to be paid by the end of fiscal 2021.</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Fiscal 2019 and prior</w:t>
      </w:r>
    </w:p>
    <w:p>
      <w:pPr>
        <w:spacing w:after="0" w:line="225" w:lineRule="exact"/>
        <w:rPr>
          <w:sz w:val="20"/>
          <w:szCs w:val="20"/>
          <w:color w:val="auto"/>
        </w:rPr>
      </w:pPr>
    </w:p>
    <w:p>
      <w:pPr>
        <w:jc w:val="both"/>
        <w:ind w:left="60" w:right="279" w:firstLine="427"/>
        <w:spacing w:after="0" w:line="306" w:lineRule="auto"/>
        <w:rPr>
          <w:sz w:val="20"/>
          <w:szCs w:val="20"/>
          <w:color w:val="auto"/>
        </w:rPr>
      </w:pPr>
      <w:r>
        <w:rPr>
          <w:rFonts w:ascii="Arial" w:cs="Arial" w:eastAsia="Arial" w:hAnsi="Arial"/>
          <w:sz w:val="18"/>
          <w:szCs w:val="18"/>
          <w:color w:val="auto"/>
        </w:rPr>
        <w:t>During fiscal 2019 and prior, the Company incurred restructuring expenses related to various restructuring actions intended to achieve planned synergies from acquired businesses and to reduce future operating expenses. The following table presents the activity during fiscal 2020 related to the restructuring liabilities from continuing operations established during fiscal 2019 and prior:</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Facility</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and Contract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Severance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Exit Costs</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02"/>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8"/>
              </w:rPr>
              <w:t>(Thousands)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29, 2019</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26,918</w:t>
            </w:r>
          </w:p>
        </w:tc>
      </w:tr>
      <w:tr>
        <w:trPr>
          <w:trHeight w:val="216"/>
        </w:trPr>
        <w:tc>
          <w:tcPr>
            <w:tcW w:w="384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(17,730)</w:t>
            </w:r>
          </w:p>
        </w:tc>
      </w:tr>
      <w:tr>
        <w:trPr>
          <w:trHeight w:val="216"/>
        </w:trPr>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estimates, net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r>
      <w:tr>
        <w:trPr>
          <w:trHeight w:val="223"/>
        </w:trPr>
        <w:tc>
          <w:tcPr>
            <w:tcW w:w="3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principally foreign currency translation</w:t>
            </w: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r>
      <w:tr>
        <w:trPr>
          <w:trHeight w:val="216"/>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27, 2020</w:t>
            </w: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w:t>
            </w:r>
          </w:p>
        </w:tc>
      </w:tr>
      <w:tr>
        <w:trPr>
          <w:trHeight w:val="20"/>
        </w:trPr>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expects the majority of the remaining amounts to be paid by the end of fiscal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0" w:right="1539" w:hanging="426"/>
        <w:spacing w:after="0" w:line="29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189" w:lineRule="exact"/>
        <w:rPr>
          <w:sz w:val="20"/>
          <w:szCs w:val="20"/>
          <w:color w:val="auto"/>
        </w:rPr>
      </w:pPr>
    </w:p>
    <w:p>
      <w:pPr>
        <w:ind w:left="60" w:right="99" w:firstLine="427"/>
        <w:spacing w:after="0" w:line="269" w:lineRule="auto"/>
        <w:rPr>
          <w:sz w:val="20"/>
          <w:szCs w:val="20"/>
          <w:color w:val="auto"/>
        </w:rPr>
      </w:pPr>
      <w:r>
        <w:rPr>
          <w:rFonts w:ascii="Arial" w:cs="Arial" w:eastAsia="Arial" w:hAnsi="Arial"/>
          <w:sz w:val="17"/>
          <w:szCs w:val="17"/>
          <w:color w:val="auto"/>
        </w:rPr>
        <w:t>The Company’s management, including its Interim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report on Form 10-K. Based on such evaluation, the Interim Chief Executive Officer and Chief Financial Officer have concluded that, as of the end of the period covered by this report on Form 10-K,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ind w:left="60" w:right="119" w:firstLine="427"/>
        <w:spacing w:after="0" w:line="287" w:lineRule="auto"/>
        <w:rPr>
          <w:sz w:val="20"/>
          <w:szCs w:val="20"/>
          <w:color w:val="auto"/>
        </w:rPr>
      </w:pPr>
      <w:r>
        <w:rPr>
          <w:rFonts w:ascii="Arial" w:cs="Arial" w:eastAsia="Arial" w:hAnsi="Arial"/>
          <w:sz w:val="16"/>
          <w:szCs w:val="16"/>
          <w:color w:val="auto"/>
        </w:rPr>
        <w:t xml:space="preserve">The Company’s management, including its Interim Chief Executive Officer and Chief Financial Officer,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Because of inherent limitations, internal control over financial reporting may not prevent or detect misstatements. Also, controls may become inadequate because of changes in conditions, or the degree of compliance with policies or procedures may deteriorate. Management conducted an evaluation of the effectiveness of the Company’s internal control over financial reporting as of June 27, 2020. In making this assessment, management used the 2013 framework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the Company maintained effective internal control over financial reporting as of June 27, 2020.</w:t>
      </w:r>
    </w:p>
    <w:p>
      <w:pPr>
        <w:spacing w:after="0" w:line="131" w:lineRule="exact"/>
        <w:rPr>
          <w:sz w:val="20"/>
          <w:szCs w:val="20"/>
          <w:color w:val="auto"/>
        </w:rPr>
      </w:pPr>
    </w:p>
    <w:p>
      <w:pPr>
        <w:jc w:val="both"/>
        <w:ind w:left="60" w:right="439" w:firstLine="427"/>
        <w:spacing w:after="0" w:line="263" w:lineRule="auto"/>
        <w:rPr>
          <w:sz w:val="20"/>
          <w:szCs w:val="20"/>
          <w:color w:val="auto"/>
        </w:rPr>
      </w:pPr>
      <w:r>
        <w:rPr>
          <w:rFonts w:ascii="Arial" w:cs="Arial" w:eastAsia="Arial" w:hAnsi="Arial"/>
          <w:sz w:val="18"/>
          <w:szCs w:val="18"/>
          <w:color w:val="auto"/>
        </w:rPr>
        <w:t>The Company’s independent registered public accounting firm, KPMG LLP, has audited the effectiveness of the Company’s internal controls over financial reporting as of June 27, 2020, as stated in its audit report which is included herein.</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left="60" w:right="499" w:firstLine="427"/>
        <w:spacing w:after="0" w:line="286" w:lineRule="auto"/>
        <w:rPr>
          <w:sz w:val="20"/>
          <w:szCs w:val="20"/>
          <w:color w:val="auto"/>
        </w:rPr>
      </w:pPr>
      <w:r>
        <w:rPr>
          <w:rFonts w:ascii="Arial" w:cs="Arial" w:eastAsia="Arial" w:hAnsi="Arial"/>
          <w:sz w:val="17"/>
          <w:szCs w:val="17"/>
          <w:color w:val="auto"/>
        </w:rPr>
        <w:t>During the fourth quarter of fiscal 2020,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7" w:lineRule="exact"/>
        <w:rPr>
          <w:sz w:val="20"/>
          <w:szCs w:val="20"/>
          <w:color w:val="auto"/>
        </w:rPr>
      </w:pPr>
    </w:p>
    <w:p>
      <w:pPr>
        <w:ind w:left="60" w:right="219" w:firstLine="427"/>
        <w:spacing w:after="0" w:line="306" w:lineRule="auto"/>
        <w:rPr>
          <w:sz w:val="20"/>
          <w:szCs w:val="20"/>
          <w:color w:val="auto"/>
        </w:rPr>
      </w:pPr>
      <w:r>
        <w:rPr>
          <w:rFonts w:ascii="Arial" w:cs="Arial" w:eastAsia="Arial" w:hAnsi="Arial"/>
          <w:sz w:val="17"/>
          <w:szCs w:val="17"/>
          <w:color w:val="auto"/>
        </w:rPr>
        <w:t>The information called for by Item 10 is incorporated in this Report by reference to the Company’s definitive proxy statement relating to the Annual Meeting of Stockholders scheduled to be held on November 17, 2020.</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7" w:lineRule="exact"/>
        <w:rPr>
          <w:sz w:val="20"/>
          <w:szCs w:val="20"/>
          <w:color w:val="auto"/>
        </w:rPr>
      </w:pPr>
    </w:p>
    <w:p>
      <w:pPr>
        <w:ind w:left="60" w:right="219" w:firstLine="427"/>
        <w:spacing w:after="0" w:line="306" w:lineRule="auto"/>
        <w:rPr>
          <w:sz w:val="20"/>
          <w:szCs w:val="20"/>
          <w:color w:val="auto"/>
        </w:rPr>
      </w:pPr>
      <w:r>
        <w:rPr>
          <w:rFonts w:ascii="Arial" w:cs="Arial" w:eastAsia="Arial" w:hAnsi="Arial"/>
          <w:sz w:val="17"/>
          <w:szCs w:val="17"/>
          <w:color w:val="auto"/>
        </w:rPr>
        <w:t>The information called for by Item 11 is incorporated in this Report by reference to the Company’s definitive proxy statement relating to the Annual Meeting of Stockholders scheduled to be held on November 17, 2020.</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77" w:lineRule="exact"/>
        <w:rPr>
          <w:sz w:val="20"/>
          <w:szCs w:val="20"/>
          <w:color w:val="auto"/>
        </w:rPr>
      </w:pPr>
    </w:p>
    <w:p>
      <w:pPr>
        <w:ind w:left="60" w:right="219" w:firstLine="427"/>
        <w:spacing w:after="0" w:line="357" w:lineRule="auto"/>
        <w:rPr>
          <w:sz w:val="20"/>
          <w:szCs w:val="20"/>
          <w:color w:val="auto"/>
        </w:rPr>
      </w:pPr>
      <w:r>
        <w:rPr>
          <w:rFonts w:ascii="Arial" w:cs="Arial" w:eastAsia="Arial" w:hAnsi="Arial"/>
          <w:sz w:val="17"/>
          <w:szCs w:val="17"/>
          <w:color w:val="auto"/>
        </w:rPr>
        <w:t>The information called for by Item 12 is incorporated in this Report by reference to the Company’s definitive proxy statement relating to the Annual Meeting of Stockholders scheduled to be held on November 17, 2020.</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54" w:lineRule="exact"/>
        <w:rPr>
          <w:sz w:val="20"/>
          <w:szCs w:val="20"/>
          <w:color w:val="auto"/>
        </w:rPr>
      </w:pPr>
    </w:p>
    <w:p>
      <w:pPr>
        <w:ind w:left="60" w:right="219" w:firstLine="427"/>
        <w:spacing w:after="0" w:line="357" w:lineRule="auto"/>
        <w:rPr>
          <w:sz w:val="20"/>
          <w:szCs w:val="20"/>
          <w:color w:val="auto"/>
        </w:rPr>
      </w:pPr>
      <w:r>
        <w:rPr>
          <w:rFonts w:ascii="Arial" w:cs="Arial" w:eastAsia="Arial" w:hAnsi="Arial"/>
          <w:sz w:val="17"/>
          <w:szCs w:val="17"/>
          <w:color w:val="auto"/>
        </w:rPr>
        <w:t>The information called for by Item 13 is incorporated in this Report by reference to the Company’s definitive proxy statement relating to the Annual Meeting of Shareholders scheduled to be held on November 17, 2020.</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54" w:lineRule="exact"/>
        <w:rPr>
          <w:sz w:val="20"/>
          <w:szCs w:val="20"/>
          <w:color w:val="auto"/>
        </w:rPr>
      </w:pPr>
    </w:p>
    <w:p>
      <w:pPr>
        <w:ind w:left="60" w:right="219" w:firstLine="427"/>
        <w:spacing w:after="0" w:line="357" w:lineRule="auto"/>
        <w:rPr>
          <w:sz w:val="20"/>
          <w:szCs w:val="20"/>
          <w:color w:val="auto"/>
        </w:rPr>
      </w:pPr>
      <w:r>
        <w:rPr>
          <w:rFonts w:ascii="Arial" w:cs="Arial" w:eastAsia="Arial" w:hAnsi="Arial"/>
          <w:sz w:val="17"/>
          <w:szCs w:val="17"/>
          <w:color w:val="auto"/>
        </w:rPr>
        <w:t>The information called for by Item 14 is incorporated in this Report by reference to the Company’s definitive proxy statement relating to the Annual Meeting of Stockholders scheduled to be held on November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financial statements and supplementary data are listed in the index included under Item 8 of this Report.</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exhibits listed below are filed as part of this report.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00" w:type="dxa"/>
            <w:vAlign w:val="bottom"/>
            <w:gridSpan w:val="16"/>
          </w:tcPr>
          <w:p>
            <w:pPr>
              <w:ind w:left="11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10"/>
        </w:trPr>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Exhibit</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Number</w:t>
            </w:r>
          </w:p>
        </w:tc>
        <w:tc>
          <w:tcPr>
            <w:tcW w:w="7740" w:type="dxa"/>
            <w:vAlign w:val="bottom"/>
            <w:gridSpan w:val="18"/>
          </w:tcPr>
          <w:p>
            <w:pPr>
              <w:spacing w:after="0"/>
              <w:rPr>
                <w:sz w:val="20"/>
                <w:szCs w:val="20"/>
                <w:color w:val="auto"/>
              </w:rPr>
            </w:pPr>
            <w:r>
              <w:rPr>
                <w:rFonts w:ascii="Arial" w:cs="Arial" w:eastAsia="Arial" w:hAnsi="Arial"/>
                <w:sz w:val="16"/>
                <w:szCs w:val="16"/>
                <w:b w:val="1"/>
                <w:bCs w:val="1"/>
                <w:color w:val="auto"/>
              </w:rPr>
              <w:t>Exhibit</w:t>
            </w:r>
          </w:p>
        </w:tc>
        <w:tc>
          <w:tcPr>
            <w:tcW w:w="0" w:type="dxa"/>
            <w:vAlign w:val="bottom"/>
          </w:tcPr>
          <w:p>
            <w:pPr>
              <w:spacing w:after="0"/>
              <w:rPr>
                <w:sz w:val="1"/>
                <w:szCs w:val="1"/>
                <w:color w:val="auto"/>
              </w:rPr>
            </w:pPr>
          </w:p>
        </w:tc>
      </w:tr>
      <w:tr>
        <w:trPr>
          <w:trHeight w:val="361"/>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2.1</w:t>
            </w:r>
          </w:p>
        </w:tc>
        <w:tc>
          <w:tcPr>
            <w:tcW w:w="280" w:type="dxa"/>
            <w:vAlign w:val="bottom"/>
          </w:tcPr>
          <w:p>
            <w:pPr>
              <w:spacing w:after="0"/>
              <w:rPr>
                <w:sz w:val="24"/>
                <w:szCs w:val="24"/>
                <w:color w:val="auto"/>
              </w:rPr>
            </w:pPr>
          </w:p>
        </w:tc>
        <w:tc>
          <w:tcPr>
            <w:tcW w:w="7560" w:type="dxa"/>
            <w:vAlign w:val="bottom"/>
            <w:tcBorders>
              <w:top w:val="single" w:sz="8" w:color="auto"/>
              <w:bottom w:val="single" w:sz="8" w:color="0000EE"/>
            </w:tcBorders>
            <w:gridSpan w:val="13"/>
          </w:tcPr>
          <w:p>
            <w:pPr>
              <w:spacing w:after="0"/>
              <w:rPr>
                <w:rFonts w:ascii="Arial" w:cs="Arial" w:eastAsia="Arial" w:hAnsi="Arial"/>
                <w:sz w:val="16"/>
                <w:szCs w:val="16"/>
                <w:color w:val="0000EE"/>
                <w:w w:val="90"/>
              </w:rPr>
            </w:pPr>
            <w:hyperlink r:id="rId96">
              <w:r>
                <w:rPr>
                  <w:rFonts w:ascii="Arial" w:cs="Arial" w:eastAsia="Arial" w:hAnsi="Arial"/>
                  <w:sz w:val="16"/>
                  <w:szCs w:val="16"/>
                  <w:color w:val="0000EE"/>
                  <w:w w:val="90"/>
                </w:rPr>
                <w:t>Interest Purchase Agreement, dated as of September 19, 2016, by and among Avnet, Inc. and Tech Data Corporation</w:t>
              </w:r>
            </w:hyperlink>
          </w:p>
        </w:tc>
        <w:tc>
          <w:tcPr>
            <w:tcW w:w="180" w:type="dxa"/>
            <w:vAlign w:val="bottom"/>
            <w:tcBorders>
              <w:top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40" w:type="dxa"/>
            <w:vAlign w:val="bottom"/>
            <w:gridSpan w:val="18"/>
          </w:tcPr>
          <w:p>
            <w:pPr>
              <w:spacing w:after="0" w:line="183" w:lineRule="exact"/>
              <w:rPr>
                <w:rFonts w:ascii="Arial" w:cs="Arial" w:eastAsia="Arial" w:hAnsi="Arial"/>
                <w:sz w:val="16"/>
                <w:szCs w:val="16"/>
                <w:color w:val="0000EE"/>
                <w:w w:val="92"/>
              </w:rPr>
            </w:pPr>
            <w:hyperlink r:id="rId96">
              <w:r>
                <w:rPr>
                  <w:rFonts w:ascii="Arial" w:cs="Arial" w:eastAsia="Arial" w:hAnsi="Arial"/>
                  <w:sz w:val="16"/>
                  <w:szCs w:val="16"/>
                  <w:color w:val="0000EE"/>
                  <w:w w:val="92"/>
                </w:rPr>
                <w:t>(incorporated herein by reference to Exhibit 2.1 to the Company’s Current Report on Form 8-K filed on September 20,</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8"/>
              </w:rPr>
            </w:pPr>
            <w:hyperlink r:id="rId96">
              <w:r>
                <w:rPr>
                  <w:rFonts w:ascii="Arial" w:cs="Arial" w:eastAsia="Arial" w:hAnsi="Arial"/>
                  <w:sz w:val="16"/>
                  <w:szCs w:val="16"/>
                  <w:color w:val="0000EE"/>
                  <w:w w:val="88"/>
                </w:rPr>
                <w:t>2016).</w:t>
              </w:r>
            </w:hyperlink>
          </w:p>
        </w:tc>
        <w:tc>
          <w:tcPr>
            <w:tcW w:w="82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8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280" w:type="dxa"/>
            <w:vAlign w:val="bottom"/>
          </w:tcPr>
          <w:p>
            <w:pPr>
              <w:spacing w:after="0"/>
              <w:rPr>
                <w:sz w:val="24"/>
                <w:szCs w:val="24"/>
                <w:color w:val="auto"/>
              </w:rPr>
            </w:pPr>
          </w:p>
        </w:tc>
        <w:tc>
          <w:tcPr>
            <w:tcW w:w="7720" w:type="dxa"/>
            <w:vAlign w:val="bottom"/>
            <w:tcBorders>
              <w:bottom w:val="single" w:sz="8" w:color="0000EE"/>
            </w:tcBorders>
            <w:gridSpan w:val="17"/>
          </w:tcPr>
          <w:p>
            <w:pPr>
              <w:spacing w:after="0"/>
              <w:rPr>
                <w:rFonts w:ascii="Arial" w:cs="Arial" w:eastAsia="Arial" w:hAnsi="Arial"/>
                <w:sz w:val="16"/>
                <w:szCs w:val="16"/>
                <w:color w:val="0000EE"/>
                <w:w w:val="90"/>
              </w:rPr>
            </w:pPr>
            <w:hyperlink r:id="rId97">
              <w:r>
                <w:rPr>
                  <w:rFonts w:ascii="Arial" w:cs="Arial" w:eastAsia="Arial" w:hAnsi="Arial"/>
                  <w:sz w:val="16"/>
                  <w:szCs w:val="16"/>
                  <w:color w:val="0000EE"/>
                  <w:w w:val="90"/>
                </w:rPr>
                <w:t>First Amendment to Interest Purchase Agreement, dated as of February 27, 2017, by and between Avnet, Inc. and Tech</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40" w:type="dxa"/>
            <w:vAlign w:val="bottom"/>
            <w:gridSpan w:val="18"/>
          </w:tcPr>
          <w:p>
            <w:pPr>
              <w:spacing w:after="0" w:line="183" w:lineRule="exact"/>
              <w:rPr>
                <w:rFonts w:ascii="Arial" w:cs="Arial" w:eastAsia="Arial" w:hAnsi="Arial"/>
                <w:sz w:val="16"/>
                <w:szCs w:val="16"/>
                <w:color w:val="0000EE"/>
                <w:w w:val="93"/>
              </w:rPr>
            </w:pPr>
            <w:hyperlink r:id="rId97">
              <w:r>
                <w:rPr>
                  <w:rFonts w:ascii="Arial" w:cs="Arial" w:eastAsia="Arial" w:hAnsi="Arial"/>
                  <w:sz w:val="16"/>
                  <w:szCs w:val="16"/>
                  <w:color w:val="0000EE"/>
                  <w:w w:val="93"/>
                </w:rPr>
                <w:t>Data Corporation (incorporated herein by reference to Exhibit 2.2 to the Company’s Current Report on Form 8-K filed</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80" w:type="dxa"/>
            <w:vAlign w:val="bottom"/>
            <w:tcBorders>
              <w:top w:val="single" w:sz="8" w:color="0000EE"/>
            </w:tcBorders>
            <w:gridSpan w:val="15"/>
          </w:tcPr>
          <w:p>
            <w:pPr>
              <w:spacing w:after="0" w:line="183" w:lineRule="exact"/>
              <w:rPr>
                <w:rFonts w:ascii="Arial" w:cs="Arial" w:eastAsia="Arial" w:hAnsi="Arial"/>
                <w:sz w:val="16"/>
                <w:szCs w:val="16"/>
                <w:color w:val="0000EE"/>
              </w:rPr>
            </w:pPr>
            <w:hyperlink r:id="rId97">
              <w:r>
                <w:rPr>
                  <w:rFonts w:ascii="Arial" w:cs="Arial" w:eastAsia="Arial" w:hAnsi="Arial"/>
                  <w:sz w:val="16"/>
                  <w:szCs w:val="16"/>
                  <w:color w:val="0000EE"/>
                </w:rPr>
                <w:t>on March 3, 2017).</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280" w:type="dxa"/>
            <w:vAlign w:val="bottom"/>
          </w:tcPr>
          <w:p>
            <w:pPr>
              <w:spacing w:after="0"/>
              <w:rPr>
                <w:sz w:val="24"/>
                <w:szCs w:val="24"/>
                <w:color w:val="auto"/>
              </w:rPr>
            </w:pPr>
          </w:p>
        </w:tc>
        <w:tc>
          <w:tcPr>
            <w:tcW w:w="7740" w:type="dxa"/>
            <w:vAlign w:val="bottom"/>
            <w:gridSpan w:val="18"/>
          </w:tcPr>
          <w:p>
            <w:pPr>
              <w:spacing w:after="0"/>
              <w:rPr>
                <w:rFonts w:ascii="Arial" w:cs="Arial" w:eastAsia="Arial" w:hAnsi="Arial"/>
                <w:sz w:val="16"/>
                <w:szCs w:val="16"/>
                <w:color w:val="0000EE"/>
              </w:rPr>
            </w:pPr>
            <w:hyperlink r:id="rId98">
              <w:r>
                <w:rPr>
                  <w:rFonts w:ascii="Arial" w:cs="Arial" w:eastAsia="Arial" w:hAnsi="Arial"/>
                  <w:sz w:val="16"/>
                  <w:szCs w:val="16"/>
                  <w:color w:val="0000EE"/>
                </w:rPr>
                <w:t>Restated Certificate of Incorporation of the Company (incorporated herein by reference to Exhibit 3(i) to the</w:t>
              </w:r>
            </w:hyperlink>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20" w:type="dxa"/>
            <w:vAlign w:val="bottom"/>
            <w:tcBorders>
              <w:top w:val="single" w:sz="8" w:color="0000EE"/>
            </w:tcBorders>
            <w:gridSpan w:val="9"/>
          </w:tcPr>
          <w:p>
            <w:pPr>
              <w:spacing w:after="0" w:line="183" w:lineRule="exact"/>
              <w:rPr>
                <w:rFonts w:ascii="Arial" w:cs="Arial" w:eastAsia="Arial" w:hAnsi="Arial"/>
                <w:sz w:val="16"/>
                <w:szCs w:val="16"/>
                <w:color w:val="0000EE"/>
              </w:rPr>
            </w:pPr>
            <w:hyperlink r:id="rId98">
              <w:r>
                <w:rPr>
                  <w:rFonts w:ascii="Arial" w:cs="Arial" w:eastAsia="Arial" w:hAnsi="Arial"/>
                  <w:sz w:val="16"/>
                  <w:szCs w:val="16"/>
                  <w:color w:val="0000EE"/>
                </w:rPr>
                <w:t>Company’s Current Report on Form 8-K filed on February 12, 2001).</w:t>
              </w:r>
            </w:hyperlink>
          </w:p>
        </w:tc>
        <w:tc>
          <w:tcPr>
            <w:tcW w:w="7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9"/>
              </w:rPr>
              <w:t>3.2</w:t>
            </w:r>
          </w:p>
        </w:tc>
        <w:tc>
          <w:tcPr>
            <w:tcW w:w="2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tcBorders>
              <w:bottom w:val="single" w:sz="8" w:color="0000EE"/>
            </w:tcBorders>
            <w:gridSpan w:val="18"/>
          </w:tcPr>
          <w:p>
            <w:pPr>
              <w:spacing w:after="0"/>
              <w:rPr>
                <w:rFonts w:ascii="Arial" w:cs="Arial" w:eastAsia="Arial" w:hAnsi="Arial"/>
                <w:sz w:val="16"/>
                <w:szCs w:val="16"/>
                <w:color w:val="0000EE"/>
                <w:w w:val="96"/>
              </w:rPr>
            </w:pPr>
            <w:hyperlink r:id="rId99">
              <w:r>
                <w:rPr>
                  <w:rFonts w:ascii="Arial" w:cs="Arial" w:eastAsia="Arial" w:hAnsi="Arial"/>
                  <w:sz w:val="16"/>
                  <w:szCs w:val="16"/>
                  <w:color w:val="0000EE"/>
                  <w:w w:val="96"/>
                </w:rPr>
                <w:t>By-laws of the Company, effective May 9, 2014 (incorporated herein by reference to Exhibit 3.1 to the Company’s</w:t>
              </w:r>
            </w:hyperlink>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40" w:type="dxa"/>
            <w:vAlign w:val="bottom"/>
            <w:gridSpan w:val="18"/>
          </w:tcPr>
          <w:p>
            <w:pPr>
              <w:spacing w:after="0"/>
              <w:rPr>
                <w:rFonts w:ascii="Arial" w:cs="Arial" w:eastAsia="Arial" w:hAnsi="Arial"/>
                <w:sz w:val="16"/>
                <w:szCs w:val="16"/>
                <w:color w:val="0000EE"/>
              </w:rPr>
            </w:pPr>
            <w:hyperlink r:id="rId99">
              <w:r>
                <w:rPr>
                  <w:rFonts w:ascii="Arial" w:cs="Arial" w:eastAsia="Arial" w:hAnsi="Arial"/>
                  <w:sz w:val="16"/>
                  <w:szCs w:val="16"/>
                  <w:color w:val="0000EE"/>
                </w:rPr>
                <w:t>Current Report on Form 8-K filed on May 12, 2014).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280" w:type="dxa"/>
            <w:vAlign w:val="bottom"/>
          </w:tcPr>
          <w:p>
            <w:pPr>
              <w:spacing w:after="0"/>
              <w:rPr>
                <w:sz w:val="24"/>
                <w:szCs w:val="24"/>
                <w:color w:val="auto"/>
              </w:rPr>
            </w:pPr>
          </w:p>
        </w:tc>
        <w:tc>
          <w:tcPr>
            <w:tcW w:w="7740" w:type="dxa"/>
            <w:vAlign w:val="bottom"/>
            <w:tcBorders>
              <w:bottom w:val="single" w:sz="8" w:color="0000EE"/>
            </w:tcBorders>
            <w:gridSpan w:val="18"/>
          </w:tcPr>
          <w:p>
            <w:pPr>
              <w:spacing w:after="0"/>
              <w:rPr>
                <w:rFonts w:ascii="Arial" w:cs="Arial" w:eastAsia="Arial" w:hAnsi="Arial"/>
                <w:sz w:val="16"/>
                <w:szCs w:val="16"/>
                <w:color w:val="0000EE"/>
                <w:w w:val="92"/>
              </w:rPr>
            </w:pPr>
            <w:hyperlink r:id="rId100">
              <w:r>
                <w:rPr>
                  <w:rFonts w:ascii="Arial" w:cs="Arial" w:eastAsia="Arial" w:hAnsi="Arial"/>
                  <w:sz w:val="16"/>
                  <w:szCs w:val="16"/>
                  <w:color w:val="0000EE"/>
                  <w:w w:val="92"/>
                </w:rPr>
                <w:t>Description of Registrant’s Securities (incorporated herein by reference to Exhibit 4.1 to the Company’s Annual Report</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tcBorders>
              <w:bottom w:val="single" w:sz="8" w:color="0000EE"/>
            </w:tcBorders>
            <w:gridSpan w:val="3"/>
          </w:tcPr>
          <w:p>
            <w:pPr>
              <w:spacing w:after="0" w:line="183" w:lineRule="exact"/>
              <w:rPr>
                <w:rFonts w:ascii="Arial" w:cs="Arial" w:eastAsia="Arial" w:hAnsi="Arial"/>
                <w:sz w:val="16"/>
                <w:szCs w:val="16"/>
                <w:color w:val="0000EE"/>
                <w:w w:val="93"/>
              </w:rPr>
            </w:pPr>
            <w:hyperlink r:id="rId100">
              <w:r>
                <w:rPr>
                  <w:rFonts w:ascii="Arial" w:cs="Arial" w:eastAsia="Arial" w:hAnsi="Arial"/>
                  <w:sz w:val="16"/>
                  <w:szCs w:val="16"/>
                  <w:color w:val="0000EE"/>
                  <w:w w:val="93"/>
                </w:rPr>
                <w:t>on Form 10-K filed on August 15, 2019).</w:t>
              </w:r>
            </w:hyperlink>
          </w:p>
        </w:tc>
        <w:tc>
          <w:tcPr>
            <w:tcW w:w="506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280" w:type="dxa"/>
            <w:vAlign w:val="bottom"/>
          </w:tcPr>
          <w:p>
            <w:pPr>
              <w:spacing w:after="0"/>
              <w:rPr>
                <w:sz w:val="24"/>
                <w:szCs w:val="24"/>
                <w:color w:val="auto"/>
              </w:rPr>
            </w:pPr>
          </w:p>
        </w:tc>
        <w:tc>
          <w:tcPr>
            <w:tcW w:w="7540" w:type="dxa"/>
            <w:vAlign w:val="bottom"/>
            <w:tcBorders>
              <w:bottom w:val="single" w:sz="8" w:color="0000EE"/>
            </w:tcBorders>
            <w:gridSpan w:val="12"/>
          </w:tcPr>
          <w:p>
            <w:pPr>
              <w:spacing w:after="0"/>
              <w:rPr>
                <w:rFonts w:ascii="Arial" w:cs="Arial" w:eastAsia="Arial" w:hAnsi="Arial"/>
                <w:sz w:val="16"/>
                <w:szCs w:val="16"/>
                <w:color w:val="0000EE"/>
                <w:w w:val="90"/>
              </w:rPr>
            </w:pPr>
            <w:hyperlink r:id="rId101">
              <w:r>
                <w:rPr>
                  <w:rFonts w:ascii="Arial" w:cs="Arial" w:eastAsia="Arial" w:hAnsi="Arial"/>
                  <w:sz w:val="16"/>
                  <w:szCs w:val="16"/>
                  <w:color w:val="0000EE"/>
                  <w:w w:val="90"/>
                </w:rPr>
                <w:t>Indenture dated as of June 22, 2010, between the Company and Wells Fargo Bank, National Association, as Trustee,</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0" w:type="dxa"/>
            <w:vAlign w:val="bottom"/>
            <w:tcBorders>
              <w:bottom w:val="single" w:sz="8" w:color="0000EE"/>
            </w:tcBorders>
            <w:gridSpan w:val="14"/>
          </w:tcPr>
          <w:p>
            <w:pPr>
              <w:spacing w:after="0" w:line="183" w:lineRule="exact"/>
              <w:rPr>
                <w:rFonts w:ascii="Arial" w:cs="Arial" w:eastAsia="Arial" w:hAnsi="Arial"/>
                <w:sz w:val="16"/>
                <w:szCs w:val="16"/>
                <w:color w:val="0000EE"/>
                <w:w w:val="92"/>
              </w:rPr>
            </w:pPr>
            <w:hyperlink r:id="rId101">
              <w:r>
                <w:rPr>
                  <w:rFonts w:ascii="Arial" w:cs="Arial" w:eastAsia="Arial" w:hAnsi="Arial"/>
                  <w:sz w:val="16"/>
                  <w:szCs w:val="16"/>
                  <w:color w:val="0000EE"/>
                  <w:w w:val="92"/>
                </w:rPr>
                <w:t>providing for the issuance of Debt Securities in one or more series (incorporated herein by reference to Exhibit 4.1 to</w:t>
              </w:r>
            </w:hyperlink>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Borders>
              <w:bottom w:val="single" w:sz="8" w:color="0000EE"/>
            </w:tcBorders>
            <w:gridSpan w:val="5"/>
          </w:tcPr>
          <w:p>
            <w:pPr>
              <w:spacing w:after="0" w:line="183" w:lineRule="exact"/>
              <w:rPr>
                <w:rFonts w:ascii="Arial" w:cs="Arial" w:eastAsia="Arial" w:hAnsi="Arial"/>
                <w:sz w:val="16"/>
                <w:szCs w:val="16"/>
                <w:color w:val="0000EE"/>
                <w:w w:val="92"/>
              </w:rPr>
            </w:pPr>
            <w:hyperlink r:id="rId101">
              <w:r>
                <w:rPr>
                  <w:rFonts w:ascii="Arial" w:cs="Arial" w:eastAsia="Arial" w:hAnsi="Arial"/>
                  <w:sz w:val="16"/>
                  <w:szCs w:val="16"/>
                  <w:color w:val="0000EE"/>
                  <w:w w:val="92"/>
                </w:rPr>
                <w:t>the Company’s Current Report on Form 8-K filed on June 22, 2010).</w:t>
              </w:r>
            </w:hyperlink>
          </w:p>
        </w:tc>
        <w:tc>
          <w:tcPr>
            <w:tcW w:w="32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8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280" w:type="dxa"/>
            <w:vAlign w:val="bottom"/>
          </w:tcPr>
          <w:p>
            <w:pPr>
              <w:spacing w:after="0"/>
              <w:rPr>
                <w:sz w:val="24"/>
                <w:szCs w:val="24"/>
                <w:color w:val="auto"/>
              </w:rPr>
            </w:pPr>
          </w:p>
        </w:tc>
        <w:tc>
          <w:tcPr>
            <w:tcW w:w="7740" w:type="dxa"/>
            <w:vAlign w:val="bottom"/>
            <w:gridSpan w:val="18"/>
          </w:tcPr>
          <w:p>
            <w:pPr>
              <w:spacing w:after="0"/>
              <w:rPr>
                <w:rFonts w:ascii="Arial" w:cs="Arial" w:eastAsia="Arial" w:hAnsi="Arial"/>
                <w:sz w:val="16"/>
                <w:szCs w:val="16"/>
                <w:color w:val="0000EE"/>
                <w:w w:val="92"/>
              </w:rPr>
            </w:pPr>
            <w:hyperlink r:id="rId102">
              <w:r>
                <w:rPr>
                  <w:rFonts w:ascii="Arial" w:cs="Arial" w:eastAsia="Arial" w:hAnsi="Arial"/>
                  <w:sz w:val="16"/>
                  <w:szCs w:val="16"/>
                  <w:color w:val="0000EE"/>
                  <w:w w:val="92"/>
                </w:rPr>
                <w:t>Form of Officers’ Certificate establishing the terms of the 4.875% Notes due 2022 (incorporated herein by reference to</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78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3"/>
              </w:rPr>
            </w:pPr>
            <w:hyperlink r:id="rId102">
              <w:r>
                <w:rPr>
                  <w:rFonts w:ascii="Arial" w:cs="Arial" w:eastAsia="Arial" w:hAnsi="Arial"/>
                  <w:sz w:val="16"/>
                  <w:szCs w:val="16"/>
                  <w:color w:val="0000EE"/>
                  <w:w w:val="93"/>
                </w:rPr>
                <w:t>Exhibit 4.1 to the Company’s Current Report on Form 8-K filed on November 21, 2012).</w:t>
              </w:r>
            </w:hyperlink>
          </w:p>
        </w:tc>
        <w:tc>
          <w:tcPr>
            <w:tcW w:w="1920" w:type="dxa"/>
            <w:vAlign w:val="bottom"/>
            <w:tcBorders>
              <w:top w:val="single" w:sz="8" w:color="0000EE"/>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88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280" w:type="dxa"/>
            <w:vAlign w:val="bottom"/>
          </w:tcPr>
          <w:p>
            <w:pPr>
              <w:spacing w:after="0"/>
              <w:rPr>
                <w:sz w:val="24"/>
                <w:szCs w:val="24"/>
                <w:color w:val="auto"/>
              </w:rPr>
            </w:pPr>
          </w:p>
        </w:tc>
        <w:tc>
          <w:tcPr>
            <w:tcW w:w="7740" w:type="dxa"/>
            <w:vAlign w:val="bottom"/>
            <w:gridSpan w:val="18"/>
          </w:tcPr>
          <w:p>
            <w:pPr>
              <w:spacing w:after="0"/>
              <w:rPr>
                <w:rFonts w:ascii="Arial" w:cs="Arial" w:eastAsia="Arial" w:hAnsi="Arial"/>
                <w:sz w:val="16"/>
                <w:szCs w:val="16"/>
                <w:color w:val="0000EE"/>
                <w:w w:val="92"/>
              </w:rPr>
            </w:pPr>
            <w:hyperlink r:id="rId103">
              <w:r>
                <w:rPr>
                  <w:rFonts w:ascii="Arial" w:cs="Arial" w:eastAsia="Arial" w:hAnsi="Arial"/>
                  <w:sz w:val="16"/>
                  <w:szCs w:val="16"/>
                  <w:color w:val="0000EE"/>
                  <w:w w:val="92"/>
                </w:rPr>
                <w:t>Form of Officers’ Certificate establishing the terms of the 4.625% Notes due 2026 (incorporated herein by reference to</w:t>
              </w:r>
            </w:hyperlink>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52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3"/>
              </w:rPr>
            </w:pPr>
            <w:hyperlink r:id="rId103">
              <w:r>
                <w:rPr>
                  <w:rFonts w:ascii="Arial" w:cs="Arial" w:eastAsia="Arial" w:hAnsi="Arial"/>
                  <w:sz w:val="16"/>
                  <w:szCs w:val="16"/>
                  <w:color w:val="0000EE"/>
                  <w:w w:val="93"/>
                </w:rPr>
                <w:t>Exhibit 4.1 to the Company’s Current Report on Form 8-K filed on March 22, 2016).</w:t>
              </w:r>
            </w:hyperlink>
          </w:p>
        </w:tc>
        <w:tc>
          <w:tcPr>
            <w:tcW w:w="2180" w:type="dxa"/>
            <w:vAlign w:val="bottom"/>
            <w:tcBorders>
              <w:top w:val="single" w:sz="8" w:color="0000EE"/>
            </w:tcBorders>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88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280" w:type="dxa"/>
            <w:vAlign w:val="bottom"/>
          </w:tcPr>
          <w:p>
            <w:pPr>
              <w:spacing w:after="0"/>
              <w:rPr>
                <w:sz w:val="24"/>
                <w:szCs w:val="24"/>
                <w:color w:val="auto"/>
              </w:rPr>
            </w:pPr>
          </w:p>
        </w:tc>
        <w:tc>
          <w:tcPr>
            <w:tcW w:w="7720" w:type="dxa"/>
            <w:vAlign w:val="bottom"/>
            <w:tcBorders>
              <w:bottom w:val="single" w:sz="8" w:color="0000EE"/>
            </w:tcBorders>
            <w:gridSpan w:val="17"/>
          </w:tcPr>
          <w:p>
            <w:pPr>
              <w:spacing w:after="0"/>
              <w:rPr>
                <w:rFonts w:ascii="Arial" w:cs="Arial" w:eastAsia="Arial" w:hAnsi="Arial"/>
                <w:sz w:val="16"/>
                <w:szCs w:val="16"/>
                <w:color w:val="0000EE"/>
                <w:w w:val="92"/>
              </w:rPr>
            </w:pPr>
            <w:hyperlink r:id="rId104">
              <w:r>
                <w:rPr>
                  <w:rFonts w:ascii="Arial" w:cs="Arial" w:eastAsia="Arial" w:hAnsi="Arial"/>
                  <w:sz w:val="16"/>
                  <w:szCs w:val="16"/>
                  <w:color w:val="0000EE"/>
                  <w:w w:val="92"/>
                </w:rPr>
                <w:t>Form of Officers’ Certificate setting forth the terms of the 3.750% Notes due 2021 (incorporated herein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Borders>
              <w:bottom w:val="single" w:sz="8" w:color="0000EE"/>
            </w:tcBorders>
            <w:gridSpan w:val="7"/>
          </w:tcPr>
          <w:p>
            <w:pPr>
              <w:spacing w:after="0" w:line="183" w:lineRule="exact"/>
              <w:rPr>
                <w:rFonts w:ascii="Arial" w:cs="Arial" w:eastAsia="Arial" w:hAnsi="Arial"/>
                <w:sz w:val="16"/>
                <w:szCs w:val="16"/>
                <w:color w:val="0000EE"/>
                <w:w w:val="92"/>
              </w:rPr>
            </w:pPr>
            <w:hyperlink r:id="rId104">
              <w:r>
                <w:rPr>
                  <w:rFonts w:ascii="Arial" w:cs="Arial" w:eastAsia="Arial" w:hAnsi="Arial"/>
                  <w:sz w:val="16"/>
                  <w:szCs w:val="16"/>
                  <w:color w:val="0000EE"/>
                  <w:w w:val="92"/>
                </w:rPr>
                <w:t>Exhibit 4.1 to the Company’s Current Report on Form 8-K filed on December 1, 2016).</w:t>
              </w:r>
            </w:hyperlink>
          </w:p>
        </w:tc>
        <w:tc>
          <w:tcPr>
            <w:tcW w:w="20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gridSpan w:val="18"/>
          </w:tcPr>
          <w:p>
            <w:pPr>
              <w:spacing w:after="0"/>
              <w:rPr>
                <w:sz w:val="20"/>
                <w:szCs w:val="20"/>
                <w:color w:val="auto"/>
              </w:rPr>
            </w:pPr>
            <w:r>
              <w:rPr>
                <w:rFonts w:ascii="Arial" w:cs="Arial" w:eastAsia="Arial" w:hAnsi="Arial"/>
                <w:sz w:val="16"/>
                <w:szCs w:val="16"/>
                <w:color w:val="auto"/>
                <w:w w:val="96"/>
              </w:rPr>
              <w:t>Note: The total amount of securities authorized under any other instrument that defines the rights of holders of the</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gridSpan w:val="18"/>
          </w:tcPr>
          <w:p>
            <w:pPr>
              <w:spacing w:after="0"/>
              <w:rPr>
                <w:sz w:val="20"/>
                <w:szCs w:val="20"/>
                <w:color w:val="auto"/>
              </w:rPr>
            </w:pPr>
            <w:r>
              <w:rPr>
                <w:rFonts w:ascii="Arial" w:cs="Arial" w:eastAsia="Arial" w:hAnsi="Arial"/>
                <w:sz w:val="16"/>
                <w:szCs w:val="16"/>
                <w:color w:val="auto"/>
              </w:rPr>
              <w:t>Company’s long-term debt does not exceed 10% of the total assets of the Company and its subsidiaries on a</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gridSpan w:val="18"/>
          </w:tcPr>
          <w:p>
            <w:pPr>
              <w:spacing w:after="0"/>
              <w:rPr>
                <w:sz w:val="20"/>
                <w:szCs w:val="20"/>
                <w:color w:val="auto"/>
              </w:rPr>
            </w:pPr>
            <w:r>
              <w:rPr>
                <w:rFonts w:ascii="Arial" w:cs="Arial" w:eastAsia="Arial" w:hAnsi="Arial"/>
                <w:sz w:val="16"/>
                <w:szCs w:val="16"/>
                <w:color w:val="auto"/>
                <w:w w:val="93"/>
              </w:rPr>
              <w:t>consolidated basis. Therefore, these instruments are not required to be filed as exhibits to this Report. The Company</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gridSpan w:val="18"/>
          </w:tcPr>
          <w:p>
            <w:pPr>
              <w:spacing w:after="0"/>
              <w:rPr>
                <w:sz w:val="20"/>
                <w:szCs w:val="20"/>
                <w:color w:val="auto"/>
              </w:rPr>
            </w:pPr>
            <w:r>
              <w:rPr>
                <w:rFonts w:ascii="Arial" w:cs="Arial" w:eastAsia="Arial" w:hAnsi="Arial"/>
                <w:sz w:val="16"/>
                <w:szCs w:val="16"/>
                <w:color w:val="auto"/>
              </w:rPr>
              <w:t>agrees to furnish copies of such instruments to the Commission upon request.</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40" w:type="dxa"/>
            <w:vAlign w:val="bottom"/>
            <w:gridSpan w:val="18"/>
          </w:tcPr>
          <w:p>
            <w:pPr>
              <w:spacing w:after="0"/>
              <w:rPr>
                <w:sz w:val="20"/>
                <w:szCs w:val="20"/>
                <w:color w:val="auto"/>
              </w:rPr>
            </w:pPr>
            <w:r>
              <w:rPr>
                <w:rFonts w:ascii="Arial" w:cs="Arial" w:eastAsia="Arial" w:hAnsi="Arial"/>
                <w:sz w:val="16"/>
                <w:szCs w:val="16"/>
                <w:b w:val="1"/>
                <w:bCs w:val="1"/>
                <w:color w:val="auto"/>
              </w:rPr>
              <w:t>Executive Compensation Plans and Arrangements</w:t>
            </w:r>
          </w:p>
        </w:tc>
        <w:tc>
          <w:tcPr>
            <w:tcW w:w="0" w:type="dxa"/>
            <w:vAlign w:val="bottom"/>
          </w:tcPr>
          <w:p>
            <w:pPr>
              <w:spacing w:after="0"/>
              <w:rPr>
                <w:sz w:val="1"/>
                <w:szCs w:val="1"/>
                <w:color w:val="auto"/>
              </w:rPr>
            </w:pPr>
          </w:p>
        </w:tc>
      </w:tr>
      <w:tr>
        <w:trPr>
          <w:trHeight w:val="371"/>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80" w:type="dxa"/>
            <w:vAlign w:val="bottom"/>
          </w:tcPr>
          <w:p>
            <w:pPr>
              <w:spacing w:after="0"/>
              <w:rPr>
                <w:sz w:val="24"/>
                <w:szCs w:val="24"/>
                <w:color w:val="auto"/>
              </w:rPr>
            </w:pPr>
          </w:p>
        </w:tc>
        <w:tc>
          <w:tcPr>
            <w:tcW w:w="7220" w:type="dxa"/>
            <w:vAlign w:val="bottom"/>
            <w:tcBorders>
              <w:bottom w:val="single" w:sz="8" w:color="0000EE"/>
            </w:tcBorders>
            <w:gridSpan w:val="10"/>
          </w:tcPr>
          <w:p>
            <w:pPr>
              <w:spacing w:after="0"/>
              <w:rPr>
                <w:rFonts w:ascii="Arial" w:cs="Arial" w:eastAsia="Arial" w:hAnsi="Arial"/>
                <w:sz w:val="16"/>
                <w:szCs w:val="16"/>
                <w:color w:val="0000EE"/>
                <w:w w:val="91"/>
              </w:rPr>
            </w:pPr>
            <w:hyperlink r:id="rId105">
              <w:r>
                <w:rPr>
                  <w:rFonts w:ascii="Arial" w:cs="Arial" w:eastAsia="Arial" w:hAnsi="Arial"/>
                  <w:sz w:val="16"/>
                  <w:szCs w:val="16"/>
                  <w:color w:val="0000EE"/>
                  <w:w w:val="91"/>
                </w:rPr>
                <w:t>Letter Agreement between the Company and William Amelio dated September 1, 2016 (incorporated herein by</w:t>
              </w:r>
            </w:hyperlink>
          </w:p>
        </w:tc>
        <w:tc>
          <w:tcPr>
            <w:tcW w:w="5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40" w:type="dxa"/>
            <w:vAlign w:val="bottom"/>
            <w:gridSpan w:val="18"/>
          </w:tcPr>
          <w:p>
            <w:pPr>
              <w:spacing w:after="0"/>
              <w:rPr>
                <w:rFonts w:ascii="Arial" w:cs="Arial" w:eastAsia="Arial" w:hAnsi="Arial"/>
                <w:sz w:val="16"/>
                <w:szCs w:val="16"/>
                <w:u w:val="single" w:color="auto"/>
                <w:color w:val="0000EE"/>
              </w:rPr>
            </w:pPr>
            <w:hyperlink r:id="rId105">
              <w:r>
                <w:rPr>
                  <w:rFonts w:ascii="Arial" w:cs="Arial" w:eastAsia="Arial" w:hAnsi="Arial"/>
                  <w:sz w:val="16"/>
                  <w:szCs w:val="16"/>
                  <w:u w:val="single" w:color="auto"/>
                  <w:color w:val="0000EE"/>
                </w:rPr>
                <w:t>reference to Exhibit 10.1 to the Company’s Current Report on Form 8-K filed on September 7, 2016).</w:t>
              </w:r>
            </w:hyperlink>
          </w:p>
        </w:tc>
        <w:tc>
          <w:tcPr>
            <w:tcW w:w="0" w:type="dxa"/>
            <w:vAlign w:val="bottom"/>
          </w:tcPr>
          <w:p>
            <w:pPr>
              <w:spacing w:after="0"/>
              <w:rPr>
                <w:sz w:val="1"/>
                <w:szCs w:val="1"/>
                <w:color w:val="auto"/>
              </w:rPr>
            </w:pPr>
          </w:p>
        </w:tc>
      </w:tr>
      <w:tr>
        <w:trPr>
          <w:trHeight w:val="384"/>
        </w:trPr>
        <w:tc>
          <w:tcPr>
            <w:tcW w:w="8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280" w:type="dxa"/>
            <w:vAlign w:val="bottom"/>
          </w:tcPr>
          <w:p>
            <w:pPr>
              <w:spacing w:after="0"/>
              <w:rPr>
                <w:sz w:val="24"/>
                <w:szCs w:val="24"/>
                <w:color w:val="auto"/>
              </w:rPr>
            </w:pPr>
          </w:p>
        </w:tc>
        <w:tc>
          <w:tcPr>
            <w:tcW w:w="7740" w:type="dxa"/>
            <w:vAlign w:val="bottom"/>
            <w:gridSpan w:val="18"/>
          </w:tcPr>
          <w:p>
            <w:pPr>
              <w:spacing w:after="0"/>
              <w:rPr>
                <w:rFonts w:ascii="Arial" w:cs="Arial" w:eastAsia="Arial" w:hAnsi="Arial"/>
                <w:sz w:val="16"/>
                <w:szCs w:val="16"/>
                <w:color w:val="0000EE"/>
                <w:w w:val="97"/>
              </w:rPr>
            </w:pPr>
            <w:hyperlink r:id="rId106">
              <w:r>
                <w:rPr>
                  <w:rFonts w:ascii="Arial" w:cs="Arial" w:eastAsia="Arial" w:hAnsi="Arial"/>
                  <w:sz w:val="16"/>
                  <w:szCs w:val="16"/>
                  <w:color w:val="0000EE"/>
                  <w:w w:val="97"/>
                </w:rPr>
                <w:t>Letter Agreement between the Company and Thomas Liguori dated December 25, 2017 (incorporated herein by</w:t>
              </w:r>
            </w:hyperlink>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60" w:type="dxa"/>
            <w:vAlign w:val="bottom"/>
            <w:tcBorders>
              <w:top w:val="single" w:sz="8" w:color="0000EE"/>
            </w:tcBorders>
            <w:gridSpan w:val="11"/>
          </w:tcPr>
          <w:p>
            <w:pPr>
              <w:spacing w:after="0"/>
              <w:rPr>
                <w:rFonts w:ascii="Arial" w:cs="Arial" w:eastAsia="Arial" w:hAnsi="Arial"/>
                <w:sz w:val="16"/>
                <w:szCs w:val="16"/>
                <w:u w:val="single" w:color="auto"/>
                <w:color w:val="0000EE"/>
              </w:rPr>
            </w:pPr>
            <w:hyperlink r:id="rId106">
              <w:r>
                <w:rPr>
                  <w:rFonts w:ascii="Arial" w:cs="Arial" w:eastAsia="Arial" w:hAnsi="Arial"/>
                  <w:sz w:val="16"/>
                  <w:szCs w:val="16"/>
                  <w:u w:val="single" w:color="auto"/>
                  <w:color w:val="0000EE"/>
                </w:rPr>
                <w:t>reference to Exhibit 10.2 to the Company’s Current Report on Form 8-K filed on December 28, 2017).</w:t>
              </w:r>
            </w:hyperlink>
          </w:p>
        </w:tc>
        <w:tc>
          <w:tcPr>
            <w:tcW w:w="4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900" w:type="dxa"/>
            <w:vAlign w:val="bottom"/>
          </w:tcPr>
          <w:p>
            <w:pPr>
              <w:jc w:val="center"/>
              <w:ind w:right="459"/>
              <w:spacing w:after="0"/>
              <w:rPr>
                <w:sz w:val="20"/>
                <w:szCs w:val="20"/>
                <w:color w:val="auto"/>
              </w:rPr>
            </w:pPr>
            <w:r>
              <w:rPr>
                <w:rFonts w:ascii="Arial" w:cs="Arial" w:eastAsia="Arial" w:hAnsi="Arial"/>
                <w:sz w:val="16"/>
                <w:szCs w:val="16"/>
                <w:color w:val="auto"/>
                <w:w w:val="89"/>
              </w:rPr>
              <w:t>10.3</w:t>
            </w:r>
          </w:p>
        </w:tc>
        <w:tc>
          <w:tcPr>
            <w:tcW w:w="7740" w:type="dxa"/>
            <w:vAlign w:val="bottom"/>
            <w:gridSpan w:val="29"/>
          </w:tcPr>
          <w:p>
            <w:pPr>
              <w:spacing w:after="0"/>
              <w:rPr>
                <w:rFonts w:ascii="Arial" w:cs="Arial" w:eastAsia="Arial" w:hAnsi="Arial"/>
                <w:sz w:val="16"/>
                <w:szCs w:val="16"/>
                <w:color w:val="0000EE"/>
                <w:w w:val="97"/>
              </w:rPr>
            </w:pPr>
            <w:hyperlink r:id="rId108">
              <w:r>
                <w:rPr>
                  <w:rFonts w:ascii="Arial" w:cs="Arial" w:eastAsia="Arial" w:hAnsi="Arial"/>
                  <w:sz w:val="16"/>
                  <w:szCs w:val="16"/>
                  <w:color w:val="0000EE"/>
                  <w:w w:val="97"/>
                </w:rPr>
                <w:t>Form of Letter Agreement between the Company and Ken Arnold, Peter Bartolotta, Philip Gallagher and Michael</w:t>
              </w:r>
            </w:hyperlink>
          </w:p>
        </w:tc>
      </w:tr>
      <w:tr>
        <w:trPr>
          <w:trHeight w:val="20"/>
        </w:trPr>
        <w:tc>
          <w:tcPr>
            <w:tcW w:w="9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w w:val="97"/>
              </w:rPr>
            </w:pPr>
            <w:hyperlink r:id="rId108">
              <w:r>
                <w:rPr>
                  <w:rFonts w:ascii="Arial" w:cs="Arial" w:eastAsia="Arial" w:hAnsi="Arial"/>
                  <w:sz w:val="16"/>
                  <w:szCs w:val="16"/>
                  <w:color w:val="0000EE"/>
                  <w:w w:val="97"/>
                </w:rPr>
                <w:t>McCoy (incorporated herein by reference to Exhibit 10.2 to the Company’s Annual Report on Form 10-K filed on</w:t>
              </w:r>
            </w:hyperlink>
          </w:p>
        </w:tc>
      </w:tr>
      <w:tr>
        <w:trPr>
          <w:trHeight w:val="183"/>
        </w:trPr>
        <w:tc>
          <w:tcPr>
            <w:tcW w:w="900" w:type="dxa"/>
            <w:vAlign w:val="bottom"/>
          </w:tcPr>
          <w:p>
            <w:pPr>
              <w:spacing w:after="0"/>
              <w:rPr>
                <w:sz w:val="15"/>
                <w:szCs w:val="15"/>
                <w:color w:val="auto"/>
              </w:rPr>
            </w:pPr>
          </w:p>
        </w:tc>
        <w:tc>
          <w:tcPr>
            <w:tcW w:w="7380" w:type="dxa"/>
            <w:vAlign w:val="bottom"/>
            <w:tcBorders>
              <w:top w:val="single" w:sz="8" w:color="0000EE"/>
            </w:tcBorders>
            <w:gridSpan w:val="21"/>
          </w:tcPr>
          <w:p>
            <w:pPr>
              <w:spacing w:after="0" w:line="183" w:lineRule="exact"/>
              <w:rPr>
                <w:rFonts w:ascii="Arial" w:cs="Arial" w:eastAsia="Arial" w:hAnsi="Arial"/>
                <w:sz w:val="16"/>
                <w:szCs w:val="16"/>
                <w:color w:val="0000EE"/>
              </w:rPr>
            </w:pPr>
            <w:hyperlink r:id="rId108">
              <w:r>
                <w:rPr>
                  <w:rFonts w:ascii="Arial" w:cs="Arial" w:eastAsia="Arial" w:hAnsi="Arial"/>
                  <w:sz w:val="16"/>
                  <w:szCs w:val="16"/>
                  <w:color w:val="0000EE"/>
                </w:rPr>
                <w:t>August 17, 2017).</w:t>
              </w:r>
            </w:hyperlink>
          </w:p>
        </w:tc>
        <w:tc>
          <w:tcPr>
            <w:tcW w:w="360" w:type="dxa"/>
            <w:vAlign w:val="bottom"/>
            <w:gridSpan w:val="8"/>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ind w:right="459"/>
              <w:spacing w:after="0"/>
              <w:rPr>
                <w:sz w:val="20"/>
                <w:szCs w:val="20"/>
                <w:color w:val="auto"/>
              </w:rPr>
            </w:pPr>
            <w:r>
              <w:rPr>
                <w:rFonts w:ascii="Arial" w:cs="Arial" w:eastAsia="Arial" w:hAnsi="Arial"/>
                <w:sz w:val="16"/>
                <w:szCs w:val="16"/>
                <w:color w:val="auto"/>
                <w:w w:val="89"/>
              </w:rPr>
              <w:t>10.4</w:t>
            </w:r>
          </w:p>
        </w:tc>
        <w:tc>
          <w:tcPr>
            <w:tcW w:w="7440" w:type="dxa"/>
            <w:vAlign w:val="bottom"/>
            <w:tcBorders>
              <w:bottom w:val="single" w:sz="8" w:color="0000EE"/>
            </w:tcBorders>
            <w:gridSpan w:val="24"/>
          </w:tcPr>
          <w:p>
            <w:pPr>
              <w:spacing w:after="0"/>
              <w:rPr>
                <w:rFonts w:ascii="Arial" w:cs="Arial" w:eastAsia="Arial" w:hAnsi="Arial"/>
                <w:sz w:val="16"/>
                <w:szCs w:val="16"/>
                <w:color w:val="0000EE"/>
                <w:w w:val="93"/>
              </w:rPr>
            </w:pPr>
            <w:hyperlink r:id="rId109">
              <w:r>
                <w:rPr>
                  <w:rFonts w:ascii="Arial" w:cs="Arial" w:eastAsia="Arial" w:hAnsi="Arial"/>
                  <w:sz w:val="16"/>
                  <w:szCs w:val="16"/>
                  <w:color w:val="0000EE"/>
                  <w:w w:val="93"/>
                </w:rPr>
                <w:t>Form of Employment Agreement between the Company and MaryAnn Miller (incorporated herein by reference to</w:t>
              </w:r>
            </w:hyperlink>
          </w:p>
        </w:tc>
        <w:tc>
          <w:tcPr>
            <w:tcW w:w="300" w:type="dxa"/>
            <w:vAlign w:val="bottom"/>
            <w:gridSpan w:val="5"/>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5620" w:type="dxa"/>
            <w:vAlign w:val="bottom"/>
            <w:tcBorders>
              <w:bottom w:val="single" w:sz="8" w:color="0000EE"/>
            </w:tcBorders>
            <w:gridSpan w:val="14"/>
          </w:tcPr>
          <w:p>
            <w:pPr>
              <w:spacing w:after="0" w:line="183" w:lineRule="exact"/>
              <w:rPr>
                <w:rFonts w:ascii="Arial" w:cs="Arial" w:eastAsia="Arial" w:hAnsi="Arial"/>
                <w:sz w:val="16"/>
                <w:szCs w:val="16"/>
                <w:color w:val="0000EE"/>
                <w:w w:val="93"/>
              </w:rPr>
            </w:pPr>
            <w:hyperlink r:id="rId109">
              <w:r>
                <w:rPr>
                  <w:rFonts w:ascii="Arial" w:cs="Arial" w:eastAsia="Arial" w:hAnsi="Arial"/>
                  <w:sz w:val="16"/>
                  <w:szCs w:val="16"/>
                  <w:color w:val="0000EE"/>
                  <w:w w:val="93"/>
                </w:rPr>
                <w:t>Exhibit 10.3 to the Company’s Annual Report on Form 10-K filed on August 9, 2013).</w:t>
              </w:r>
            </w:hyperlink>
          </w:p>
        </w:tc>
        <w:tc>
          <w:tcPr>
            <w:tcW w:w="2120" w:type="dxa"/>
            <w:vAlign w:val="bottom"/>
            <w:gridSpan w:val="15"/>
          </w:tcPr>
          <w:p>
            <w:pPr>
              <w:spacing w:after="0"/>
              <w:rPr>
                <w:sz w:val="15"/>
                <w:szCs w:val="15"/>
                <w:color w:val="auto"/>
              </w:rPr>
            </w:pPr>
          </w:p>
        </w:tc>
      </w:tr>
      <w:tr>
        <w:trPr>
          <w:trHeight w:val="398"/>
        </w:trPr>
        <w:tc>
          <w:tcPr>
            <w:tcW w:w="900" w:type="dxa"/>
            <w:vAlign w:val="bottom"/>
          </w:tcPr>
          <w:p>
            <w:pPr>
              <w:jc w:val="center"/>
              <w:ind w:right="459"/>
              <w:spacing w:after="0"/>
              <w:rPr>
                <w:sz w:val="20"/>
                <w:szCs w:val="20"/>
                <w:color w:val="auto"/>
              </w:rPr>
            </w:pPr>
            <w:r>
              <w:rPr>
                <w:rFonts w:ascii="Arial" w:cs="Arial" w:eastAsia="Arial" w:hAnsi="Arial"/>
                <w:sz w:val="16"/>
                <w:szCs w:val="16"/>
                <w:color w:val="auto"/>
                <w:w w:val="89"/>
              </w:rPr>
              <w:t>10.5</w:t>
            </w:r>
          </w:p>
        </w:tc>
        <w:tc>
          <w:tcPr>
            <w:tcW w:w="7420" w:type="dxa"/>
            <w:vAlign w:val="bottom"/>
            <w:tcBorders>
              <w:bottom w:val="single" w:sz="8" w:color="0000EE"/>
            </w:tcBorders>
            <w:gridSpan w:val="23"/>
          </w:tcPr>
          <w:p>
            <w:pPr>
              <w:spacing w:after="0"/>
              <w:rPr>
                <w:rFonts w:ascii="Arial" w:cs="Arial" w:eastAsia="Arial" w:hAnsi="Arial"/>
                <w:sz w:val="16"/>
                <w:szCs w:val="16"/>
                <w:color w:val="0000EE"/>
                <w:w w:val="93"/>
              </w:rPr>
            </w:pPr>
            <w:hyperlink r:id="rId110">
              <w:r>
                <w:rPr>
                  <w:rFonts w:ascii="Arial" w:cs="Arial" w:eastAsia="Arial" w:hAnsi="Arial"/>
                  <w:sz w:val="16"/>
                  <w:szCs w:val="16"/>
                  <w:color w:val="0000EE"/>
                  <w:w w:val="93"/>
                </w:rPr>
                <w:t>Form of Change of Control Agreement between the Company and William Amelio, Thomas Liguori, Ken Arnold,</w:t>
              </w:r>
            </w:hyperlink>
          </w:p>
        </w:tc>
        <w:tc>
          <w:tcPr>
            <w:tcW w:w="320" w:type="dxa"/>
            <w:vAlign w:val="bottom"/>
            <w:gridSpan w:val="6"/>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580" w:type="dxa"/>
            <w:vAlign w:val="bottom"/>
            <w:tcBorders>
              <w:bottom w:val="single" w:sz="8" w:color="0000EE"/>
            </w:tcBorders>
            <w:gridSpan w:val="26"/>
          </w:tcPr>
          <w:p>
            <w:pPr>
              <w:spacing w:after="0" w:line="183" w:lineRule="exact"/>
              <w:rPr>
                <w:rFonts w:ascii="Arial" w:cs="Arial" w:eastAsia="Arial" w:hAnsi="Arial"/>
                <w:sz w:val="16"/>
                <w:szCs w:val="16"/>
                <w:color w:val="0000EE"/>
                <w:w w:val="93"/>
              </w:rPr>
            </w:pPr>
            <w:hyperlink r:id="rId110">
              <w:r>
                <w:rPr>
                  <w:rFonts w:ascii="Arial" w:cs="Arial" w:eastAsia="Arial" w:hAnsi="Arial"/>
                  <w:sz w:val="16"/>
                  <w:szCs w:val="16"/>
                  <w:color w:val="0000EE"/>
                  <w:w w:val="93"/>
                </w:rPr>
                <w:t>Peter Bartolotta, Philip Gallagher, Michael McCoy and MaryAnn Miller (incorporated herein by reference to Exhibit</w:t>
              </w:r>
            </w:hyperlink>
          </w:p>
        </w:tc>
        <w:tc>
          <w:tcPr>
            <w:tcW w:w="160" w:type="dxa"/>
            <w:vAlign w:val="bottom"/>
            <w:gridSpan w:val="3"/>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rPr>
            </w:pPr>
            <w:hyperlink r:id="rId110">
              <w:r>
                <w:rPr>
                  <w:rFonts w:ascii="Arial" w:cs="Arial" w:eastAsia="Arial" w:hAnsi="Arial"/>
                  <w:sz w:val="16"/>
                  <w:szCs w:val="16"/>
                  <w:color w:val="0000EE"/>
                </w:rPr>
                <w:t>10.</w:t>
              </w:r>
              <w:r>
                <w:rPr>
                  <w:rFonts w:ascii="Arial" w:cs="Arial" w:eastAsia="Arial" w:hAnsi="Arial"/>
                  <w:sz w:val="16"/>
                  <w:szCs w:val="16"/>
                  <w:u w:val="single" w:color="auto"/>
                  <w:color w:val="0000EE"/>
                </w:rPr>
                <w:t>3</w:t>
              </w:r>
              <w:r>
                <w:rPr>
                  <w:rFonts w:ascii="Arial" w:cs="Arial" w:eastAsia="Arial" w:hAnsi="Arial"/>
                  <w:sz w:val="16"/>
                  <w:szCs w:val="16"/>
                  <w:color w:val="0000EE"/>
                </w:rPr>
                <w:t xml:space="preserve"> to the Company’s Current Report on Form 8-K filed on February 15, 2011).</w:t>
              </w:r>
            </w:hyperlink>
          </w:p>
        </w:tc>
      </w:tr>
      <w:tr>
        <w:trPr>
          <w:trHeight w:val="20"/>
        </w:trPr>
        <w:tc>
          <w:tcPr>
            <w:tcW w:w="9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900" w:type="dxa"/>
            <w:vAlign w:val="bottom"/>
          </w:tcPr>
          <w:p>
            <w:pPr>
              <w:jc w:val="center"/>
              <w:ind w:right="459"/>
              <w:spacing w:after="0"/>
              <w:rPr>
                <w:sz w:val="20"/>
                <w:szCs w:val="20"/>
                <w:color w:val="auto"/>
              </w:rPr>
            </w:pPr>
            <w:r>
              <w:rPr>
                <w:rFonts w:ascii="Arial" w:cs="Arial" w:eastAsia="Arial" w:hAnsi="Arial"/>
                <w:sz w:val="16"/>
                <w:szCs w:val="16"/>
                <w:color w:val="auto"/>
                <w:w w:val="89"/>
              </w:rPr>
              <w:t>10.6</w:t>
            </w:r>
          </w:p>
        </w:tc>
        <w:tc>
          <w:tcPr>
            <w:tcW w:w="7740" w:type="dxa"/>
            <w:vAlign w:val="bottom"/>
            <w:tcBorders>
              <w:bottom w:val="single" w:sz="8" w:color="0000EE"/>
            </w:tcBorders>
            <w:gridSpan w:val="29"/>
          </w:tcPr>
          <w:p>
            <w:pPr>
              <w:spacing w:after="0"/>
              <w:rPr>
                <w:rFonts w:ascii="Arial" w:cs="Arial" w:eastAsia="Arial" w:hAnsi="Arial"/>
                <w:sz w:val="16"/>
                <w:szCs w:val="16"/>
                <w:color w:val="0000EE"/>
                <w:w w:val="91"/>
              </w:rPr>
            </w:pPr>
            <w:hyperlink r:id="rId111">
              <w:r>
                <w:rPr>
                  <w:rFonts w:ascii="Arial" w:cs="Arial" w:eastAsia="Arial" w:hAnsi="Arial"/>
                  <w:sz w:val="16"/>
                  <w:szCs w:val="16"/>
                  <w:color w:val="0000EE"/>
                  <w:w w:val="91"/>
                </w:rPr>
                <w:t>Form of Indemnity Agreement between the Company and its directors and officers (incorporated herein by reference to</w:t>
              </w:r>
            </w:hyperlink>
          </w:p>
        </w:tc>
      </w:tr>
      <w:tr>
        <w:trPr>
          <w:trHeight w:val="183"/>
        </w:trPr>
        <w:tc>
          <w:tcPr>
            <w:tcW w:w="900" w:type="dxa"/>
            <w:vAlign w:val="bottom"/>
          </w:tcPr>
          <w:p>
            <w:pPr>
              <w:spacing w:after="0"/>
              <w:rPr>
                <w:sz w:val="15"/>
                <w:szCs w:val="15"/>
                <w:color w:val="auto"/>
              </w:rPr>
            </w:pPr>
          </w:p>
        </w:tc>
        <w:tc>
          <w:tcPr>
            <w:tcW w:w="5600" w:type="dxa"/>
            <w:vAlign w:val="bottom"/>
            <w:tcBorders>
              <w:bottom w:val="single" w:sz="8" w:color="0000EE"/>
            </w:tcBorders>
            <w:gridSpan w:val="13"/>
          </w:tcPr>
          <w:p>
            <w:pPr>
              <w:spacing w:after="0" w:line="183" w:lineRule="exact"/>
              <w:rPr>
                <w:rFonts w:ascii="Arial" w:cs="Arial" w:eastAsia="Arial" w:hAnsi="Arial"/>
                <w:sz w:val="16"/>
                <w:szCs w:val="16"/>
                <w:color w:val="0000EE"/>
                <w:w w:val="93"/>
              </w:rPr>
            </w:pPr>
            <w:hyperlink r:id="rId111">
              <w:r>
                <w:rPr>
                  <w:rFonts w:ascii="Arial" w:cs="Arial" w:eastAsia="Arial" w:hAnsi="Arial"/>
                  <w:sz w:val="16"/>
                  <w:szCs w:val="16"/>
                  <w:color w:val="0000EE"/>
                  <w:w w:val="93"/>
                </w:rPr>
                <w:t>Exhibit 10.1 to the Company’s Quarterly Report on Form 10-Q filed on May 8, 2006).</w:t>
              </w:r>
            </w:hyperlink>
          </w:p>
        </w:tc>
        <w:tc>
          <w:tcPr>
            <w:tcW w:w="2140" w:type="dxa"/>
            <w:vAlign w:val="bottom"/>
            <w:gridSpan w:val="16"/>
          </w:tcPr>
          <w:p>
            <w:pPr>
              <w:spacing w:after="0"/>
              <w:rPr>
                <w:sz w:val="15"/>
                <w:szCs w:val="15"/>
                <w:color w:val="auto"/>
              </w:rPr>
            </w:pPr>
          </w:p>
        </w:tc>
      </w:tr>
      <w:tr>
        <w:trPr>
          <w:trHeight w:val="398"/>
        </w:trPr>
        <w:tc>
          <w:tcPr>
            <w:tcW w:w="900" w:type="dxa"/>
            <w:vAlign w:val="bottom"/>
          </w:tcPr>
          <w:p>
            <w:pPr>
              <w:jc w:val="center"/>
              <w:ind w:right="459"/>
              <w:spacing w:after="0"/>
              <w:rPr>
                <w:sz w:val="20"/>
                <w:szCs w:val="20"/>
                <w:color w:val="auto"/>
              </w:rPr>
            </w:pPr>
            <w:r>
              <w:rPr>
                <w:rFonts w:ascii="Arial" w:cs="Arial" w:eastAsia="Arial" w:hAnsi="Arial"/>
                <w:sz w:val="16"/>
                <w:szCs w:val="16"/>
                <w:color w:val="auto"/>
                <w:w w:val="89"/>
              </w:rPr>
              <w:t>10.7</w:t>
            </w:r>
          </w:p>
        </w:tc>
        <w:tc>
          <w:tcPr>
            <w:tcW w:w="7700" w:type="dxa"/>
            <w:vAlign w:val="bottom"/>
            <w:tcBorders>
              <w:bottom w:val="single" w:sz="8" w:color="0000EE"/>
            </w:tcBorders>
            <w:gridSpan w:val="28"/>
          </w:tcPr>
          <w:p>
            <w:pPr>
              <w:spacing w:after="0"/>
              <w:rPr>
                <w:rFonts w:ascii="Arial" w:cs="Arial" w:eastAsia="Arial" w:hAnsi="Arial"/>
                <w:sz w:val="16"/>
                <w:szCs w:val="16"/>
                <w:color w:val="0000EE"/>
                <w:w w:val="92"/>
              </w:rPr>
            </w:pPr>
            <w:hyperlink r:id="rId112">
              <w:r>
                <w:rPr>
                  <w:rFonts w:ascii="Arial" w:cs="Arial" w:eastAsia="Arial" w:hAnsi="Arial"/>
                  <w:sz w:val="16"/>
                  <w:szCs w:val="16"/>
                  <w:color w:val="0000EE"/>
                  <w:w w:val="92"/>
                </w:rPr>
                <w:t>Avnet Executive Severance Plan (Effective as of August 10, 2017) (incorporated herein by reference to Exhibit 10.1 to</w:t>
              </w:r>
            </w:hyperlink>
          </w:p>
        </w:tc>
        <w:tc>
          <w:tcPr>
            <w:tcW w:w="40" w:type="dxa"/>
            <w:vAlign w:val="bottom"/>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rPr>
            </w:pPr>
            <w:hyperlink r:id="rId112">
              <w:r>
                <w:rPr>
                  <w:rFonts w:ascii="Arial" w:cs="Arial" w:eastAsia="Arial" w:hAnsi="Arial"/>
                  <w:sz w:val="16"/>
                  <w:szCs w:val="16"/>
                  <w:color w:val="0000EE"/>
                </w:rPr>
                <w:t>the Company’s Quarterly Report on Form 10-Q filed on October 30, 2017).</w:t>
              </w:r>
            </w:hyperlink>
          </w:p>
        </w:tc>
      </w:tr>
      <w:tr>
        <w:trPr>
          <w:trHeight w:val="20"/>
        </w:trPr>
        <w:tc>
          <w:tcPr>
            <w:tcW w:w="9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8"/>
        </w:trPr>
        <w:tc>
          <w:tcPr>
            <w:tcW w:w="900" w:type="dxa"/>
            <w:vAlign w:val="bottom"/>
          </w:tcPr>
          <w:p>
            <w:pPr>
              <w:jc w:val="center"/>
              <w:ind w:right="459"/>
              <w:spacing w:after="0"/>
              <w:rPr>
                <w:sz w:val="20"/>
                <w:szCs w:val="20"/>
                <w:color w:val="auto"/>
              </w:rPr>
            </w:pPr>
            <w:r>
              <w:rPr>
                <w:rFonts w:ascii="Arial" w:cs="Arial" w:eastAsia="Arial" w:hAnsi="Arial"/>
                <w:sz w:val="16"/>
                <w:szCs w:val="16"/>
                <w:color w:val="auto"/>
                <w:w w:val="89"/>
              </w:rPr>
              <w:t>10.8</w:t>
            </w:r>
          </w:p>
        </w:tc>
        <w:tc>
          <w:tcPr>
            <w:tcW w:w="7400" w:type="dxa"/>
            <w:vAlign w:val="bottom"/>
            <w:tcBorders>
              <w:bottom w:val="single" w:sz="8" w:color="0000EE"/>
            </w:tcBorders>
            <w:gridSpan w:val="22"/>
          </w:tcPr>
          <w:p>
            <w:pPr>
              <w:spacing w:after="0"/>
              <w:rPr>
                <w:rFonts w:ascii="Arial" w:cs="Arial" w:eastAsia="Arial" w:hAnsi="Arial"/>
                <w:sz w:val="16"/>
                <w:szCs w:val="16"/>
                <w:color w:val="0000EE"/>
                <w:w w:val="91"/>
              </w:rPr>
            </w:pPr>
            <w:hyperlink r:id="rId113">
              <w:r>
                <w:rPr>
                  <w:rFonts w:ascii="Arial" w:cs="Arial" w:eastAsia="Arial" w:hAnsi="Arial"/>
                  <w:sz w:val="16"/>
                  <w:szCs w:val="16"/>
                  <w:color w:val="0000EE"/>
                  <w:w w:val="91"/>
                </w:rPr>
                <w:t>Avnet Supplemental Executive Officers’ Retirement Plan (2013 Restatement) (incorporated herein by reference to</w:t>
              </w:r>
            </w:hyperlink>
          </w:p>
        </w:tc>
        <w:tc>
          <w:tcPr>
            <w:tcW w:w="340" w:type="dxa"/>
            <w:vAlign w:val="bottom"/>
            <w:gridSpan w:val="7"/>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5700" w:type="dxa"/>
            <w:vAlign w:val="bottom"/>
            <w:tcBorders>
              <w:bottom w:val="single" w:sz="8" w:color="0000EE"/>
            </w:tcBorders>
            <w:gridSpan w:val="15"/>
          </w:tcPr>
          <w:p>
            <w:pPr>
              <w:spacing w:after="0" w:line="183" w:lineRule="exact"/>
              <w:rPr>
                <w:rFonts w:ascii="Arial" w:cs="Arial" w:eastAsia="Arial" w:hAnsi="Arial"/>
                <w:sz w:val="16"/>
                <w:szCs w:val="16"/>
                <w:color w:val="0000EE"/>
                <w:w w:val="93"/>
              </w:rPr>
            </w:pPr>
            <w:hyperlink r:id="rId113">
              <w:r>
                <w:rPr>
                  <w:rFonts w:ascii="Arial" w:cs="Arial" w:eastAsia="Arial" w:hAnsi="Arial"/>
                  <w:sz w:val="16"/>
                  <w:szCs w:val="16"/>
                  <w:color w:val="0000EE"/>
                  <w:w w:val="93"/>
                </w:rPr>
                <w:t>Exhibit 10.13 to the Company’s Annual Report on Form 10-K filed on August 9, 2013).</w:t>
              </w:r>
            </w:hyperlink>
          </w:p>
        </w:tc>
        <w:tc>
          <w:tcPr>
            <w:tcW w:w="2040" w:type="dxa"/>
            <w:vAlign w:val="bottom"/>
            <w:gridSpan w:val="14"/>
          </w:tcPr>
          <w:p>
            <w:pPr>
              <w:spacing w:after="0"/>
              <w:rPr>
                <w:sz w:val="15"/>
                <w:szCs w:val="15"/>
                <w:color w:val="auto"/>
              </w:rPr>
            </w:pPr>
          </w:p>
        </w:tc>
      </w:tr>
      <w:tr>
        <w:trPr>
          <w:trHeight w:val="385"/>
        </w:trPr>
        <w:tc>
          <w:tcPr>
            <w:tcW w:w="900" w:type="dxa"/>
            <w:vAlign w:val="bottom"/>
          </w:tcPr>
          <w:p>
            <w:pPr>
              <w:jc w:val="center"/>
              <w:ind w:right="459"/>
              <w:spacing w:after="0"/>
              <w:rPr>
                <w:sz w:val="20"/>
                <w:szCs w:val="20"/>
                <w:color w:val="auto"/>
              </w:rPr>
            </w:pPr>
            <w:r>
              <w:rPr>
                <w:rFonts w:ascii="Arial" w:cs="Arial" w:eastAsia="Arial" w:hAnsi="Arial"/>
                <w:sz w:val="16"/>
                <w:szCs w:val="16"/>
                <w:color w:val="auto"/>
                <w:w w:val="89"/>
              </w:rPr>
              <w:t>10.9</w:t>
            </w:r>
          </w:p>
        </w:tc>
        <w:tc>
          <w:tcPr>
            <w:tcW w:w="7740" w:type="dxa"/>
            <w:vAlign w:val="bottom"/>
            <w:gridSpan w:val="29"/>
          </w:tcPr>
          <w:p>
            <w:pPr>
              <w:spacing w:after="0"/>
              <w:rPr>
                <w:rFonts w:ascii="Arial" w:cs="Arial" w:eastAsia="Arial" w:hAnsi="Arial"/>
                <w:sz w:val="16"/>
                <w:szCs w:val="16"/>
                <w:color w:val="0000EE"/>
                <w:w w:val="97"/>
              </w:rPr>
            </w:pPr>
            <w:hyperlink r:id="rId114">
              <w:r>
                <w:rPr>
                  <w:rFonts w:ascii="Arial" w:cs="Arial" w:eastAsia="Arial" w:hAnsi="Arial"/>
                  <w:sz w:val="16"/>
                  <w:szCs w:val="16"/>
                  <w:color w:val="0000EE"/>
                  <w:w w:val="97"/>
                </w:rPr>
                <w:t>Avnet Restoration Plan (2013 Restatement) (incorporated herein by reference to Exhibit 10.14 to the Company’s</w:t>
              </w:r>
            </w:hyperlink>
          </w:p>
        </w:tc>
      </w:tr>
      <w:tr>
        <w:trPr>
          <w:trHeight w:val="183"/>
        </w:trPr>
        <w:tc>
          <w:tcPr>
            <w:tcW w:w="900" w:type="dxa"/>
            <w:vAlign w:val="bottom"/>
          </w:tcPr>
          <w:p>
            <w:pPr>
              <w:spacing w:after="0"/>
              <w:rPr>
                <w:sz w:val="15"/>
                <w:szCs w:val="15"/>
                <w:color w:val="auto"/>
              </w:rPr>
            </w:pPr>
          </w:p>
        </w:tc>
        <w:tc>
          <w:tcPr>
            <w:tcW w:w="3600" w:type="dxa"/>
            <w:vAlign w:val="bottom"/>
            <w:tcBorders>
              <w:top w:val="single" w:sz="8" w:color="0000EE"/>
              <w:bottom w:val="single" w:sz="8" w:color="0000EE"/>
            </w:tcBorders>
            <w:gridSpan w:val="9"/>
          </w:tcPr>
          <w:p>
            <w:pPr>
              <w:spacing w:after="0" w:line="183" w:lineRule="exact"/>
              <w:rPr>
                <w:rFonts w:ascii="Arial" w:cs="Arial" w:eastAsia="Arial" w:hAnsi="Arial"/>
                <w:sz w:val="16"/>
                <w:szCs w:val="16"/>
                <w:color w:val="0000EE"/>
                <w:w w:val="93"/>
              </w:rPr>
            </w:pPr>
            <w:hyperlink r:id="rId114">
              <w:r>
                <w:rPr>
                  <w:rFonts w:ascii="Arial" w:cs="Arial" w:eastAsia="Arial" w:hAnsi="Arial"/>
                  <w:sz w:val="16"/>
                  <w:szCs w:val="16"/>
                  <w:color w:val="0000EE"/>
                  <w:w w:val="93"/>
                </w:rPr>
                <w:t>Annual Report on Form 10-K filed on August 9, 2013).</w:t>
              </w:r>
            </w:hyperlink>
          </w:p>
        </w:tc>
        <w:tc>
          <w:tcPr>
            <w:tcW w:w="3680" w:type="dxa"/>
            <w:vAlign w:val="bottom"/>
            <w:tcBorders>
              <w:top w:val="single" w:sz="8" w:color="0000EE"/>
            </w:tcBorders>
            <w:gridSpan w:val="11"/>
          </w:tcPr>
          <w:p>
            <w:pPr>
              <w:spacing w:after="0"/>
              <w:rPr>
                <w:sz w:val="15"/>
                <w:szCs w:val="15"/>
                <w:color w:val="auto"/>
              </w:rPr>
            </w:pPr>
          </w:p>
        </w:tc>
        <w:tc>
          <w:tcPr>
            <w:tcW w:w="460" w:type="dxa"/>
            <w:vAlign w:val="bottom"/>
            <w:gridSpan w:val="9"/>
          </w:tcPr>
          <w:p>
            <w:pPr>
              <w:spacing w:after="0"/>
              <w:rPr>
                <w:sz w:val="15"/>
                <w:szCs w:val="15"/>
                <w:color w:val="auto"/>
              </w:rPr>
            </w:pPr>
          </w:p>
        </w:tc>
      </w:tr>
      <w:tr>
        <w:trPr>
          <w:trHeight w:val="385"/>
        </w:trPr>
        <w:tc>
          <w:tcPr>
            <w:tcW w:w="900" w:type="dxa"/>
            <w:vAlign w:val="bottom"/>
          </w:tcPr>
          <w:p>
            <w:pPr>
              <w:jc w:val="center"/>
              <w:ind w:right="459"/>
              <w:spacing w:after="0"/>
              <w:rPr>
                <w:sz w:val="20"/>
                <w:szCs w:val="20"/>
                <w:color w:val="auto"/>
              </w:rPr>
            </w:pPr>
            <w:r>
              <w:rPr>
                <w:rFonts w:ascii="Arial" w:cs="Arial" w:eastAsia="Arial" w:hAnsi="Arial"/>
                <w:sz w:val="16"/>
                <w:szCs w:val="16"/>
                <w:color w:val="auto"/>
                <w:w w:val="89"/>
              </w:rPr>
              <w:t>10.10</w:t>
            </w:r>
          </w:p>
        </w:tc>
        <w:tc>
          <w:tcPr>
            <w:tcW w:w="7180" w:type="dxa"/>
            <w:vAlign w:val="bottom"/>
            <w:tcBorders>
              <w:bottom w:val="single" w:sz="8" w:color="0000EE"/>
            </w:tcBorders>
            <w:gridSpan w:val="18"/>
          </w:tcPr>
          <w:p>
            <w:pPr>
              <w:spacing w:after="0"/>
              <w:rPr>
                <w:rFonts w:ascii="Arial" w:cs="Arial" w:eastAsia="Arial" w:hAnsi="Arial"/>
                <w:sz w:val="16"/>
                <w:szCs w:val="16"/>
                <w:color w:val="0000EE"/>
                <w:w w:val="91"/>
              </w:rPr>
            </w:pPr>
            <w:hyperlink r:id="rId115">
              <w:r>
                <w:rPr>
                  <w:rFonts w:ascii="Arial" w:cs="Arial" w:eastAsia="Arial" w:hAnsi="Arial"/>
                  <w:sz w:val="16"/>
                  <w:szCs w:val="16"/>
                  <w:color w:val="0000EE"/>
                  <w:w w:val="91"/>
                </w:rPr>
                <w:t>Avnet, Inc. 2006 Stock Compensation Plan (Amended and Restated Effective Generally as of January 1, 2009)</w:t>
              </w:r>
            </w:hyperlink>
          </w:p>
        </w:tc>
        <w:tc>
          <w:tcPr>
            <w:tcW w:w="560" w:type="dxa"/>
            <w:vAlign w:val="bottom"/>
            <w:gridSpan w:val="11"/>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w w:val="95"/>
              </w:rPr>
            </w:pPr>
            <w:hyperlink r:id="rId115">
              <w:r>
                <w:rPr>
                  <w:rFonts w:ascii="Arial" w:cs="Arial" w:eastAsia="Arial" w:hAnsi="Arial"/>
                  <w:sz w:val="16"/>
                  <w:szCs w:val="16"/>
                  <w:color w:val="0000EE"/>
                  <w:w w:val="95"/>
                </w:rPr>
                <w:t>(incorporated herein by reference to Exhibit 10.5 to the Company’s Current Report on Form 8-K filed on August 13,</w:t>
              </w:r>
            </w:hyperlink>
          </w:p>
        </w:tc>
      </w:tr>
      <w:tr>
        <w:trPr>
          <w:trHeight w:val="183"/>
        </w:trPr>
        <w:tc>
          <w:tcPr>
            <w:tcW w:w="90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8"/>
              </w:rPr>
            </w:pPr>
            <w:hyperlink r:id="rId115">
              <w:r>
                <w:rPr>
                  <w:rFonts w:ascii="Arial" w:cs="Arial" w:eastAsia="Arial" w:hAnsi="Arial"/>
                  <w:sz w:val="16"/>
                  <w:szCs w:val="16"/>
                  <w:color w:val="0000EE"/>
                  <w:w w:val="88"/>
                </w:rPr>
                <w:t>2010).</w:t>
              </w:r>
            </w:hyperlink>
          </w:p>
        </w:tc>
        <w:tc>
          <w:tcPr>
            <w:tcW w:w="74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9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5"/>
        </w:trPr>
        <w:tc>
          <w:tcPr>
            <w:tcW w:w="900" w:type="dxa"/>
            <w:vAlign w:val="bottom"/>
          </w:tcPr>
          <w:p>
            <w:pPr>
              <w:jc w:val="center"/>
              <w:ind w:right="459"/>
              <w:spacing w:after="0"/>
              <w:rPr>
                <w:sz w:val="20"/>
                <w:szCs w:val="20"/>
                <w:color w:val="auto"/>
              </w:rPr>
            </w:pPr>
            <w:r>
              <w:rPr>
                <w:rFonts w:ascii="Arial" w:cs="Arial" w:eastAsia="Arial" w:hAnsi="Arial"/>
                <w:sz w:val="16"/>
                <w:szCs w:val="16"/>
                <w:color w:val="auto"/>
                <w:w w:val="89"/>
              </w:rPr>
              <w:t>10.11</w:t>
            </w:r>
          </w:p>
        </w:tc>
        <w:tc>
          <w:tcPr>
            <w:tcW w:w="2840" w:type="dxa"/>
            <w:vAlign w:val="bottom"/>
            <w:tcBorders>
              <w:bottom w:val="single" w:sz="8" w:color="0000EE"/>
            </w:tcBorders>
            <w:gridSpan w:val="5"/>
          </w:tcPr>
          <w:p>
            <w:pPr>
              <w:spacing w:after="0"/>
              <w:rPr>
                <w:rFonts w:ascii="Arial" w:cs="Arial" w:eastAsia="Arial" w:hAnsi="Arial"/>
                <w:sz w:val="16"/>
                <w:szCs w:val="16"/>
                <w:color w:val="0000EE"/>
                <w:w w:val="91"/>
              </w:rPr>
            </w:pPr>
            <w:hyperlink r:id="rId116">
              <w:r>
                <w:rPr>
                  <w:rFonts w:ascii="Arial" w:cs="Arial" w:eastAsia="Arial" w:hAnsi="Arial"/>
                  <w:sz w:val="16"/>
                  <w:szCs w:val="16"/>
                  <w:color w:val="0000EE"/>
                  <w:w w:val="91"/>
                </w:rPr>
                <w:t>Avnet, Inc. 2006 Stock Compensation Plan:</w:t>
              </w:r>
            </w:hyperlink>
          </w:p>
        </w:tc>
        <w:tc>
          <w:tcPr>
            <w:tcW w:w="4900" w:type="dxa"/>
            <w:vAlign w:val="bottom"/>
            <w:gridSpan w:val="24"/>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rPr>
            </w:pPr>
            <w:hyperlink r:id="rId116">
              <w:r>
                <w:rPr>
                  <w:rFonts w:ascii="Arial" w:cs="Arial" w:eastAsia="Arial" w:hAnsi="Arial"/>
                  <w:sz w:val="16"/>
                  <w:szCs w:val="16"/>
                  <w:color w:val="0000EE"/>
                </w:rPr>
                <w:t>(a) Form of non-qualified stock option term sheet</w:t>
              </w:r>
            </w:hyperlink>
          </w:p>
        </w:tc>
      </w:tr>
      <w:tr>
        <w:trPr>
          <w:trHeight w:val="183"/>
        </w:trPr>
        <w:tc>
          <w:tcPr>
            <w:tcW w:w="90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2"/>
              </w:rPr>
            </w:pPr>
            <w:hyperlink r:id="rId116">
              <w:r>
                <w:rPr>
                  <w:rFonts w:ascii="Arial" w:cs="Arial" w:eastAsia="Arial" w:hAnsi="Arial"/>
                  <w:sz w:val="16"/>
                  <w:szCs w:val="16"/>
                  <w:color w:val="0000EE"/>
                  <w:w w:val="92"/>
                </w:rPr>
                <w:t>(b) Form of incentive stock option term sheet</w:t>
              </w:r>
            </w:hyperlink>
          </w:p>
        </w:tc>
        <w:tc>
          <w:tcPr>
            <w:tcW w:w="260" w:type="dxa"/>
            <w:vAlign w:val="bottom"/>
            <w:tcBorders>
              <w:top w:val="single" w:sz="8" w:color="0000EE"/>
            </w:tcBorders>
            <w:gridSpan w:val="2"/>
          </w:tcPr>
          <w:p>
            <w:pPr>
              <w:spacing w:after="0"/>
              <w:rPr>
                <w:sz w:val="15"/>
                <w:szCs w:val="15"/>
                <w:color w:val="auto"/>
              </w:rPr>
            </w:pPr>
          </w:p>
        </w:tc>
        <w:tc>
          <w:tcPr>
            <w:tcW w:w="4540" w:type="dxa"/>
            <w:vAlign w:val="bottom"/>
            <w:gridSpan w:val="21"/>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rPr>
            </w:pPr>
            <w:hyperlink r:id="rId116">
              <w:r>
                <w:rPr>
                  <w:rFonts w:ascii="Arial" w:cs="Arial" w:eastAsia="Arial" w:hAnsi="Arial"/>
                  <w:sz w:val="16"/>
                  <w:szCs w:val="16"/>
                  <w:color w:val="0000EE"/>
                </w:rPr>
                <w:t>(c) Form of performance stock unit term sheet (revised effective August 13, 2009 by (e) below)</w:t>
              </w:r>
            </w:hyperlink>
          </w:p>
        </w:tc>
      </w:tr>
      <w:tr>
        <w:trPr>
          <w:trHeight w:val="183"/>
        </w:trPr>
        <w:tc>
          <w:tcPr>
            <w:tcW w:w="900" w:type="dxa"/>
            <w:vAlign w:val="bottom"/>
          </w:tcPr>
          <w:p>
            <w:pPr>
              <w:spacing w:after="0"/>
              <w:rPr>
                <w:sz w:val="15"/>
                <w:szCs w:val="15"/>
                <w:color w:val="auto"/>
              </w:rPr>
            </w:pPr>
          </w:p>
        </w:tc>
        <w:tc>
          <w:tcPr>
            <w:tcW w:w="6180" w:type="dxa"/>
            <w:vAlign w:val="bottom"/>
            <w:tcBorders>
              <w:top w:val="single" w:sz="8" w:color="0000EE"/>
            </w:tcBorders>
            <w:gridSpan w:val="16"/>
          </w:tcPr>
          <w:p>
            <w:pPr>
              <w:spacing w:after="0" w:line="183" w:lineRule="exact"/>
              <w:rPr>
                <w:rFonts w:ascii="Arial" w:cs="Arial" w:eastAsia="Arial" w:hAnsi="Arial"/>
                <w:sz w:val="16"/>
                <w:szCs w:val="16"/>
                <w:color w:val="0000EE"/>
              </w:rPr>
            </w:pPr>
            <w:hyperlink r:id="rId116">
              <w:r>
                <w:rPr>
                  <w:rFonts w:ascii="Arial" w:cs="Arial" w:eastAsia="Arial" w:hAnsi="Arial"/>
                  <w:sz w:val="16"/>
                  <w:szCs w:val="16"/>
                  <w:color w:val="0000EE"/>
                </w:rPr>
                <w:t>(d) Form of incentive stock term sheet.</w:t>
              </w:r>
            </w:hyperlink>
          </w:p>
        </w:tc>
        <w:tc>
          <w:tcPr>
            <w:tcW w:w="1560" w:type="dxa"/>
            <w:vAlign w:val="bottom"/>
            <w:gridSpan w:val="13"/>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6"/>
        </w:trPr>
        <w:tc>
          <w:tcPr>
            <w:tcW w:w="900" w:type="dxa"/>
            <w:vAlign w:val="bottom"/>
          </w:tcPr>
          <w:p>
            <w:pPr>
              <w:spacing w:after="0"/>
              <w:rPr>
                <w:sz w:val="24"/>
                <w:szCs w:val="24"/>
                <w:color w:val="auto"/>
              </w:rPr>
            </w:pPr>
          </w:p>
        </w:tc>
        <w:tc>
          <w:tcPr>
            <w:tcW w:w="7740" w:type="dxa"/>
            <w:vAlign w:val="bottom"/>
            <w:gridSpan w:val="29"/>
          </w:tcPr>
          <w:p>
            <w:pPr>
              <w:spacing w:after="0"/>
              <w:rPr>
                <w:rFonts w:ascii="Arial" w:cs="Arial" w:eastAsia="Arial" w:hAnsi="Arial"/>
                <w:sz w:val="16"/>
                <w:szCs w:val="16"/>
                <w:u w:val="single" w:color="auto"/>
                <w:color w:val="0000EE"/>
                <w:w w:val="97"/>
              </w:rPr>
            </w:pPr>
            <w:hyperlink r:id="rId116">
              <w:r>
                <w:rPr>
                  <w:rFonts w:ascii="Arial" w:cs="Arial" w:eastAsia="Arial" w:hAnsi="Arial"/>
                  <w:sz w:val="16"/>
                  <w:szCs w:val="16"/>
                  <w:u w:val="single" w:color="auto"/>
                  <w:color w:val="0000EE"/>
                  <w:w w:val="97"/>
                </w:rPr>
                <w:t>(incorporated herein by reference to Exhibit 99.1 to the Company’s Current Report on Form 8-K filed on May 16,</w:t>
              </w:r>
            </w:hyperlink>
          </w:p>
        </w:tc>
      </w:tr>
      <w:tr>
        <w:trPr>
          <w:trHeight w:val="206"/>
        </w:trPr>
        <w:tc>
          <w:tcPr>
            <w:tcW w:w="9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u w:val="single" w:color="auto"/>
                <w:color w:val="0000EE"/>
                <w:w w:val="88"/>
              </w:rPr>
            </w:pPr>
            <w:hyperlink r:id="rId116">
              <w:r>
                <w:rPr>
                  <w:rFonts w:ascii="Arial" w:cs="Arial" w:eastAsia="Arial" w:hAnsi="Arial"/>
                  <w:sz w:val="16"/>
                  <w:szCs w:val="16"/>
                  <w:u w:val="single" w:color="auto"/>
                  <w:color w:val="0000EE"/>
                  <w:w w:val="88"/>
                </w:rPr>
                <w:t>2007).</w:t>
              </w:r>
            </w:hyperlink>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1"/>
        </w:trPr>
        <w:tc>
          <w:tcPr>
            <w:tcW w:w="900" w:type="dxa"/>
            <w:vAlign w:val="bottom"/>
          </w:tcPr>
          <w:p>
            <w:pPr>
              <w:spacing w:after="0"/>
              <w:rPr>
                <w:sz w:val="24"/>
                <w:szCs w:val="24"/>
                <w:color w:val="auto"/>
              </w:rPr>
            </w:pPr>
          </w:p>
        </w:tc>
        <w:tc>
          <w:tcPr>
            <w:tcW w:w="7120" w:type="dxa"/>
            <w:vAlign w:val="bottom"/>
            <w:tcBorders>
              <w:bottom w:val="single" w:sz="8" w:color="0000EE"/>
            </w:tcBorders>
            <w:gridSpan w:val="17"/>
          </w:tcPr>
          <w:p>
            <w:pPr>
              <w:spacing w:after="0"/>
              <w:rPr>
                <w:rFonts w:ascii="Arial" w:cs="Arial" w:eastAsia="Arial" w:hAnsi="Arial"/>
                <w:sz w:val="16"/>
                <w:szCs w:val="16"/>
                <w:color w:val="0000EE"/>
                <w:w w:val="91"/>
              </w:rPr>
            </w:pPr>
            <w:hyperlink r:id="rId117">
              <w:r>
                <w:rPr>
                  <w:rFonts w:ascii="Arial" w:cs="Arial" w:eastAsia="Arial" w:hAnsi="Arial"/>
                  <w:sz w:val="16"/>
                  <w:szCs w:val="16"/>
                  <w:color w:val="0000EE"/>
                  <w:w w:val="91"/>
                </w:rPr>
                <w:t>(e) Form of revised performance stock unit term sheet (incorporated herein by reference to Exhibit 99.1 to the</w:t>
              </w:r>
            </w:hyperlink>
          </w:p>
        </w:tc>
        <w:tc>
          <w:tcPr>
            <w:tcW w:w="620" w:type="dxa"/>
            <w:vAlign w:val="bottom"/>
            <w:gridSpan w:val="12"/>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rPr>
            </w:pPr>
            <w:hyperlink r:id="rId117">
              <w:r>
                <w:rPr>
                  <w:rFonts w:ascii="Arial" w:cs="Arial" w:eastAsia="Arial" w:hAnsi="Arial"/>
                  <w:sz w:val="16"/>
                  <w:szCs w:val="16"/>
                  <w:color w:val="0000EE"/>
                </w:rPr>
                <w:t>Company’s Current Report on Form 8-K filed on August 20, 2009)</w:t>
              </w:r>
              <w:r>
                <w:rPr>
                  <w:rFonts w:ascii="Arial" w:cs="Arial" w:eastAsia="Arial" w:hAnsi="Arial"/>
                  <w:sz w:val="16"/>
                  <w:szCs w:val="16"/>
                  <w:color w:val="000000"/>
                </w:rPr>
                <w:t>.</w:t>
              </w:r>
            </w:hyperlink>
          </w:p>
        </w:tc>
      </w:tr>
      <w:tr>
        <w:trPr>
          <w:trHeight w:val="20"/>
        </w:trPr>
        <w:tc>
          <w:tcPr>
            <w:tcW w:w="900" w:type="dxa"/>
            <w:vAlign w:val="bottom"/>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900" w:type="dxa"/>
            <w:vAlign w:val="bottom"/>
            <w:gridSpan w:val="9"/>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900" w:type="dxa"/>
            <w:vAlign w:val="bottom"/>
          </w:tcPr>
          <w:p>
            <w:pPr>
              <w:jc w:val="center"/>
              <w:ind w:right="459"/>
              <w:spacing w:after="0"/>
              <w:rPr>
                <w:sz w:val="20"/>
                <w:szCs w:val="20"/>
                <w:color w:val="auto"/>
              </w:rPr>
            </w:pPr>
            <w:r>
              <w:rPr>
                <w:rFonts w:ascii="Arial" w:cs="Arial" w:eastAsia="Arial" w:hAnsi="Arial"/>
                <w:sz w:val="16"/>
                <w:szCs w:val="16"/>
                <w:color w:val="auto"/>
                <w:w w:val="89"/>
              </w:rPr>
              <w:t>10.12</w:t>
            </w:r>
          </w:p>
        </w:tc>
        <w:tc>
          <w:tcPr>
            <w:tcW w:w="7740" w:type="dxa"/>
            <w:vAlign w:val="bottom"/>
            <w:gridSpan w:val="29"/>
          </w:tcPr>
          <w:p>
            <w:pPr>
              <w:spacing w:after="0"/>
              <w:rPr>
                <w:rFonts w:ascii="Arial" w:cs="Arial" w:eastAsia="Arial" w:hAnsi="Arial"/>
                <w:sz w:val="16"/>
                <w:szCs w:val="16"/>
                <w:color w:val="0000EE"/>
                <w:w w:val="92"/>
              </w:rPr>
            </w:pPr>
            <w:hyperlink r:id="rId118">
              <w:r>
                <w:rPr>
                  <w:rFonts w:ascii="Arial" w:cs="Arial" w:eastAsia="Arial" w:hAnsi="Arial"/>
                  <w:sz w:val="16"/>
                  <w:szCs w:val="16"/>
                  <w:color w:val="0000EE"/>
                  <w:w w:val="92"/>
                </w:rPr>
                <w:t>Avnet, Inc. 2010 Stock Compensation Plan (Amended and Restated Effective as of May 8, 2018). (incorporated herein</w:t>
              </w:r>
            </w:hyperlink>
          </w:p>
        </w:tc>
      </w:tr>
      <w:tr>
        <w:trPr>
          <w:trHeight w:val="217"/>
        </w:trPr>
        <w:tc>
          <w:tcPr>
            <w:tcW w:w="900" w:type="dxa"/>
            <w:vAlign w:val="bottom"/>
          </w:tcPr>
          <w:p>
            <w:pPr>
              <w:spacing w:after="0"/>
              <w:rPr>
                <w:sz w:val="18"/>
                <w:szCs w:val="18"/>
                <w:color w:val="auto"/>
              </w:rPr>
            </w:pPr>
          </w:p>
        </w:tc>
        <w:tc>
          <w:tcPr>
            <w:tcW w:w="7680" w:type="dxa"/>
            <w:vAlign w:val="bottom"/>
            <w:tcBorders>
              <w:top w:val="single" w:sz="8" w:color="0000EE"/>
            </w:tcBorders>
            <w:gridSpan w:val="27"/>
          </w:tcPr>
          <w:p>
            <w:pPr>
              <w:spacing w:after="0"/>
              <w:rPr>
                <w:rFonts w:ascii="Arial" w:cs="Arial" w:eastAsia="Arial" w:hAnsi="Arial"/>
                <w:sz w:val="16"/>
                <w:szCs w:val="16"/>
                <w:u w:val="single" w:color="auto"/>
                <w:color w:val="0000EE"/>
              </w:rPr>
            </w:pPr>
            <w:hyperlink r:id="rId118">
              <w:r>
                <w:rPr>
                  <w:rFonts w:ascii="Arial" w:cs="Arial" w:eastAsia="Arial" w:hAnsi="Arial"/>
                  <w:sz w:val="16"/>
                  <w:szCs w:val="16"/>
                  <w:u w:val="single" w:color="auto"/>
                  <w:color w:val="0000EE"/>
                </w:rPr>
                <w:t>by reference to Exhibit 10.8 to the Company’s Annual Report on Form 10-K filing on August 17, 2018).</w:t>
              </w:r>
            </w:hyperlink>
          </w:p>
        </w:tc>
        <w:tc>
          <w:tcPr>
            <w:tcW w:w="60" w:type="dxa"/>
            <w:vAlign w:val="bottom"/>
            <w:gridSpan w:val="2"/>
          </w:tcPr>
          <w:p>
            <w:pPr>
              <w:spacing w:after="0"/>
              <w:rPr>
                <w:sz w:val="18"/>
                <w:szCs w:val="18"/>
                <w:color w:val="auto"/>
              </w:rPr>
            </w:pPr>
          </w:p>
        </w:tc>
      </w:tr>
      <w:tr>
        <w:trPr>
          <w:trHeight w:val="370"/>
        </w:trPr>
        <w:tc>
          <w:tcPr>
            <w:tcW w:w="900" w:type="dxa"/>
            <w:vAlign w:val="bottom"/>
          </w:tcPr>
          <w:p>
            <w:pPr>
              <w:jc w:val="center"/>
              <w:ind w:right="459"/>
              <w:spacing w:after="0"/>
              <w:rPr>
                <w:sz w:val="20"/>
                <w:szCs w:val="20"/>
                <w:color w:val="auto"/>
              </w:rPr>
            </w:pPr>
            <w:r>
              <w:rPr>
                <w:rFonts w:ascii="Arial" w:cs="Arial" w:eastAsia="Arial" w:hAnsi="Arial"/>
                <w:sz w:val="16"/>
                <w:szCs w:val="16"/>
                <w:color w:val="auto"/>
                <w:w w:val="89"/>
              </w:rPr>
              <w:t>10.13</w:t>
            </w:r>
          </w:p>
        </w:tc>
        <w:tc>
          <w:tcPr>
            <w:tcW w:w="2840" w:type="dxa"/>
            <w:vAlign w:val="bottom"/>
            <w:tcBorders>
              <w:bottom w:val="single" w:sz="8" w:color="0000EE"/>
            </w:tcBorders>
            <w:gridSpan w:val="5"/>
          </w:tcPr>
          <w:p>
            <w:pPr>
              <w:spacing w:after="0"/>
              <w:rPr>
                <w:rFonts w:ascii="Arial" w:cs="Arial" w:eastAsia="Arial" w:hAnsi="Arial"/>
                <w:sz w:val="16"/>
                <w:szCs w:val="16"/>
                <w:color w:val="0000EE"/>
                <w:w w:val="91"/>
              </w:rPr>
            </w:pPr>
            <w:hyperlink r:id="rId119">
              <w:r>
                <w:rPr>
                  <w:rFonts w:ascii="Arial" w:cs="Arial" w:eastAsia="Arial" w:hAnsi="Arial"/>
                  <w:sz w:val="16"/>
                  <w:szCs w:val="16"/>
                  <w:color w:val="0000EE"/>
                  <w:w w:val="91"/>
                </w:rPr>
                <w:t>Avnet, Inc. 2010 Stock Compensation Plan:</w:t>
              </w:r>
            </w:hyperlink>
          </w:p>
        </w:tc>
        <w:tc>
          <w:tcPr>
            <w:tcW w:w="4900" w:type="dxa"/>
            <w:vAlign w:val="bottom"/>
            <w:gridSpan w:val="24"/>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rPr>
            </w:pPr>
            <w:hyperlink r:id="rId119">
              <w:r>
                <w:rPr>
                  <w:rFonts w:ascii="Arial" w:cs="Arial" w:eastAsia="Arial" w:hAnsi="Arial"/>
                  <w:sz w:val="16"/>
                  <w:szCs w:val="16"/>
                  <w:color w:val="0000EE"/>
                </w:rPr>
                <w:t>(a) Form of non-qualified stock option term sheet</w:t>
              </w:r>
            </w:hyperlink>
          </w:p>
        </w:tc>
      </w:tr>
      <w:tr>
        <w:trPr>
          <w:trHeight w:val="183"/>
        </w:trPr>
        <w:tc>
          <w:tcPr>
            <w:tcW w:w="90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2"/>
              </w:rPr>
            </w:pPr>
            <w:hyperlink r:id="rId119">
              <w:r>
                <w:rPr>
                  <w:rFonts w:ascii="Arial" w:cs="Arial" w:eastAsia="Arial" w:hAnsi="Arial"/>
                  <w:sz w:val="16"/>
                  <w:szCs w:val="16"/>
                  <w:color w:val="0000EE"/>
                  <w:w w:val="92"/>
                </w:rPr>
                <w:t>(b) Form of incentive stock option term sheet</w:t>
              </w:r>
            </w:hyperlink>
          </w:p>
        </w:tc>
        <w:tc>
          <w:tcPr>
            <w:tcW w:w="260" w:type="dxa"/>
            <w:vAlign w:val="bottom"/>
            <w:tcBorders>
              <w:top w:val="single" w:sz="8" w:color="0000EE"/>
            </w:tcBorders>
            <w:gridSpan w:val="2"/>
          </w:tcPr>
          <w:p>
            <w:pPr>
              <w:spacing w:after="0"/>
              <w:rPr>
                <w:sz w:val="15"/>
                <w:szCs w:val="15"/>
                <w:color w:val="auto"/>
              </w:rPr>
            </w:pPr>
          </w:p>
        </w:tc>
        <w:tc>
          <w:tcPr>
            <w:tcW w:w="4540" w:type="dxa"/>
            <w:vAlign w:val="bottom"/>
            <w:gridSpan w:val="21"/>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740" w:type="dxa"/>
            <w:vAlign w:val="bottom"/>
            <w:gridSpan w:val="29"/>
          </w:tcPr>
          <w:p>
            <w:pPr>
              <w:spacing w:after="0" w:line="183" w:lineRule="exact"/>
              <w:rPr>
                <w:rFonts w:ascii="Arial" w:cs="Arial" w:eastAsia="Arial" w:hAnsi="Arial"/>
                <w:sz w:val="16"/>
                <w:szCs w:val="16"/>
                <w:color w:val="0000EE"/>
              </w:rPr>
            </w:pPr>
            <w:hyperlink r:id="rId119">
              <w:r>
                <w:rPr>
                  <w:rFonts w:ascii="Arial" w:cs="Arial" w:eastAsia="Arial" w:hAnsi="Arial"/>
                  <w:sz w:val="16"/>
                  <w:szCs w:val="16"/>
                  <w:color w:val="0000EE"/>
                </w:rPr>
                <w:t>(c) Form of performance stock unit term sheet</w:t>
              </w:r>
            </w:hyperlink>
          </w:p>
        </w:tc>
      </w:tr>
      <w:tr>
        <w:trPr>
          <w:trHeight w:val="183"/>
        </w:trPr>
        <w:tc>
          <w:tcPr>
            <w:tcW w:w="900" w:type="dxa"/>
            <w:vAlign w:val="bottom"/>
          </w:tcPr>
          <w:p>
            <w:pPr>
              <w:spacing w:after="0"/>
              <w:rPr>
                <w:sz w:val="15"/>
                <w:szCs w:val="15"/>
                <w:color w:val="auto"/>
              </w:rPr>
            </w:pPr>
          </w:p>
        </w:tc>
        <w:tc>
          <w:tcPr>
            <w:tcW w:w="2980" w:type="dxa"/>
            <w:vAlign w:val="bottom"/>
            <w:tcBorders>
              <w:top w:val="single" w:sz="8" w:color="0000EE"/>
            </w:tcBorders>
            <w:gridSpan w:val="7"/>
          </w:tcPr>
          <w:p>
            <w:pPr>
              <w:spacing w:after="0" w:line="183" w:lineRule="exact"/>
              <w:rPr>
                <w:rFonts w:ascii="Arial" w:cs="Arial" w:eastAsia="Arial" w:hAnsi="Arial"/>
                <w:sz w:val="16"/>
                <w:szCs w:val="16"/>
                <w:color w:val="0000EE"/>
                <w:w w:val="98"/>
              </w:rPr>
            </w:pPr>
            <w:hyperlink r:id="rId119">
              <w:r>
                <w:rPr>
                  <w:rFonts w:ascii="Arial" w:cs="Arial" w:eastAsia="Arial" w:hAnsi="Arial"/>
                  <w:sz w:val="16"/>
                  <w:szCs w:val="16"/>
                  <w:color w:val="0000EE"/>
                  <w:w w:val="98"/>
                </w:rPr>
                <w:t>(d) Form of restricted stock unit term sheet</w:t>
              </w:r>
            </w:hyperlink>
          </w:p>
        </w:tc>
        <w:tc>
          <w:tcPr>
            <w:tcW w:w="4760" w:type="dxa"/>
            <w:vAlign w:val="bottom"/>
            <w:gridSpan w:val="22"/>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4460" w:type="dxa"/>
            <w:vAlign w:val="bottom"/>
            <w:gridSpan w:val="15"/>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r>
      <w:tr>
        <w:trPr>
          <w:trHeight w:val="213"/>
        </w:trPr>
        <w:tc>
          <w:tcPr>
            <w:tcW w:w="900" w:type="dxa"/>
            <w:vAlign w:val="bottom"/>
          </w:tcPr>
          <w:p>
            <w:pPr>
              <w:spacing w:after="0"/>
              <w:rPr>
                <w:sz w:val="18"/>
                <w:szCs w:val="18"/>
                <w:color w:val="auto"/>
              </w:rPr>
            </w:pPr>
          </w:p>
        </w:tc>
        <w:tc>
          <w:tcPr>
            <w:tcW w:w="7740" w:type="dxa"/>
            <w:vAlign w:val="bottom"/>
            <w:gridSpan w:val="29"/>
          </w:tcPr>
          <w:p>
            <w:pPr>
              <w:spacing w:after="0"/>
              <w:rPr>
                <w:rFonts w:ascii="Arial" w:cs="Arial" w:eastAsia="Arial" w:hAnsi="Arial"/>
                <w:sz w:val="16"/>
                <w:szCs w:val="16"/>
                <w:u w:val="single" w:color="auto"/>
                <w:color w:val="0000EE"/>
                <w:w w:val="95"/>
              </w:rPr>
            </w:pPr>
            <w:hyperlink r:id="rId119">
              <w:r>
                <w:rPr>
                  <w:rFonts w:ascii="Arial" w:cs="Arial" w:eastAsia="Arial" w:hAnsi="Arial"/>
                  <w:sz w:val="16"/>
                  <w:szCs w:val="16"/>
                  <w:u w:val="single" w:color="auto"/>
                  <w:color w:val="0000EE"/>
                  <w:w w:val="95"/>
                </w:rPr>
                <w:t>(incorporated herein by reference to Exhibit 10.1 to the Company’s Current Report on Form 8-K filed on August 10,</w:t>
              </w:r>
            </w:hyperlink>
          </w:p>
        </w:tc>
      </w:tr>
      <w:tr>
        <w:trPr>
          <w:trHeight w:val="206"/>
        </w:trPr>
        <w:tc>
          <w:tcPr>
            <w:tcW w:w="900" w:type="dxa"/>
            <w:vAlign w:val="bottom"/>
          </w:tcPr>
          <w:p>
            <w:pPr>
              <w:spacing w:after="0"/>
              <w:rPr>
                <w:sz w:val="17"/>
                <w:szCs w:val="17"/>
                <w:color w:val="auto"/>
              </w:rPr>
            </w:pPr>
          </w:p>
        </w:tc>
        <w:tc>
          <w:tcPr>
            <w:tcW w:w="420" w:type="dxa"/>
            <w:vAlign w:val="bottom"/>
          </w:tcPr>
          <w:p>
            <w:pPr>
              <w:spacing w:after="0"/>
              <w:rPr>
                <w:rFonts w:ascii="Arial" w:cs="Arial" w:eastAsia="Arial" w:hAnsi="Arial"/>
                <w:sz w:val="16"/>
                <w:szCs w:val="16"/>
                <w:u w:val="single" w:color="auto"/>
                <w:color w:val="0000EE"/>
                <w:w w:val="88"/>
              </w:rPr>
            </w:pPr>
            <w:hyperlink r:id="rId119">
              <w:r>
                <w:rPr>
                  <w:rFonts w:ascii="Arial" w:cs="Arial" w:eastAsia="Arial" w:hAnsi="Arial"/>
                  <w:sz w:val="16"/>
                  <w:szCs w:val="16"/>
                  <w:u w:val="single" w:color="auto"/>
                  <w:color w:val="0000EE"/>
                  <w:w w:val="88"/>
                </w:rPr>
                <w:t>2012).</w:t>
              </w:r>
            </w:hyperlink>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0"/>
        </w:trPr>
        <w:tc>
          <w:tcPr>
            <w:tcW w:w="900" w:type="dxa"/>
            <w:vAlign w:val="bottom"/>
          </w:tcPr>
          <w:p>
            <w:pPr>
              <w:jc w:val="center"/>
              <w:ind w:right="459"/>
              <w:spacing w:after="0"/>
              <w:rPr>
                <w:sz w:val="20"/>
                <w:szCs w:val="20"/>
                <w:color w:val="auto"/>
              </w:rPr>
            </w:pPr>
            <w:r>
              <w:rPr>
                <w:rFonts w:ascii="Arial" w:cs="Arial" w:eastAsia="Arial" w:hAnsi="Arial"/>
                <w:sz w:val="16"/>
                <w:szCs w:val="16"/>
                <w:color w:val="auto"/>
                <w:w w:val="89"/>
              </w:rPr>
              <w:t>10.14</w:t>
            </w:r>
          </w:p>
        </w:tc>
        <w:tc>
          <w:tcPr>
            <w:tcW w:w="7740" w:type="dxa"/>
            <w:vAlign w:val="bottom"/>
            <w:gridSpan w:val="29"/>
          </w:tcPr>
          <w:p>
            <w:pPr>
              <w:spacing w:after="0"/>
              <w:rPr>
                <w:rFonts w:ascii="Arial" w:cs="Arial" w:eastAsia="Arial" w:hAnsi="Arial"/>
                <w:sz w:val="16"/>
                <w:szCs w:val="16"/>
                <w:color w:val="0000EE"/>
                <w:w w:val="97"/>
              </w:rPr>
            </w:pPr>
            <w:hyperlink r:id="rId120">
              <w:r>
                <w:rPr>
                  <w:rFonts w:ascii="Arial" w:cs="Arial" w:eastAsia="Arial" w:hAnsi="Arial"/>
                  <w:sz w:val="16"/>
                  <w:szCs w:val="16"/>
                  <w:color w:val="0000EE"/>
                  <w:w w:val="97"/>
                </w:rPr>
                <w:t>Avnet, Inc. 2013 Stock Compensation and Incentive Plan (Amended and Restated Effective as of May 8, 2018).</w:t>
              </w:r>
            </w:hyperlink>
          </w:p>
        </w:tc>
      </w:tr>
      <w:tr>
        <w:trPr>
          <w:trHeight w:val="20"/>
        </w:trPr>
        <w:tc>
          <w:tcPr>
            <w:tcW w:w="900" w:type="dxa"/>
            <w:vAlign w:val="bottom"/>
          </w:tcPr>
          <w:p>
            <w:pPr>
              <w:spacing w:after="0" w:line="20" w:lineRule="exact"/>
              <w:rPr>
                <w:sz w:val="1"/>
                <w:szCs w:val="1"/>
                <w:color w:val="auto"/>
              </w:rPr>
            </w:pPr>
          </w:p>
        </w:tc>
        <w:tc>
          <w:tcPr>
            <w:tcW w:w="7240" w:type="dxa"/>
            <w:vAlign w:val="bottom"/>
            <w:gridSpan w:val="19"/>
            <w:shd w:val="clear" w:color="auto" w:fill="0000EE"/>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7740" w:type="dxa"/>
            <w:vAlign w:val="bottom"/>
            <w:tcBorders>
              <w:bottom w:val="single" w:sz="8" w:color="0000EE"/>
            </w:tcBorders>
            <w:gridSpan w:val="29"/>
          </w:tcPr>
          <w:p>
            <w:pPr>
              <w:spacing w:after="0" w:line="183" w:lineRule="exact"/>
              <w:rPr>
                <w:rFonts w:ascii="Arial" w:cs="Arial" w:eastAsia="Arial" w:hAnsi="Arial"/>
                <w:sz w:val="16"/>
                <w:szCs w:val="16"/>
                <w:color w:val="0000EE"/>
                <w:w w:val="93"/>
              </w:rPr>
            </w:pPr>
            <w:hyperlink r:id="rId120">
              <w:r>
                <w:rPr>
                  <w:rFonts w:ascii="Arial" w:cs="Arial" w:eastAsia="Arial" w:hAnsi="Arial"/>
                  <w:sz w:val="16"/>
                  <w:szCs w:val="16"/>
                  <w:color w:val="0000EE"/>
                  <w:w w:val="93"/>
                </w:rPr>
                <w:t>(incorporated herein by reference to Exhibit 10.10 to the Company’s Annual Report on Form 10-K filing on August 17,</w:t>
              </w:r>
            </w:hyperlink>
          </w:p>
        </w:tc>
      </w:tr>
      <w:tr>
        <w:trPr>
          <w:trHeight w:val="183"/>
        </w:trPr>
        <w:tc>
          <w:tcPr>
            <w:tcW w:w="900" w:type="dxa"/>
            <w:vAlign w:val="bottom"/>
          </w:tcPr>
          <w:p>
            <w:pPr>
              <w:spacing w:after="0"/>
              <w:rPr>
                <w:sz w:val="15"/>
                <w:szCs w:val="15"/>
                <w:color w:val="auto"/>
              </w:rPr>
            </w:pPr>
          </w:p>
        </w:tc>
        <w:tc>
          <w:tcPr>
            <w:tcW w:w="420" w:type="dxa"/>
            <w:vAlign w:val="bottom"/>
            <w:tcBorders>
              <w:bottom w:val="single" w:sz="8" w:color="0000EE"/>
            </w:tcBorders>
          </w:tcPr>
          <w:p>
            <w:pPr>
              <w:spacing w:after="0" w:line="183" w:lineRule="exact"/>
              <w:rPr>
                <w:rFonts w:ascii="Arial" w:cs="Arial" w:eastAsia="Arial" w:hAnsi="Arial"/>
                <w:sz w:val="16"/>
                <w:szCs w:val="16"/>
                <w:color w:val="0000EE"/>
                <w:w w:val="88"/>
              </w:rPr>
            </w:pPr>
            <w:hyperlink r:id="rId120">
              <w:r>
                <w:rPr>
                  <w:rFonts w:ascii="Arial" w:cs="Arial" w:eastAsia="Arial" w:hAnsi="Arial"/>
                  <w:sz w:val="16"/>
                  <w:szCs w:val="16"/>
                  <w:color w:val="0000EE"/>
                  <w:w w:val="88"/>
                </w:rPr>
                <w:t>2018).</w:t>
              </w:r>
            </w:hyperlink>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spacing w:after="0"/>
        <w:tabs>
          <w:tab w:leader="none" w:pos="1180" w:val="left"/>
        </w:tabs>
        <w:rPr>
          <w:rFonts w:ascii="Arial" w:cs="Arial" w:eastAsia="Arial" w:hAnsi="Arial"/>
          <w:sz w:val="14"/>
          <w:szCs w:val="14"/>
          <w:u w:val="single" w:color="auto"/>
          <w:color w:val="0000EE"/>
        </w:rPr>
      </w:pPr>
      <w:r>
        <w:rPr>
          <w:rFonts w:ascii="Arial" w:cs="Arial" w:eastAsia="Arial" w:hAnsi="Arial"/>
          <w:sz w:val="16"/>
          <w:szCs w:val="16"/>
          <w:color w:val="auto"/>
        </w:rPr>
        <w:t>10.15</w:t>
      </w:r>
      <w:r>
        <w:rPr>
          <w:sz w:val="20"/>
          <w:szCs w:val="20"/>
          <w:color w:val="auto"/>
        </w:rPr>
        <w:tab/>
      </w:r>
      <w:hyperlink r:id="rId122">
        <w:r>
          <w:rPr>
            <w:rFonts w:ascii="Arial" w:cs="Arial" w:eastAsia="Arial" w:hAnsi="Arial"/>
            <w:sz w:val="14"/>
            <w:szCs w:val="14"/>
            <w:u w:val="single" w:color="auto"/>
            <w:color w:val="0000EE"/>
          </w:rPr>
          <w:t>Avnet, Inc. 2013 Stock Compensation and Incentive Plan:</w:t>
        </w:r>
      </w:hyperlink>
    </w:p>
    <w:p>
      <w:pPr>
        <w:spacing w:after="0" w:line="22" w:lineRule="exact"/>
        <w:rPr>
          <w:sz w:val="20"/>
          <w:szCs w:val="20"/>
          <w:color w:val="auto"/>
        </w:rPr>
      </w:pPr>
    </w:p>
    <w:p>
      <w:pPr>
        <w:ind w:left="1420" w:hanging="222"/>
        <w:spacing w:after="0"/>
        <w:tabs>
          <w:tab w:leader="none" w:pos="1420" w:val="left"/>
        </w:tabs>
        <w:numPr>
          <w:ilvl w:val="0"/>
          <w:numId w:val="24"/>
        </w:numPr>
        <w:rPr>
          <w:rFonts w:ascii="Arial" w:cs="Arial" w:eastAsia="Arial" w:hAnsi="Arial"/>
          <w:sz w:val="16"/>
          <w:szCs w:val="16"/>
          <w:u w:val="single" w:color="auto"/>
          <w:color w:val="0000EE"/>
        </w:rPr>
      </w:pPr>
      <w:hyperlink r:id="rId122">
        <w:r>
          <w:rPr>
            <w:rFonts w:ascii="Arial" w:cs="Arial" w:eastAsia="Arial" w:hAnsi="Arial"/>
            <w:sz w:val="16"/>
            <w:szCs w:val="16"/>
            <w:u w:val="single" w:color="auto"/>
            <w:color w:val="0000EE"/>
          </w:rPr>
          <w:t>Form of restricted stock unit term sheet</w:t>
        </w:r>
      </w:hyperlink>
    </w:p>
    <w:p>
      <w:pPr>
        <w:spacing w:after="0" w:line="18" w:lineRule="exact"/>
        <w:rPr>
          <w:rFonts w:ascii="Arial" w:cs="Arial" w:eastAsia="Arial" w:hAnsi="Arial"/>
          <w:sz w:val="16"/>
          <w:szCs w:val="16"/>
          <w:u w:val="single" w:color="auto"/>
          <w:color w:val="0000EE"/>
        </w:rPr>
      </w:pPr>
    </w:p>
    <w:p>
      <w:pPr>
        <w:ind w:left="1420" w:hanging="222"/>
        <w:spacing w:after="0"/>
        <w:tabs>
          <w:tab w:leader="none" w:pos="1420" w:val="left"/>
        </w:tabs>
        <w:numPr>
          <w:ilvl w:val="0"/>
          <w:numId w:val="24"/>
        </w:numPr>
        <w:rPr>
          <w:rFonts w:ascii="Arial" w:cs="Arial" w:eastAsia="Arial" w:hAnsi="Arial"/>
          <w:sz w:val="16"/>
          <w:szCs w:val="16"/>
          <w:u w:val="single" w:color="auto"/>
          <w:color w:val="0000EE"/>
        </w:rPr>
      </w:pPr>
      <w:hyperlink r:id="rId122">
        <w:r>
          <w:rPr>
            <w:rFonts w:ascii="Arial" w:cs="Arial" w:eastAsia="Arial" w:hAnsi="Arial"/>
            <w:sz w:val="16"/>
            <w:szCs w:val="16"/>
            <w:u w:val="single" w:color="auto"/>
            <w:color w:val="0000EE"/>
          </w:rPr>
          <w:t>Form of nonqualified stock option term sheet</w:t>
        </w:r>
      </w:hyperlink>
    </w:p>
    <w:p>
      <w:pPr>
        <w:spacing w:after="0" w:line="18" w:lineRule="exact"/>
        <w:rPr>
          <w:rFonts w:ascii="Arial" w:cs="Arial" w:eastAsia="Arial" w:hAnsi="Arial"/>
          <w:sz w:val="16"/>
          <w:szCs w:val="16"/>
          <w:u w:val="single" w:color="auto"/>
          <w:color w:val="0000EE"/>
        </w:rPr>
      </w:pPr>
    </w:p>
    <w:p>
      <w:pPr>
        <w:ind w:left="1420" w:hanging="222"/>
        <w:spacing w:after="0"/>
        <w:tabs>
          <w:tab w:leader="none" w:pos="1420" w:val="left"/>
        </w:tabs>
        <w:numPr>
          <w:ilvl w:val="0"/>
          <w:numId w:val="24"/>
        </w:numPr>
        <w:rPr>
          <w:rFonts w:ascii="Arial" w:cs="Arial" w:eastAsia="Arial" w:hAnsi="Arial"/>
          <w:sz w:val="16"/>
          <w:szCs w:val="16"/>
          <w:u w:val="single" w:color="auto"/>
          <w:color w:val="0000EE"/>
        </w:rPr>
      </w:pPr>
      <w:hyperlink r:id="rId122">
        <w:r>
          <w:rPr>
            <w:rFonts w:ascii="Arial" w:cs="Arial" w:eastAsia="Arial" w:hAnsi="Arial"/>
            <w:sz w:val="16"/>
            <w:szCs w:val="16"/>
            <w:u w:val="single" w:color="auto"/>
            <w:color w:val="0000EE"/>
          </w:rPr>
          <w:t>Form of performance-based stock option term sheet</w:t>
        </w:r>
      </w:hyperlink>
    </w:p>
    <w:p>
      <w:pPr>
        <w:spacing w:after="0" w:line="18" w:lineRule="exact"/>
        <w:rPr>
          <w:rFonts w:ascii="Arial" w:cs="Arial" w:eastAsia="Arial" w:hAnsi="Arial"/>
          <w:sz w:val="16"/>
          <w:szCs w:val="16"/>
          <w:u w:val="single" w:color="auto"/>
          <w:color w:val="0000EE"/>
        </w:rPr>
      </w:pPr>
    </w:p>
    <w:p>
      <w:pPr>
        <w:ind w:left="1420" w:hanging="222"/>
        <w:spacing w:after="0"/>
        <w:tabs>
          <w:tab w:leader="none" w:pos="1420" w:val="left"/>
        </w:tabs>
        <w:numPr>
          <w:ilvl w:val="0"/>
          <w:numId w:val="24"/>
        </w:numPr>
        <w:rPr>
          <w:rFonts w:ascii="Arial" w:cs="Arial" w:eastAsia="Arial" w:hAnsi="Arial"/>
          <w:sz w:val="16"/>
          <w:szCs w:val="16"/>
          <w:u w:val="single" w:color="auto"/>
          <w:color w:val="0000EE"/>
        </w:rPr>
      </w:pPr>
      <w:hyperlink r:id="rId122">
        <w:r>
          <w:rPr>
            <w:rFonts w:ascii="Arial" w:cs="Arial" w:eastAsia="Arial" w:hAnsi="Arial"/>
            <w:sz w:val="16"/>
            <w:szCs w:val="16"/>
            <w:u w:val="single" w:color="auto"/>
            <w:color w:val="0000EE"/>
          </w:rPr>
          <w:t>Form of performance stock unit term sheet</w:t>
        </w:r>
      </w:hyperlink>
    </w:p>
    <w:p>
      <w:pPr>
        <w:spacing w:after="0" w:line="19" w:lineRule="exact"/>
        <w:rPr>
          <w:rFonts w:ascii="Arial" w:cs="Arial" w:eastAsia="Arial" w:hAnsi="Arial"/>
          <w:sz w:val="16"/>
          <w:szCs w:val="16"/>
          <w:u w:val="single" w:color="auto"/>
          <w:color w:val="0000EE"/>
        </w:rPr>
      </w:pPr>
    </w:p>
    <w:p>
      <w:pPr>
        <w:ind w:left="1200" w:right="119"/>
        <w:spacing w:after="0" w:line="288" w:lineRule="auto"/>
        <w:rPr>
          <w:rFonts w:ascii="Arial" w:cs="Arial" w:eastAsia="Arial" w:hAnsi="Arial"/>
          <w:sz w:val="16"/>
          <w:szCs w:val="16"/>
          <w:u w:val="single" w:color="auto"/>
          <w:color w:val="0000EE"/>
        </w:rPr>
      </w:pPr>
      <w:hyperlink r:id="rId122">
        <w:r>
          <w:rPr>
            <w:rFonts w:ascii="Arial" w:cs="Arial" w:eastAsia="Arial" w:hAnsi="Arial"/>
            <w:sz w:val="16"/>
            <w:szCs w:val="16"/>
            <w:u w:val="single" w:color="auto"/>
            <w:color w:val="0000EE"/>
          </w:rPr>
          <w:t>(incorporated herein by reference to Exhibit 10.15 to the Company’s Annual Report on Form 10-K filed on August 17,</w:t>
        </w:r>
      </w:hyperlink>
      <w:r>
        <w:rPr>
          <w:rFonts w:ascii="Arial" w:cs="Arial" w:eastAsia="Arial" w:hAnsi="Arial"/>
          <w:sz w:val="16"/>
          <w:szCs w:val="16"/>
          <w:u w:val="single" w:color="auto"/>
          <w:color w:val="0000EE"/>
        </w:rPr>
        <w:t xml:space="preserve"> </w:t>
      </w:r>
      <w:hyperlink r:id="rId122">
        <w:r>
          <w:rPr>
            <w:rFonts w:ascii="Arial" w:cs="Arial" w:eastAsia="Arial" w:hAnsi="Arial"/>
            <w:sz w:val="16"/>
            <w:szCs w:val="16"/>
            <w:u w:val="single" w:color="auto"/>
            <w:color w:val="0000EE"/>
          </w:rPr>
          <w:t>2017).</w:t>
        </w:r>
      </w:hyperlink>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900" w:type="dxa"/>
            <w:vAlign w:val="bottom"/>
          </w:tcPr>
          <w:p>
            <w:pPr>
              <w:jc w:val="right"/>
              <w:ind w:right="459"/>
              <w:spacing w:after="0"/>
              <w:rPr>
                <w:sz w:val="20"/>
                <w:szCs w:val="20"/>
                <w:color w:val="auto"/>
              </w:rPr>
            </w:pPr>
            <w:r>
              <w:rPr>
                <w:rFonts w:ascii="Arial" w:cs="Arial" w:eastAsia="Arial" w:hAnsi="Arial"/>
                <w:sz w:val="16"/>
                <w:szCs w:val="16"/>
                <w:color w:val="auto"/>
                <w:w w:val="84"/>
              </w:rPr>
              <w:t>10.16</w:t>
            </w:r>
          </w:p>
        </w:tc>
        <w:tc>
          <w:tcPr>
            <w:tcW w:w="7740" w:type="dxa"/>
            <w:vAlign w:val="bottom"/>
            <w:gridSpan w:val="22"/>
          </w:tcPr>
          <w:p>
            <w:pPr>
              <w:spacing w:after="0"/>
              <w:rPr>
                <w:rFonts w:ascii="Arial" w:cs="Arial" w:eastAsia="Arial" w:hAnsi="Arial"/>
                <w:sz w:val="16"/>
                <w:szCs w:val="16"/>
                <w:color w:val="0000EE"/>
                <w:w w:val="97"/>
              </w:rPr>
            </w:pPr>
            <w:hyperlink r:id="rId123">
              <w:r>
                <w:rPr>
                  <w:rFonts w:ascii="Arial" w:cs="Arial" w:eastAsia="Arial" w:hAnsi="Arial"/>
                  <w:sz w:val="16"/>
                  <w:szCs w:val="16"/>
                  <w:color w:val="0000EE"/>
                  <w:w w:val="97"/>
                </w:rPr>
                <w:t>Avnet, Inc. 2016 Stock Compensation and Incentive Plan (Amended and Restated Effective as of May 8, 2018).</w:t>
              </w:r>
            </w:hyperlink>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7740" w:type="dxa"/>
            <w:vAlign w:val="bottom"/>
            <w:tcBorders>
              <w:bottom w:val="single" w:sz="8" w:color="0000EE"/>
            </w:tcBorders>
            <w:gridSpan w:val="22"/>
          </w:tcPr>
          <w:p>
            <w:pPr>
              <w:spacing w:after="0" w:line="183" w:lineRule="exact"/>
              <w:rPr>
                <w:rFonts w:ascii="Arial" w:cs="Arial" w:eastAsia="Arial" w:hAnsi="Arial"/>
                <w:sz w:val="16"/>
                <w:szCs w:val="16"/>
                <w:color w:val="0000EE"/>
                <w:w w:val="93"/>
              </w:rPr>
            </w:pPr>
            <w:hyperlink r:id="rId123">
              <w:r>
                <w:rPr>
                  <w:rFonts w:ascii="Arial" w:cs="Arial" w:eastAsia="Arial" w:hAnsi="Arial"/>
                  <w:sz w:val="16"/>
                  <w:szCs w:val="16"/>
                  <w:color w:val="0000EE"/>
                  <w:w w:val="93"/>
                </w:rPr>
                <w:t>(incorporated herein by reference to Exhibit 10.12 to the Company’s Annual Report on Form 10-K filing on August 17,</w:t>
              </w:r>
            </w:hyperlink>
          </w:p>
        </w:tc>
      </w:tr>
      <w:tr>
        <w:trPr>
          <w:trHeight w:val="217"/>
        </w:trPr>
        <w:tc>
          <w:tcPr>
            <w:tcW w:w="900" w:type="dxa"/>
            <w:vAlign w:val="bottom"/>
          </w:tcPr>
          <w:p>
            <w:pPr>
              <w:spacing w:after="0"/>
              <w:rPr>
                <w:sz w:val="18"/>
                <w:szCs w:val="18"/>
                <w:color w:val="auto"/>
              </w:rPr>
            </w:pPr>
          </w:p>
        </w:tc>
        <w:tc>
          <w:tcPr>
            <w:tcW w:w="7740" w:type="dxa"/>
            <w:vAlign w:val="bottom"/>
            <w:gridSpan w:val="22"/>
          </w:tcPr>
          <w:p>
            <w:pPr>
              <w:spacing w:after="0"/>
              <w:rPr>
                <w:rFonts w:ascii="Arial" w:cs="Arial" w:eastAsia="Arial" w:hAnsi="Arial"/>
                <w:sz w:val="16"/>
                <w:szCs w:val="16"/>
                <w:u w:val="single" w:color="auto"/>
                <w:color w:val="0000EE"/>
                <w:w w:val="93"/>
              </w:rPr>
            </w:pPr>
            <w:hyperlink r:id="rId123">
              <w:r>
                <w:rPr>
                  <w:rFonts w:ascii="Arial" w:cs="Arial" w:eastAsia="Arial" w:hAnsi="Arial"/>
                  <w:sz w:val="16"/>
                  <w:szCs w:val="16"/>
                  <w:u w:val="single" w:color="auto"/>
                  <w:color w:val="0000EE"/>
                  <w:w w:val="93"/>
                </w:rPr>
                <w:t>2018). Refer to Exhibit 10.15, above, for the form of awards under the 2016 Stock Compensation and Incentive Plan.</w:t>
              </w:r>
            </w:hyperlink>
          </w:p>
        </w:tc>
      </w:tr>
      <w:tr>
        <w:trPr>
          <w:trHeight w:val="371"/>
        </w:trPr>
        <w:tc>
          <w:tcPr>
            <w:tcW w:w="900" w:type="dxa"/>
            <w:vAlign w:val="bottom"/>
          </w:tcPr>
          <w:p>
            <w:pPr>
              <w:jc w:val="right"/>
              <w:ind w:right="459"/>
              <w:spacing w:after="0"/>
              <w:rPr>
                <w:sz w:val="20"/>
                <w:szCs w:val="20"/>
                <w:color w:val="auto"/>
              </w:rPr>
            </w:pPr>
            <w:r>
              <w:rPr>
                <w:rFonts w:ascii="Arial" w:cs="Arial" w:eastAsia="Arial" w:hAnsi="Arial"/>
                <w:sz w:val="16"/>
                <w:szCs w:val="16"/>
                <w:color w:val="auto"/>
                <w:w w:val="84"/>
              </w:rPr>
              <w:t>10.17</w:t>
            </w:r>
          </w:p>
        </w:tc>
        <w:tc>
          <w:tcPr>
            <w:tcW w:w="7740" w:type="dxa"/>
            <w:vAlign w:val="bottom"/>
            <w:gridSpan w:val="22"/>
          </w:tcPr>
          <w:p>
            <w:pPr>
              <w:spacing w:after="0"/>
              <w:rPr>
                <w:rFonts w:ascii="Arial" w:cs="Arial" w:eastAsia="Arial" w:hAnsi="Arial"/>
                <w:sz w:val="16"/>
                <w:szCs w:val="16"/>
                <w:color w:val="0000EE"/>
                <w:w w:val="93"/>
              </w:rPr>
            </w:pPr>
            <w:hyperlink r:id="rId124">
              <w:r>
                <w:rPr>
                  <w:rFonts w:ascii="Arial" w:cs="Arial" w:eastAsia="Arial" w:hAnsi="Arial"/>
                  <w:sz w:val="16"/>
                  <w:szCs w:val="16"/>
                  <w:color w:val="0000EE"/>
                  <w:w w:val="93"/>
                </w:rPr>
                <w:t>(a) Avnet Deferred Compensation Plan (Amended and Restated Effective as of May 8, 2018). (incorporated herein by</w:t>
              </w:r>
            </w:hyperlink>
          </w:p>
        </w:tc>
      </w:tr>
      <w:tr>
        <w:trPr>
          <w:trHeight w:val="217"/>
        </w:trPr>
        <w:tc>
          <w:tcPr>
            <w:tcW w:w="900" w:type="dxa"/>
            <w:vAlign w:val="bottom"/>
          </w:tcPr>
          <w:p>
            <w:pPr>
              <w:spacing w:after="0"/>
              <w:rPr>
                <w:sz w:val="18"/>
                <w:szCs w:val="18"/>
                <w:color w:val="auto"/>
              </w:rPr>
            </w:pPr>
          </w:p>
        </w:tc>
        <w:tc>
          <w:tcPr>
            <w:tcW w:w="7620" w:type="dxa"/>
            <w:vAlign w:val="bottom"/>
            <w:tcBorders>
              <w:top w:val="single" w:sz="8" w:color="0000EE"/>
            </w:tcBorders>
            <w:gridSpan w:val="19"/>
          </w:tcPr>
          <w:p>
            <w:pPr>
              <w:spacing w:after="0"/>
              <w:rPr>
                <w:rFonts w:ascii="Arial" w:cs="Arial" w:eastAsia="Arial" w:hAnsi="Arial"/>
                <w:sz w:val="16"/>
                <w:szCs w:val="16"/>
                <w:u w:val="single" w:color="auto"/>
                <w:color w:val="0000EE"/>
              </w:rPr>
            </w:pPr>
            <w:hyperlink r:id="rId124">
              <w:r>
                <w:rPr>
                  <w:rFonts w:ascii="Arial" w:cs="Arial" w:eastAsia="Arial" w:hAnsi="Arial"/>
                  <w:sz w:val="16"/>
                  <w:szCs w:val="16"/>
                  <w:u w:val="single" w:color="auto"/>
                  <w:color w:val="0000EE"/>
                </w:rPr>
                <w:t>reference to Exhibit 10.13 to the Company’s Annual Report on Form 10-K filing on August 17, 2018).</w:t>
              </w:r>
            </w:hyperlink>
          </w:p>
        </w:tc>
        <w:tc>
          <w:tcPr>
            <w:tcW w:w="120" w:type="dxa"/>
            <w:vAlign w:val="bottom"/>
            <w:gridSpan w:val="3"/>
          </w:tcPr>
          <w:p>
            <w:pPr>
              <w:spacing w:after="0"/>
              <w:rPr>
                <w:sz w:val="18"/>
                <w:szCs w:val="18"/>
                <w:color w:val="auto"/>
              </w:rPr>
            </w:pPr>
          </w:p>
        </w:tc>
      </w:tr>
      <w:tr>
        <w:trPr>
          <w:trHeight w:val="370"/>
        </w:trPr>
        <w:tc>
          <w:tcPr>
            <w:tcW w:w="900" w:type="dxa"/>
            <w:vAlign w:val="bottom"/>
          </w:tcPr>
          <w:p>
            <w:pPr>
              <w:spacing w:after="0"/>
              <w:rPr>
                <w:sz w:val="24"/>
                <w:szCs w:val="24"/>
                <w:color w:val="auto"/>
              </w:rPr>
            </w:pPr>
          </w:p>
        </w:tc>
        <w:tc>
          <w:tcPr>
            <w:tcW w:w="7740" w:type="dxa"/>
            <w:vAlign w:val="bottom"/>
            <w:tcBorders>
              <w:bottom w:val="single" w:sz="8" w:color="0000EE"/>
            </w:tcBorders>
            <w:gridSpan w:val="22"/>
          </w:tcPr>
          <w:p>
            <w:pPr>
              <w:spacing w:after="0"/>
              <w:rPr>
                <w:rFonts w:ascii="Arial" w:cs="Arial" w:eastAsia="Arial" w:hAnsi="Arial"/>
                <w:sz w:val="16"/>
                <w:szCs w:val="16"/>
                <w:color w:val="0000EE"/>
                <w:w w:val="91"/>
              </w:rPr>
            </w:pPr>
            <w:hyperlink r:id="rId125">
              <w:r>
                <w:rPr>
                  <w:rFonts w:ascii="Arial" w:cs="Arial" w:eastAsia="Arial" w:hAnsi="Arial"/>
                  <w:sz w:val="16"/>
                  <w:szCs w:val="16"/>
                  <w:color w:val="0000EE"/>
                  <w:w w:val="91"/>
                </w:rPr>
                <w:t>(b) First Amendment to the May 8, 2018 Amended and Restated Avnet Deferred Compensation Plan, dated February 6,</w:t>
              </w:r>
            </w:hyperlink>
          </w:p>
        </w:tc>
      </w:tr>
      <w:tr>
        <w:trPr>
          <w:trHeight w:val="183"/>
        </w:trPr>
        <w:tc>
          <w:tcPr>
            <w:tcW w:w="900" w:type="dxa"/>
            <w:vAlign w:val="bottom"/>
          </w:tcPr>
          <w:p>
            <w:pPr>
              <w:spacing w:after="0"/>
              <w:rPr>
                <w:sz w:val="15"/>
                <w:szCs w:val="15"/>
                <w:color w:val="auto"/>
              </w:rPr>
            </w:pPr>
          </w:p>
        </w:tc>
        <w:tc>
          <w:tcPr>
            <w:tcW w:w="7740" w:type="dxa"/>
            <w:vAlign w:val="bottom"/>
            <w:tcBorders>
              <w:bottom w:val="single" w:sz="8" w:color="0000EE"/>
            </w:tcBorders>
            <w:gridSpan w:val="22"/>
          </w:tcPr>
          <w:p>
            <w:pPr>
              <w:spacing w:after="0" w:line="183" w:lineRule="exact"/>
              <w:rPr>
                <w:rFonts w:ascii="Arial" w:cs="Arial" w:eastAsia="Arial" w:hAnsi="Arial"/>
                <w:sz w:val="16"/>
                <w:szCs w:val="16"/>
                <w:color w:val="0000EE"/>
                <w:w w:val="92"/>
              </w:rPr>
            </w:pPr>
            <w:hyperlink r:id="rId125">
              <w:r>
                <w:rPr>
                  <w:rFonts w:ascii="Arial" w:cs="Arial" w:eastAsia="Arial" w:hAnsi="Arial"/>
                  <w:sz w:val="16"/>
                  <w:szCs w:val="16"/>
                  <w:color w:val="0000EE"/>
                  <w:w w:val="92"/>
                </w:rPr>
                <w:t>2020 (incorporated herein by reference to Exhibit 10.2 to the Company’s Annual Report on Form 10-Q filed on May 1,</w:t>
              </w:r>
            </w:hyperlink>
          </w:p>
        </w:tc>
      </w:tr>
      <w:tr>
        <w:trPr>
          <w:trHeight w:val="183"/>
        </w:trPr>
        <w:tc>
          <w:tcPr>
            <w:tcW w:w="900" w:type="dxa"/>
            <w:vAlign w:val="bottom"/>
          </w:tcPr>
          <w:p>
            <w:pPr>
              <w:spacing w:after="0"/>
              <w:rPr>
                <w:sz w:val="15"/>
                <w:szCs w:val="15"/>
                <w:color w:val="auto"/>
              </w:rPr>
            </w:pPr>
          </w:p>
        </w:tc>
        <w:tc>
          <w:tcPr>
            <w:tcW w:w="420" w:type="dxa"/>
            <w:vAlign w:val="bottom"/>
            <w:tcBorders>
              <w:bottom w:val="single" w:sz="8" w:color="0000EE"/>
            </w:tcBorders>
            <w:gridSpan w:val="2"/>
          </w:tcPr>
          <w:p>
            <w:pPr>
              <w:spacing w:after="0" w:line="183" w:lineRule="exact"/>
              <w:rPr>
                <w:rFonts w:ascii="Arial" w:cs="Arial" w:eastAsia="Arial" w:hAnsi="Arial"/>
                <w:sz w:val="16"/>
                <w:szCs w:val="16"/>
                <w:color w:val="0000EE"/>
                <w:w w:val="88"/>
              </w:rPr>
            </w:pPr>
            <w:hyperlink r:id="rId125">
              <w:r>
                <w:rPr>
                  <w:rFonts w:ascii="Arial" w:cs="Arial" w:eastAsia="Arial" w:hAnsi="Arial"/>
                  <w:sz w:val="16"/>
                  <w:szCs w:val="16"/>
                  <w:color w:val="0000EE"/>
                  <w:w w:val="88"/>
                </w:rPr>
                <w:t>2020).</w:t>
              </w:r>
            </w:hyperlink>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00" w:type="dxa"/>
            <w:vAlign w:val="bottom"/>
          </w:tcPr>
          <w:p>
            <w:pPr>
              <w:jc w:val="right"/>
              <w:ind w:right="459"/>
              <w:spacing w:after="0"/>
              <w:rPr>
                <w:sz w:val="20"/>
                <w:szCs w:val="20"/>
                <w:color w:val="auto"/>
              </w:rPr>
            </w:pPr>
            <w:r>
              <w:rPr>
                <w:rFonts w:ascii="Arial" w:cs="Arial" w:eastAsia="Arial" w:hAnsi="Arial"/>
                <w:sz w:val="16"/>
                <w:szCs w:val="16"/>
                <w:color w:val="auto"/>
                <w:w w:val="84"/>
              </w:rPr>
              <w:t>10.18</w:t>
            </w:r>
          </w:p>
        </w:tc>
        <w:tc>
          <w:tcPr>
            <w:tcW w:w="7560" w:type="dxa"/>
            <w:vAlign w:val="bottom"/>
            <w:tcBorders>
              <w:bottom w:val="single" w:sz="8" w:color="0000EE"/>
            </w:tcBorders>
            <w:gridSpan w:val="17"/>
          </w:tcPr>
          <w:p>
            <w:pPr>
              <w:spacing w:after="0"/>
              <w:rPr>
                <w:rFonts w:ascii="Arial" w:cs="Arial" w:eastAsia="Arial" w:hAnsi="Arial"/>
                <w:sz w:val="16"/>
                <w:szCs w:val="16"/>
                <w:color w:val="0000EE"/>
                <w:w w:val="92"/>
              </w:rPr>
            </w:pPr>
            <w:hyperlink r:id="rId126">
              <w:r>
                <w:rPr>
                  <w:rFonts w:ascii="Arial" w:cs="Arial" w:eastAsia="Arial" w:hAnsi="Arial"/>
                  <w:sz w:val="16"/>
                  <w:szCs w:val="16"/>
                  <w:color w:val="0000EE"/>
                  <w:w w:val="92"/>
                </w:rPr>
                <w:t>Avnet, Inc. Deferred Compensation Plan for Outside Directors (Amended and Restated Effective as of May 8, 2018)</w:t>
              </w:r>
            </w:hyperlink>
          </w:p>
        </w:tc>
        <w:tc>
          <w:tcPr>
            <w:tcW w:w="180" w:type="dxa"/>
            <w:vAlign w:val="bottom"/>
            <w:gridSpan w:val="5"/>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740" w:type="dxa"/>
            <w:vAlign w:val="bottom"/>
            <w:gridSpan w:val="22"/>
          </w:tcPr>
          <w:p>
            <w:pPr>
              <w:spacing w:after="0" w:line="183" w:lineRule="exact"/>
              <w:rPr>
                <w:rFonts w:ascii="Arial" w:cs="Arial" w:eastAsia="Arial" w:hAnsi="Arial"/>
                <w:sz w:val="16"/>
                <w:szCs w:val="16"/>
                <w:color w:val="0000EE"/>
                <w:w w:val="94"/>
              </w:rPr>
            </w:pPr>
            <w:hyperlink r:id="rId126">
              <w:r>
                <w:rPr>
                  <w:rFonts w:ascii="Arial" w:cs="Arial" w:eastAsia="Arial" w:hAnsi="Arial"/>
                  <w:sz w:val="16"/>
                  <w:szCs w:val="16"/>
                  <w:color w:val="0000EE"/>
                  <w:w w:val="94"/>
                </w:rPr>
                <w:t>(incorporated herein by reference to Exhibit 10.5 to the Company’s Annual Report on Form 10-K filing on August 17,</w:t>
              </w:r>
            </w:hyperlink>
          </w:p>
        </w:tc>
      </w:tr>
      <w:tr>
        <w:trPr>
          <w:trHeight w:val="183"/>
        </w:trPr>
        <w:tc>
          <w:tcPr>
            <w:tcW w:w="900" w:type="dxa"/>
            <w:vAlign w:val="bottom"/>
          </w:tcPr>
          <w:p>
            <w:pPr>
              <w:spacing w:after="0"/>
              <w:rPr>
                <w:sz w:val="15"/>
                <w:szCs w:val="15"/>
                <w:color w:val="auto"/>
              </w:rPr>
            </w:pPr>
          </w:p>
        </w:tc>
        <w:tc>
          <w:tcPr>
            <w:tcW w:w="42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8"/>
              </w:rPr>
            </w:pPr>
            <w:hyperlink r:id="rId126">
              <w:r>
                <w:rPr>
                  <w:rFonts w:ascii="Arial" w:cs="Arial" w:eastAsia="Arial" w:hAnsi="Arial"/>
                  <w:sz w:val="16"/>
                  <w:szCs w:val="16"/>
                  <w:color w:val="0000EE"/>
                  <w:w w:val="88"/>
                </w:rPr>
                <w:t>2018).</w:t>
              </w:r>
            </w:hyperlink>
          </w:p>
        </w:tc>
        <w:tc>
          <w:tcPr>
            <w:tcW w:w="1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8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20"/>
        </w:trPr>
        <w:tc>
          <w:tcPr>
            <w:tcW w:w="900" w:type="dxa"/>
            <w:vAlign w:val="bottom"/>
          </w:tcPr>
          <w:p>
            <w:pPr>
              <w:spacing w:after="0"/>
              <w:rPr>
                <w:sz w:val="24"/>
                <w:szCs w:val="24"/>
                <w:color w:val="auto"/>
              </w:rPr>
            </w:pPr>
          </w:p>
        </w:tc>
        <w:tc>
          <w:tcPr>
            <w:tcW w:w="7740" w:type="dxa"/>
            <w:vAlign w:val="bottom"/>
            <w:gridSpan w:val="22"/>
          </w:tcPr>
          <w:p>
            <w:pPr>
              <w:spacing w:after="0"/>
              <w:rPr>
                <w:sz w:val="20"/>
                <w:szCs w:val="20"/>
                <w:color w:val="auto"/>
              </w:rPr>
            </w:pPr>
            <w:r>
              <w:rPr>
                <w:rFonts w:ascii="Arial" w:cs="Arial" w:eastAsia="Arial" w:hAnsi="Arial"/>
                <w:sz w:val="16"/>
                <w:szCs w:val="16"/>
                <w:b w:val="1"/>
                <w:bCs w:val="1"/>
                <w:color w:val="auto"/>
              </w:rPr>
              <w:t>Bank Agreements</w:t>
            </w:r>
          </w:p>
        </w:tc>
      </w:tr>
      <w:tr>
        <w:trPr>
          <w:trHeight w:val="405"/>
        </w:trPr>
        <w:tc>
          <w:tcPr>
            <w:tcW w:w="900" w:type="dxa"/>
            <w:vAlign w:val="bottom"/>
          </w:tcPr>
          <w:p>
            <w:pPr>
              <w:jc w:val="right"/>
              <w:ind w:right="459"/>
              <w:spacing w:after="0"/>
              <w:rPr>
                <w:sz w:val="20"/>
                <w:szCs w:val="20"/>
                <w:color w:val="auto"/>
              </w:rPr>
            </w:pPr>
            <w:r>
              <w:rPr>
                <w:rFonts w:ascii="Arial" w:cs="Arial" w:eastAsia="Arial" w:hAnsi="Arial"/>
                <w:sz w:val="16"/>
                <w:szCs w:val="16"/>
                <w:color w:val="auto"/>
                <w:w w:val="84"/>
              </w:rPr>
              <w:t>10.19</w:t>
            </w:r>
          </w:p>
        </w:tc>
        <w:tc>
          <w:tcPr>
            <w:tcW w:w="7740" w:type="dxa"/>
            <w:vAlign w:val="bottom"/>
            <w:gridSpan w:val="22"/>
          </w:tcPr>
          <w:p>
            <w:pPr>
              <w:spacing w:after="0"/>
              <w:rPr>
                <w:sz w:val="20"/>
                <w:szCs w:val="20"/>
                <w:color w:val="auto"/>
              </w:rPr>
            </w:pPr>
            <w:r>
              <w:rPr>
                <w:rFonts w:ascii="Arial" w:cs="Arial" w:eastAsia="Arial" w:hAnsi="Arial"/>
                <w:sz w:val="16"/>
                <w:szCs w:val="16"/>
                <w:color w:val="auto"/>
              </w:rPr>
              <w:t>Securitization Program</w:t>
            </w:r>
          </w:p>
        </w:tc>
      </w:tr>
      <w:tr>
        <w:trPr>
          <w:trHeight w:val="370"/>
        </w:trPr>
        <w:tc>
          <w:tcPr>
            <w:tcW w:w="900" w:type="dxa"/>
            <w:vAlign w:val="bottom"/>
          </w:tcPr>
          <w:p>
            <w:pPr>
              <w:spacing w:after="0"/>
              <w:rPr>
                <w:sz w:val="24"/>
                <w:szCs w:val="24"/>
                <w:color w:val="auto"/>
              </w:rPr>
            </w:pPr>
          </w:p>
        </w:tc>
        <w:tc>
          <w:tcPr>
            <w:tcW w:w="7520" w:type="dxa"/>
            <w:vAlign w:val="bottom"/>
            <w:tcBorders>
              <w:bottom w:val="single" w:sz="8" w:color="0000EE"/>
            </w:tcBorders>
            <w:gridSpan w:val="15"/>
          </w:tcPr>
          <w:p>
            <w:pPr>
              <w:spacing w:after="0"/>
              <w:rPr>
                <w:rFonts w:ascii="Arial" w:cs="Arial" w:eastAsia="Arial" w:hAnsi="Arial"/>
                <w:sz w:val="16"/>
                <w:szCs w:val="16"/>
                <w:color w:val="0000EE"/>
                <w:w w:val="90"/>
              </w:rPr>
            </w:pPr>
            <w:hyperlink r:id="rId127">
              <w:r>
                <w:rPr>
                  <w:rFonts w:ascii="Arial" w:cs="Arial" w:eastAsia="Arial" w:hAnsi="Arial"/>
                  <w:sz w:val="16"/>
                  <w:szCs w:val="16"/>
                  <w:color w:val="0000EE"/>
                  <w:w w:val="90"/>
                </w:rPr>
                <w:t>(a) Receivables Sale Agreement: (1) Second Amended and Restated Receivables Sale Agreement, dated August 16,</w:t>
              </w:r>
            </w:hyperlink>
          </w:p>
        </w:tc>
        <w:tc>
          <w:tcPr>
            <w:tcW w:w="220" w:type="dxa"/>
            <w:vAlign w:val="bottom"/>
            <w:gridSpan w:val="7"/>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660" w:type="dxa"/>
            <w:vAlign w:val="bottom"/>
            <w:tcBorders>
              <w:bottom w:val="single" w:sz="8" w:color="0000EE"/>
            </w:tcBorders>
            <w:gridSpan w:val="20"/>
          </w:tcPr>
          <w:p>
            <w:pPr>
              <w:spacing w:after="0" w:line="183" w:lineRule="exact"/>
              <w:rPr>
                <w:rFonts w:ascii="Arial" w:cs="Arial" w:eastAsia="Arial" w:hAnsi="Arial"/>
                <w:sz w:val="16"/>
                <w:szCs w:val="16"/>
                <w:color w:val="0000EE"/>
                <w:w w:val="91"/>
              </w:rPr>
            </w:pPr>
            <w:hyperlink r:id="rId127">
              <w:r>
                <w:rPr>
                  <w:rFonts w:ascii="Arial" w:cs="Arial" w:eastAsia="Arial" w:hAnsi="Arial"/>
                  <w:sz w:val="16"/>
                  <w:szCs w:val="16"/>
                  <w:color w:val="0000EE"/>
                  <w:w w:val="91"/>
                </w:rPr>
                <w:t>2018, between Avnet, Inc. and Avnet Receivables Corporation (incorporated herein by reference to Exhibit 10.2 to the</w:t>
              </w:r>
            </w:hyperlink>
          </w:p>
        </w:tc>
        <w:tc>
          <w:tcPr>
            <w:tcW w:w="80" w:type="dxa"/>
            <w:vAlign w:val="bottom"/>
            <w:gridSpan w:val="2"/>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740" w:type="dxa"/>
            <w:vAlign w:val="bottom"/>
            <w:gridSpan w:val="22"/>
          </w:tcPr>
          <w:p>
            <w:pPr>
              <w:spacing w:after="0" w:line="183" w:lineRule="exact"/>
              <w:rPr>
                <w:rFonts w:ascii="Arial" w:cs="Arial" w:eastAsia="Arial" w:hAnsi="Arial"/>
                <w:sz w:val="16"/>
                <w:szCs w:val="16"/>
                <w:color w:val="0000EE"/>
              </w:rPr>
            </w:pPr>
            <w:hyperlink r:id="rId127">
              <w:r>
                <w:rPr>
                  <w:rFonts w:ascii="Arial" w:cs="Arial" w:eastAsia="Arial" w:hAnsi="Arial"/>
                  <w:sz w:val="16"/>
                  <w:szCs w:val="16"/>
                  <w:color w:val="0000EE"/>
                </w:rPr>
                <w:t>Company’s Current Report on Form 8-K filed on August 17, 2018).</w:t>
              </w:r>
            </w:hyperlink>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00" w:type="dxa"/>
            <w:vAlign w:val="bottom"/>
          </w:tcPr>
          <w:p>
            <w:pPr>
              <w:spacing w:after="0"/>
              <w:rPr>
                <w:sz w:val="24"/>
                <w:szCs w:val="24"/>
                <w:color w:val="auto"/>
              </w:rPr>
            </w:pPr>
          </w:p>
        </w:tc>
        <w:tc>
          <w:tcPr>
            <w:tcW w:w="7740" w:type="dxa"/>
            <w:vAlign w:val="bottom"/>
            <w:gridSpan w:val="22"/>
          </w:tcPr>
          <w:p>
            <w:pPr>
              <w:spacing w:after="0"/>
              <w:rPr>
                <w:rFonts w:ascii="Arial" w:cs="Arial" w:eastAsia="Arial" w:hAnsi="Arial"/>
                <w:sz w:val="16"/>
                <w:szCs w:val="16"/>
                <w:color w:val="0000EE"/>
                <w:w w:val="91"/>
              </w:rPr>
            </w:pPr>
            <w:hyperlink r:id="rId128">
              <w:r>
                <w:rPr>
                  <w:rFonts w:ascii="Arial" w:cs="Arial" w:eastAsia="Arial" w:hAnsi="Arial"/>
                  <w:sz w:val="16"/>
                  <w:szCs w:val="16"/>
                  <w:color w:val="0000EE"/>
                  <w:w w:val="91"/>
                </w:rPr>
                <w:t>(2) Amendment No. 1 to the Second Amended and Restated Receivables Sale Agreement, dated July 31, 2020, among</w:t>
              </w:r>
            </w:hyperlink>
          </w:p>
        </w:tc>
      </w:tr>
      <w:tr>
        <w:trPr>
          <w:trHeight w:val="183"/>
        </w:trPr>
        <w:tc>
          <w:tcPr>
            <w:tcW w:w="900" w:type="dxa"/>
            <w:vAlign w:val="bottom"/>
          </w:tcPr>
          <w:p>
            <w:pPr>
              <w:spacing w:after="0"/>
              <w:rPr>
                <w:sz w:val="15"/>
                <w:szCs w:val="15"/>
                <w:color w:val="auto"/>
              </w:rPr>
            </w:pPr>
          </w:p>
        </w:tc>
        <w:tc>
          <w:tcPr>
            <w:tcW w:w="7460" w:type="dxa"/>
            <w:vAlign w:val="bottom"/>
            <w:tcBorders>
              <w:top w:val="single" w:sz="8" w:color="0000EE"/>
              <w:bottom w:val="single" w:sz="8" w:color="0000EE"/>
            </w:tcBorders>
            <w:gridSpan w:val="12"/>
          </w:tcPr>
          <w:p>
            <w:pPr>
              <w:spacing w:after="0" w:line="183" w:lineRule="exact"/>
              <w:rPr>
                <w:rFonts w:ascii="Arial" w:cs="Arial" w:eastAsia="Arial" w:hAnsi="Arial"/>
                <w:sz w:val="16"/>
                <w:szCs w:val="16"/>
                <w:color w:val="0000EE"/>
                <w:w w:val="92"/>
              </w:rPr>
            </w:pPr>
            <w:hyperlink r:id="rId128">
              <w:r>
                <w:rPr>
                  <w:rFonts w:ascii="Arial" w:cs="Arial" w:eastAsia="Arial" w:hAnsi="Arial"/>
                  <w:sz w:val="16"/>
                  <w:szCs w:val="16"/>
                  <w:color w:val="0000EE"/>
                  <w:w w:val="92"/>
                </w:rPr>
                <w:t>Avnet, Inc. and Avnet Receivables Corporation (incorporated herein by reference to Exhibit 10.2 to the Company’s</w:t>
              </w:r>
            </w:hyperlink>
          </w:p>
        </w:tc>
        <w:tc>
          <w:tcPr>
            <w:tcW w:w="200" w:type="dxa"/>
            <w:vAlign w:val="bottom"/>
            <w:tcBorders>
              <w:top w:val="single" w:sz="8" w:color="0000EE"/>
            </w:tcBorders>
            <w:gridSpan w:val="8"/>
          </w:tcPr>
          <w:p>
            <w:pPr>
              <w:spacing w:after="0"/>
              <w:rPr>
                <w:sz w:val="15"/>
                <w:szCs w:val="15"/>
                <w:color w:val="auto"/>
              </w:rPr>
            </w:pPr>
          </w:p>
        </w:tc>
        <w:tc>
          <w:tcPr>
            <w:tcW w:w="80" w:type="dxa"/>
            <w:vAlign w:val="bottom"/>
            <w:gridSpan w:val="2"/>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3540" w:type="dxa"/>
            <w:vAlign w:val="bottom"/>
            <w:tcBorders>
              <w:bottom w:val="single" w:sz="8" w:color="0000EE"/>
            </w:tcBorders>
            <w:gridSpan w:val="5"/>
          </w:tcPr>
          <w:p>
            <w:pPr>
              <w:spacing w:after="0" w:line="183" w:lineRule="exact"/>
              <w:rPr>
                <w:rFonts w:ascii="Arial" w:cs="Arial" w:eastAsia="Arial" w:hAnsi="Arial"/>
                <w:sz w:val="16"/>
                <w:szCs w:val="16"/>
                <w:color w:val="0000EE"/>
                <w:w w:val="93"/>
              </w:rPr>
            </w:pPr>
            <w:hyperlink r:id="rId128">
              <w:r>
                <w:rPr>
                  <w:rFonts w:ascii="Arial" w:cs="Arial" w:eastAsia="Arial" w:hAnsi="Arial"/>
                  <w:sz w:val="16"/>
                  <w:szCs w:val="16"/>
                  <w:color w:val="0000EE"/>
                  <w:w w:val="93"/>
                </w:rPr>
                <w:t>Current Report on Form 8-K filed on August 6, 2020).</w:t>
              </w:r>
            </w:hyperlink>
          </w:p>
        </w:tc>
        <w:tc>
          <w:tcPr>
            <w:tcW w:w="4200" w:type="dxa"/>
            <w:vAlign w:val="bottom"/>
            <w:gridSpan w:val="17"/>
          </w:tcPr>
          <w:p>
            <w:pPr>
              <w:spacing w:after="0"/>
              <w:rPr>
                <w:sz w:val="15"/>
                <w:szCs w:val="15"/>
                <w:color w:val="auto"/>
              </w:rPr>
            </w:pPr>
          </w:p>
        </w:tc>
      </w:tr>
      <w:tr>
        <w:trPr>
          <w:trHeight w:val="385"/>
        </w:trPr>
        <w:tc>
          <w:tcPr>
            <w:tcW w:w="900" w:type="dxa"/>
            <w:vAlign w:val="bottom"/>
          </w:tcPr>
          <w:p>
            <w:pPr>
              <w:spacing w:after="0"/>
              <w:rPr>
                <w:sz w:val="24"/>
                <w:szCs w:val="24"/>
                <w:color w:val="auto"/>
              </w:rPr>
            </w:pPr>
          </w:p>
        </w:tc>
        <w:tc>
          <w:tcPr>
            <w:tcW w:w="7340" w:type="dxa"/>
            <w:vAlign w:val="bottom"/>
            <w:tcBorders>
              <w:bottom w:val="single" w:sz="8" w:color="0000EE"/>
            </w:tcBorders>
            <w:gridSpan w:val="10"/>
          </w:tcPr>
          <w:p>
            <w:pPr>
              <w:spacing w:after="0"/>
              <w:rPr>
                <w:rFonts w:ascii="Arial" w:cs="Arial" w:eastAsia="Arial" w:hAnsi="Arial"/>
                <w:sz w:val="16"/>
                <w:szCs w:val="16"/>
                <w:color w:val="0000EE"/>
                <w:w w:val="90"/>
              </w:rPr>
            </w:pPr>
            <w:hyperlink r:id="rId129">
              <w:r>
                <w:rPr>
                  <w:rFonts w:ascii="Arial" w:cs="Arial" w:eastAsia="Arial" w:hAnsi="Arial"/>
                  <w:sz w:val="16"/>
                  <w:szCs w:val="16"/>
                  <w:color w:val="0000EE"/>
                  <w:w w:val="90"/>
                </w:rPr>
                <w:t>(b) Receivables Purchase Agreement: (1) Fourth Amended and Restated Receivables Purchase Agreement, dated</w:t>
              </w:r>
            </w:hyperlink>
          </w:p>
        </w:tc>
        <w:tc>
          <w:tcPr>
            <w:tcW w:w="400" w:type="dxa"/>
            <w:vAlign w:val="bottom"/>
            <w:gridSpan w:val="12"/>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7740" w:type="dxa"/>
            <w:vAlign w:val="bottom"/>
            <w:gridSpan w:val="22"/>
          </w:tcPr>
          <w:p>
            <w:pPr>
              <w:spacing w:after="0" w:line="183" w:lineRule="exact"/>
              <w:rPr>
                <w:rFonts w:ascii="Arial" w:cs="Arial" w:eastAsia="Arial" w:hAnsi="Arial"/>
                <w:sz w:val="16"/>
                <w:szCs w:val="16"/>
                <w:color w:val="0000EE"/>
                <w:w w:val="95"/>
              </w:rPr>
            </w:pPr>
            <w:hyperlink r:id="rId129">
              <w:r>
                <w:rPr>
                  <w:rFonts w:ascii="Arial" w:cs="Arial" w:eastAsia="Arial" w:hAnsi="Arial"/>
                  <w:sz w:val="16"/>
                  <w:szCs w:val="16"/>
                  <w:color w:val="0000EE"/>
                  <w:w w:val="95"/>
                </w:rPr>
                <w:t>August 16, 2018, among Avnet, Inc., Avnet Receivables Corporation, the companies and financial institutions party</w:t>
              </w:r>
            </w:hyperlink>
          </w:p>
        </w:tc>
      </w:tr>
      <w:tr>
        <w:trPr>
          <w:trHeight w:val="183"/>
        </w:trPr>
        <w:tc>
          <w:tcPr>
            <w:tcW w:w="900" w:type="dxa"/>
            <w:vAlign w:val="bottom"/>
          </w:tcPr>
          <w:p>
            <w:pPr>
              <w:spacing w:after="0"/>
              <w:rPr>
                <w:sz w:val="15"/>
                <w:szCs w:val="15"/>
                <w:color w:val="auto"/>
              </w:rPr>
            </w:pPr>
          </w:p>
        </w:tc>
        <w:tc>
          <w:tcPr>
            <w:tcW w:w="7480" w:type="dxa"/>
            <w:vAlign w:val="bottom"/>
            <w:tcBorders>
              <w:top w:val="single" w:sz="8" w:color="0000EE"/>
            </w:tcBorders>
            <w:gridSpan w:val="13"/>
          </w:tcPr>
          <w:p>
            <w:pPr>
              <w:spacing w:after="0" w:line="183" w:lineRule="exact"/>
              <w:rPr>
                <w:rFonts w:ascii="Arial" w:cs="Arial" w:eastAsia="Arial" w:hAnsi="Arial"/>
                <w:sz w:val="16"/>
                <w:szCs w:val="16"/>
                <w:color w:val="0000EE"/>
                <w:w w:val="93"/>
              </w:rPr>
            </w:pPr>
            <w:hyperlink r:id="rId129">
              <w:r>
                <w:rPr>
                  <w:rFonts w:ascii="Arial" w:cs="Arial" w:eastAsia="Arial" w:hAnsi="Arial"/>
                  <w:sz w:val="16"/>
                  <w:szCs w:val="16"/>
                  <w:color w:val="0000EE"/>
                  <w:w w:val="93"/>
                </w:rPr>
                <w:t>thereto and Wells Fargo Bank, N.A., as agent (incorporated herein by reference to Exhibit 10.1 to the Company’s</w:t>
              </w:r>
            </w:hyperlink>
          </w:p>
        </w:tc>
        <w:tc>
          <w:tcPr>
            <w:tcW w:w="260" w:type="dxa"/>
            <w:vAlign w:val="bottom"/>
            <w:gridSpan w:val="9"/>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362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3"/>
              </w:rPr>
            </w:pPr>
            <w:hyperlink r:id="rId129">
              <w:r>
                <w:rPr>
                  <w:rFonts w:ascii="Arial" w:cs="Arial" w:eastAsia="Arial" w:hAnsi="Arial"/>
                  <w:sz w:val="16"/>
                  <w:szCs w:val="16"/>
                  <w:color w:val="0000EE"/>
                  <w:w w:val="93"/>
                </w:rPr>
                <w:t>Current Report on Form 8-K filed on August 17, 2018).</w:t>
              </w:r>
            </w:hyperlink>
          </w:p>
        </w:tc>
        <w:tc>
          <w:tcPr>
            <w:tcW w:w="3700" w:type="dxa"/>
            <w:vAlign w:val="bottom"/>
            <w:tcBorders>
              <w:top w:val="single" w:sz="8" w:color="0000EE"/>
            </w:tcBorders>
            <w:gridSpan w:val="3"/>
          </w:tcPr>
          <w:p>
            <w:pPr>
              <w:spacing w:after="0"/>
              <w:rPr>
                <w:sz w:val="15"/>
                <w:szCs w:val="15"/>
                <w:color w:val="auto"/>
              </w:rPr>
            </w:pPr>
          </w:p>
        </w:tc>
        <w:tc>
          <w:tcPr>
            <w:tcW w:w="420" w:type="dxa"/>
            <w:vAlign w:val="bottom"/>
            <w:gridSpan w:val="13"/>
          </w:tcPr>
          <w:p>
            <w:pPr>
              <w:spacing w:after="0"/>
              <w:rPr>
                <w:sz w:val="15"/>
                <w:szCs w:val="15"/>
                <w:color w:val="auto"/>
              </w:rPr>
            </w:pPr>
          </w:p>
        </w:tc>
      </w:tr>
      <w:tr>
        <w:trPr>
          <w:trHeight w:val="385"/>
        </w:trPr>
        <w:tc>
          <w:tcPr>
            <w:tcW w:w="900" w:type="dxa"/>
            <w:vAlign w:val="bottom"/>
          </w:tcPr>
          <w:p>
            <w:pPr>
              <w:spacing w:after="0"/>
              <w:rPr>
                <w:sz w:val="24"/>
                <w:szCs w:val="24"/>
                <w:color w:val="auto"/>
              </w:rPr>
            </w:pPr>
          </w:p>
        </w:tc>
        <w:tc>
          <w:tcPr>
            <w:tcW w:w="7740" w:type="dxa"/>
            <w:vAlign w:val="bottom"/>
            <w:gridSpan w:val="22"/>
          </w:tcPr>
          <w:p>
            <w:pPr>
              <w:spacing w:after="0"/>
              <w:rPr>
                <w:rFonts w:ascii="Arial" w:cs="Arial" w:eastAsia="Arial" w:hAnsi="Arial"/>
                <w:sz w:val="16"/>
                <w:szCs w:val="16"/>
                <w:color w:val="0000EE"/>
                <w:w w:val="93"/>
              </w:rPr>
            </w:pPr>
            <w:hyperlink r:id="rId130">
              <w:r>
                <w:rPr>
                  <w:rFonts w:ascii="Arial" w:cs="Arial" w:eastAsia="Arial" w:hAnsi="Arial"/>
                  <w:sz w:val="16"/>
                  <w:szCs w:val="16"/>
                  <w:color w:val="0000EE"/>
                  <w:w w:val="93"/>
                </w:rPr>
                <w:t>(2) Amendment No. 1 to Fourth Amended and Restated Receivables Purchase Agreement, dated February 28, 2020,</w:t>
              </w:r>
            </w:hyperlink>
          </w:p>
        </w:tc>
      </w:tr>
      <w:tr>
        <w:trPr>
          <w:trHeight w:val="183"/>
        </w:trPr>
        <w:tc>
          <w:tcPr>
            <w:tcW w:w="900" w:type="dxa"/>
            <w:vAlign w:val="bottom"/>
          </w:tcPr>
          <w:p>
            <w:pPr>
              <w:spacing w:after="0"/>
              <w:rPr>
                <w:sz w:val="15"/>
                <w:szCs w:val="15"/>
                <w:color w:val="auto"/>
              </w:rPr>
            </w:pPr>
          </w:p>
        </w:tc>
        <w:tc>
          <w:tcPr>
            <w:tcW w:w="7520" w:type="dxa"/>
            <w:vAlign w:val="bottom"/>
            <w:tcBorders>
              <w:top w:val="single" w:sz="8" w:color="0000EE"/>
            </w:tcBorders>
            <w:gridSpan w:val="15"/>
          </w:tcPr>
          <w:p>
            <w:pPr>
              <w:spacing w:after="0" w:line="183" w:lineRule="exact"/>
              <w:rPr>
                <w:rFonts w:ascii="Arial" w:cs="Arial" w:eastAsia="Arial" w:hAnsi="Arial"/>
                <w:sz w:val="16"/>
                <w:szCs w:val="16"/>
                <w:color w:val="0000EE"/>
                <w:w w:val="92"/>
              </w:rPr>
            </w:pPr>
            <w:hyperlink r:id="rId130">
              <w:r>
                <w:rPr>
                  <w:rFonts w:ascii="Arial" w:cs="Arial" w:eastAsia="Arial" w:hAnsi="Arial"/>
                  <w:sz w:val="16"/>
                  <w:szCs w:val="16"/>
                  <w:color w:val="0000EE"/>
                  <w:w w:val="92"/>
                </w:rPr>
                <w:t>among Avnet, Inc., Avnet Receivables Corporation, the companies and financial institutions party thereto and Wells</w:t>
              </w:r>
            </w:hyperlink>
          </w:p>
        </w:tc>
        <w:tc>
          <w:tcPr>
            <w:tcW w:w="220" w:type="dxa"/>
            <w:vAlign w:val="bottom"/>
            <w:gridSpan w:val="7"/>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6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7740" w:type="dxa"/>
            <w:vAlign w:val="bottom"/>
            <w:tcBorders>
              <w:bottom w:val="single" w:sz="8" w:color="0000EE"/>
            </w:tcBorders>
            <w:gridSpan w:val="22"/>
          </w:tcPr>
          <w:p>
            <w:pPr>
              <w:spacing w:after="0" w:line="183" w:lineRule="exact"/>
              <w:rPr>
                <w:rFonts w:ascii="Arial" w:cs="Arial" w:eastAsia="Arial" w:hAnsi="Arial"/>
                <w:sz w:val="16"/>
                <w:szCs w:val="16"/>
                <w:color w:val="0000EE"/>
                <w:w w:val="91"/>
              </w:rPr>
            </w:pPr>
            <w:hyperlink r:id="rId130">
              <w:r>
                <w:rPr>
                  <w:rFonts w:ascii="Arial" w:cs="Arial" w:eastAsia="Arial" w:hAnsi="Arial"/>
                  <w:sz w:val="16"/>
                  <w:szCs w:val="16"/>
                  <w:color w:val="0000EE"/>
                  <w:w w:val="91"/>
                </w:rPr>
                <w:t>Fargo Bank, N.A., as agent (incorporated herein by reference to Exhibit 10.1 to the Company’s Annual Report on Form</w:t>
              </w:r>
            </w:hyperlink>
          </w:p>
        </w:tc>
      </w:tr>
      <w:tr>
        <w:trPr>
          <w:trHeight w:val="183"/>
        </w:trPr>
        <w:tc>
          <w:tcPr>
            <w:tcW w:w="900" w:type="dxa"/>
            <w:vAlign w:val="bottom"/>
          </w:tcPr>
          <w:p>
            <w:pPr>
              <w:spacing w:after="0"/>
              <w:rPr>
                <w:sz w:val="15"/>
                <w:szCs w:val="15"/>
                <w:color w:val="auto"/>
              </w:rPr>
            </w:pPr>
          </w:p>
        </w:tc>
        <w:tc>
          <w:tcPr>
            <w:tcW w:w="7740" w:type="dxa"/>
            <w:vAlign w:val="bottom"/>
            <w:gridSpan w:val="22"/>
          </w:tcPr>
          <w:p>
            <w:pPr>
              <w:spacing w:after="0" w:line="183" w:lineRule="exact"/>
              <w:rPr>
                <w:rFonts w:ascii="Arial" w:cs="Arial" w:eastAsia="Arial" w:hAnsi="Arial"/>
                <w:sz w:val="16"/>
                <w:szCs w:val="16"/>
                <w:color w:val="0000EE"/>
              </w:rPr>
            </w:pPr>
            <w:hyperlink r:id="rId130">
              <w:r>
                <w:rPr>
                  <w:rFonts w:ascii="Arial" w:cs="Arial" w:eastAsia="Arial" w:hAnsi="Arial"/>
                  <w:sz w:val="16"/>
                  <w:szCs w:val="16"/>
                  <w:color w:val="0000EE"/>
                </w:rPr>
                <w:t>10-Q filed on May 1, 2020).</w:t>
              </w:r>
            </w:hyperlink>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00" w:type="dxa"/>
            <w:vAlign w:val="bottom"/>
          </w:tcPr>
          <w:p>
            <w:pPr>
              <w:spacing w:after="0"/>
              <w:rPr>
                <w:sz w:val="24"/>
                <w:szCs w:val="24"/>
                <w:color w:val="auto"/>
              </w:rPr>
            </w:pPr>
          </w:p>
        </w:tc>
        <w:tc>
          <w:tcPr>
            <w:tcW w:w="7740" w:type="dxa"/>
            <w:vAlign w:val="bottom"/>
            <w:gridSpan w:val="22"/>
          </w:tcPr>
          <w:p>
            <w:pPr>
              <w:spacing w:after="0"/>
              <w:rPr>
                <w:rFonts w:ascii="Arial" w:cs="Arial" w:eastAsia="Arial" w:hAnsi="Arial"/>
                <w:sz w:val="16"/>
                <w:szCs w:val="16"/>
                <w:color w:val="0000EE"/>
                <w:w w:val="94"/>
              </w:rPr>
            </w:pPr>
            <w:hyperlink r:id="rId131">
              <w:r>
                <w:rPr>
                  <w:rFonts w:ascii="Arial" w:cs="Arial" w:eastAsia="Arial" w:hAnsi="Arial"/>
                  <w:sz w:val="16"/>
                  <w:szCs w:val="16"/>
                  <w:color w:val="0000EE"/>
                  <w:w w:val="94"/>
                </w:rPr>
                <w:t>(3) Amendment No. 2 to the Fourth Amended and Restated Receivables Purchase Agreement, dated July 31, 2020,</w:t>
              </w:r>
            </w:hyperlink>
          </w:p>
        </w:tc>
      </w:tr>
      <w:tr>
        <w:trPr>
          <w:trHeight w:val="20"/>
        </w:trPr>
        <w:tc>
          <w:tcPr>
            <w:tcW w:w="9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5460" w:type="dxa"/>
            <w:vAlign w:val="bottom"/>
            <w:gridSpan w:val="7"/>
            <w:shd w:val="clear" w:color="auto" w:fill="0000EE"/>
          </w:tcPr>
          <w:p>
            <w:pPr>
              <w:spacing w:after="0" w:line="20" w:lineRule="exact"/>
              <w:rPr>
                <w:sz w:val="1"/>
                <w:szCs w:val="1"/>
                <w:color w:val="auto"/>
              </w:rPr>
            </w:pPr>
          </w:p>
        </w:tc>
        <w:tc>
          <w:tcPr>
            <w:tcW w:w="160" w:type="dxa"/>
            <w:vAlign w:val="bottom"/>
            <w:tcBorders>
              <w:left w:val="single" w:sz="8" w:color="0000EE"/>
            </w:tcBorders>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7720" w:type="dxa"/>
            <w:vAlign w:val="bottom"/>
            <w:tcBorders>
              <w:bottom w:val="single" w:sz="8" w:color="0000EE"/>
            </w:tcBorders>
            <w:gridSpan w:val="21"/>
          </w:tcPr>
          <w:p>
            <w:pPr>
              <w:spacing w:after="0" w:line="183" w:lineRule="exact"/>
              <w:rPr>
                <w:rFonts w:ascii="Arial" w:cs="Arial" w:eastAsia="Arial" w:hAnsi="Arial"/>
                <w:sz w:val="16"/>
                <w:szCs w:val="16"/>
                <w:color w:val="0000EE"/>
                <w:w w:val="91"/>
              </w:rPr>
            </w:pPr>
            <w:hyperlink r:id="rId131">
              <w:r>
                <w:rPr>
                  <w:rFonts w:ascii="Arial" w:cs="Arial" w:eastAsia="Arial" w:hAnsi="Arial"/>
                  <w:sz w:val="16"/>
                  <w:szCs w:val="16"/>
                  <w:color w:val="0000EE"/>
                  <w:w w:val="91"/>
                </w:rPr>
                <w:t>among Avnet, Inc., Avnet Receivables Corporation, Wells Fargo Bank, N.A., as agent, and the companies and financial</w:t>
              </w:r>
            </w:hyperlink>
          </w:p>
        </w:tc>
        <w:tc>
          <w:tcPr>
            <w:tcW w:w="2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7740" w:type="dxa"/>
            <w:vAlign w:val="bottom"/>
            <w:gridSpan w:val="22"/>
          </w:tcPr>
          <w:p>
            <w:pPr>
              <w:spacing w:after="0" w:line="183" w:lineRule="exact"/>
              <w:rPr>
                <w:rFonts w:ascii="Arial" w:cs="Arial" w:eastAsia="Arial" w:hAnsi="Arial"/>
                <w:sz w:val="16"/>
                <w:szCs w:val="16"/>
                <w:color w:val="0000EE"/>
                <w:w w:val="94"/>
              </w:rPr>
            </w:pPr>
            <w:hyperlink r:id="rId131">
              <w:r>
                <w:rPr>
                  <w:rFonts w:ascii="Arial" w:cs="Arial" w:eastAsia="Arial" w:hAnsi="Arial"/>
                  <w:sz w:val="16"/>
                  <w:szCs w:val="16"/>
                  <w:color w:val="0000EE"/>
                  <w:w w:val="94"/>
                </w:rPr>
                <w:t>institutions party thereto (incorporated herein by reference to Exhibit 10.1 to the Company’s Current Report on Form</w:t>
              </w:r>
            </w:hyperlink>
          </w:p>
        </w:tc>
      </w:tr>
      <w:tr>
        <w:trPr>
          <w:trHeight w:val="183"/>
        </w:trPr>
        <w:tc>
          <w:tcPr>
            <w:tcW w:w="90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3"/>
              </w:rPr>
            </w:pPr>
            <w:hyperlink r:id="rId131">
              <w:r>
                <w:rPr>
                  <w:rFonts w:ascii="Arial" w:cs="Arial" w:eastAsia="Arial" w:hAnsi="Arial"/>
                  <w:sz w:val="16"/>
                  <w:szCs w:val="16"/>
                  <w:color w:val="0000EE"/>
                  <w:w w:val="93"/>
                </w:rPr>
                <w:t>8-K filed on August 6, 2020).</w:t>
              </w:r>
            </w:hyperlink>
          </w:p>
        </w:tc>
        <w:tc>
          <w:tcPr>
            <w:tcW w:w="5660" w:type="dxa"/>
            <w:vAlign w:val="bottom"/>
            <w:tcBorders>
              <w:top w:val="single" w:sz="8" w:color="0000EE"/>
            </w:tcBorders>
            <w:gridSpan w:val="14"/>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385"/>
        </w:trPr>
        <w:tc>
          <w:tcPr>
            <w:tcW w:w="900" w:type="dxa"/>
            <w:vAlign w:val="bottom"/>
          </w:tcPr>
          <w:p>
            <w:pPr>
              <w:jc w:val="right"/>
              <w:ind w:right="459"/>
              <w:spacing w:after="0"/>
              <w:rPr>
                <w:sz w:val="20"/>
                <w:szCs w:val="20"/>
                <w:color w:val="auto"/>
              </w:rPr>
            </w:pPr>
            <w:r>
              <w:rPr>
                <w:rFonts w:ascii="Arial" w:cs="Arial" w:eastAsia="Arial" w:hAnsi="Arial"/>
                <w:sz w:val="16"/>
                <w:szCs w:val="16"/>
                <w:color w:val="auto"/>
                <w:w w:val="84"/>
              </w:rPr>
              <w:t>10.20</w:t>
            </w:r>
          </w:p>
        </w:tc>
        <w:tc>
          <w:tcPr>
            <w:tcW w:w="7740" w:type="dxa"/>
            <w:vAlign w:val="bottom"/>
            <w:gridSpan w:val="22"/>
          </w:tcPr>
          <w:p>
            <w:pPr>
              <w:spacing w:after="0"/>
              <w:rPr>
                <w:rFonts w:ascii="Arial" w:cs="Arial" w:eastAsia="Arial" w:hAnsi="Arial"/>
                <w:sz w:val="16"/>
                <w:szCs w:val="16"/>
                <w:color w:val="auto"/>
                <w:w w:val="94"/>
              </w:rPr>
            </w:pPr>
            <w:hyperlink r:id="rId132">
              <w:r>
                <w:rPr>
                  <w:rFonts w:ascii="Arial" w:cs="Arial" w:eastAsia="Arial" w:hAnsi="Arial"/>
                  <w:sz w:val="16"/>
                  <w:szCs w:val="16"/>
                  <w:u w:val="single" w:color="auto"/>
                  <w:color w:val="auto"/>
                  <w:w w:val="94"/>
                </w:rPr>
                <w:t>(a)</w:t>
              </w:r>
              <w:r>
                <w:rPr>
                  <w:rFonts w:ascii="Arial" w:cs="Arial" w:eastAsia="Arial" w:hAnsi="Arial"/>
                  <w:sz w:val="16"/>
                  <w:szCs w:val="16"/>
                  <w:color w:val="auto"/>
                  <w:w w:val="94"/>
                </w:rPr>
                <w:t xml:space="preserve"> </w:t>
              </w:r>
              <w:r>
                <w:rPr>
                  <w:rFonts w:ascii="Arial" w:cs="Arial" w:eastAsia="Arial" w:hAnsi="Arial"/>
                  <w:sz w:val="16"/>
                  <w:szCs w:val="16"/>
                  <w:color w:val="0000EE"/>
                  <w:w w:val="94"/>
                </w:rPr>
                <w:t>Amended and Restated Credit Agreement dated as of June 28, 2018, among Avnet, Inc., each subsidiary of the</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60" w:type="dxa"/>
            <w:vAlign w:val="bottom"/>
            <w:gridSpan w:val="10"/>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83"/>
        </w:trPr>
        <w:tc>
          <w:tcPr>
            <w:tcW w:w="900" w:type="dxa"/>
            <w:vAlign w:val="bottom"/>
          </w:tcPr>
          <w:p>
            <w:pPr>
              <w:spacing w:after="0"/>
              <w:rPr>
                <w:sz w:val="15"/>
                <w:szCs w:val="15"/>
                <w:color w:val="auto"/>
              </w:rPr>
            </w:pPr>
          </w:p>
        </w:tc>
        <w:tc>
          <w:tcPr>
            <w:tcW w:w="7540" w:type="dxa"/>
            <w:vAlign w:val="bottom"/>
            <w:tcBorders>
              <w:bottom w:val="single" w:sz="8" w:color="0000EE"/>
            </w:tcBorders>
            <w:gridSpan w:val="16"/>
          </w:tcPr>
          <w:p>
            <w:pPr>
              <w:spacing w:after="0" w:line="183" w:lineRule="exact"/>
              <w:rPr>
                <w:rFonts w:ascii="Arial" w:cs="Arial" w:eastAsia="Arial" w:hAnsi="Arial"/>
                <w:sz w:val="16"/>
                <w:szCs w:val="16"/>
                <w:color w:val="0000EE"/>
                <w:w w:val="91"/>
              </w:rPr>
            </w:pPr>
            <w:hyperlink r:id="rId132">
              <w:r>
                <w:rPr>
                  <w:rFonts w:ascii="Arial" w:cs="Arial" w:eastAsia="Arial" w:hAnsi="Arial"/>
                  <w:sz w:val="16"/>
                  <w:szCs w:val="16"/>
                  <w:color w:val="0000EE"/>
                  <w:w w:val="91"/>
                </w:rPr>
                <w:t>Company party thereto, Bank of America, N.A., as administrative agent, and each lender party thereto (incorporated</w:t>
              </w:r>
            </w:hyperlink>
          </w:p>
        </w:tc>
        <w:tc>
          <w:tcPr>
            <w:tcW w:w="200" w:type="dxa"/>
            <w:vAlign w:val="bottom"/>
            <w:gridSpan w:val="6"/>
          </w:tcPr>
          <w:p>
            <w:pPr>
              <w:spacing w:after="0"/>
              <w:rPr>
                <w:sz w:val="15"/>
                <w:szCs w:val="15"/>
                <w:color w:val="auto"/>
              </w:rPr>
            </w:pPr>
          </w:p>
        </w:tc>
      </w:tr>
      <w:tr>
        <w:trPr>
          <w:trHeight w:val="217"/>
        </w:trPr>
        <w:tc>
          <w:tcPr>
            <w:tcW w:w="900" w:type="dxa"/>
            <w:vAlign w:val="bottom"/>
          </w:tcPr>
          <w:p>
            <w:pPr>
              <w:spacing w:after="0"/>
              <w:rPr>
                <w:sz w:val="18"/>
                <w:szCs w:val="18"/>
                <w:color w:val="auto"/>
              </w:rPr>
            </w:pPr>
          </w:p>
        </w:tc>
        <w:tc>
          <w:tcPr>
            <w:tcW w:w="7740" w:type="dxa"/>
            <w:vAlign w:val="bottom"/>
            <w:gridSpan w:val="22"/>
          </w:tcPr>
          <w:p>
            <w:pPr>
              <w:spacing w:after="0"/>
              <w:rPr>
                <w:rFonts w:ascii="Arial" w:cs="Arial" w:eastAsia="Arial" w:hAnsi="Arial"/>
                <w:sz w:val="16"/>
                <w:szCs w:val="16"/>
                <w:u w:val="single" w:color="auto"/>
                <w:color w:val="0000EE"/>
              </w:rPr>
            </w:pPr>
            <w:hyperlink r:id="rId132">
              <w:r>
                <w:rPr>
                  <w:rFonts w:ascii="Arial" w:cs="Arial" w:eastAsia="Arial" w:hAnsi="Arial"/>
                  <w:sz w:val="16"/>
                  <w:szCs w:val="16"/>
                  <w:u w:val="single" w:color="auto"/>
                  <w:color w:val="0000EE"/>
                </w:rPr>
                <w:t>herein by reference to Exhibit 10.1 to the Company’s Current Report on Form 8-K filed on July 2, 2018).</w:t>
              </w:r>
            </w:hyperlink>
          </w:p>
        </w:tc>
      </w:tr>
    </w:tbl>
    <w:p>
      <w:pPr>
        <w:spacing w:after="0" w:line="199" w:lineRule="exact"/>
        <w:rPr>
          <w:sz w:val="20"/>
          <w:szCs w:val="20"/>
          <w:color w:val="auto"/>
        </w:rPr>
      </w:pPr>
    </w:p>
    <w:p>
      <w:pPr>
        <w:ind w:left="1200" w:right="359"/>
        <w:spacing w:after="0" w:line="273" w:lineRule="auto"/>
        <w:rPr>
          <w:rFonts w:ascii="Arial" w:cs="Arial" w:eastAsia="Arial" w:hAnsi="Arial"/>
          <w:sz w:val="16"/>
          <w:szCs w:val="16"/>
          <w:u w:val="single" w:color="auto"/>
          <w:color w:val="0000EE"/>
        </w:rPr>
      </w:pPr>
      <w:hyperlink r:id="rId133">
        <w:r>
          <w:rPr>
            <w:rFonts w:ascii="Arial" w:cs="Arial" w:eastAsia="Arial" w:hAnsi="Arial"/>
            <w:sz w:val="16"/>
            <w:szCs w:val="16"/>
            <w:u w:val="single" w:color="auto"/>
            <w:color w:val="0000EE"/>
          </w:rPr>
          <w:t>(b) Amendment No. 1 to the Amended and Restated Credit Agreement, dated August 3, 2020, among Avnet, Inc,</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Avnet Holding Europe BVBA, Bank of America, N.A., as administrative agent, and the lenders party thereto</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(incorporated herein by reference to Exhibit 10.3 to the Company’s Current Report on Form 8-K filed on August 6,</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2020).</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3" w:lineRule="exact"/>
        <w:rPr>
          <w:rFonts w:ascii="Arial" w:cs="Arial" w:eastAsia="Arial" w:hAnsi="Arial"/>
          <w:sz w:val="16"/>
          <w:szCs w:val="16"/>
          <w:u w:val="single" w:color="auto"/>
          <w:color w:val="0000EE"/>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68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List of subsidiaries of the Company as of June 27, 2020.</w:t>
              </w:r>
            </w:hyperlink>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89"/>
              </w:rPr>
              <w:t>23.1</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Consent of KPMG LLP.</w:t>
              </w:r>
            </w:hyperlink>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89"/>
              </w:rPr>
              <w:t>24.1</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rFonts w:ascii="Arial" w:cs="Arial" w:eastAsia="Arial" w:hAnsi="Arial"/>
                <w:sz w:val="16"/>
                <w:szCs w:val="16"/>
                <w:color w:val="0000EE"/>
                <w:w w:val="92"/>
              </w:rPr>
            </w:pPr>
            <w:hyperlink w:anchor="page83">
              <w:r>
                <w:rPr>
                  <w:rFonts w:ascii="Arial" w:cs="Arial" w:eastAsia="Arial" w:hAnsi="Arial"/>
                  <w:sz w:val="16"/>
                  <w:szCs w:val="16"/>
                  <w:u w:val="single" w:color="auto"/>
                  <w:color w:val="0000EE"/>
                  <w:w w:val="92"/>
                </w:rPr>
                <w:t>Power of Attorney (incorporated by reference to the signature page of this Annual Report on Form 10-K)</w:t>
              </w:r>
              <w:r>
                <w:rPr>
                  <w:rFonts w:ascii="Arial" w:cs="Arial" w:eastAsia="Arial" w:hAnsi="Arial"/>
                  <w:sz w:val="16"/>
                  <w:szCs w:val="16"/>
                  <w:color w:val="0000EE"/>
                  <w:w w:val="92"/>
                </w:rPr>
                <w:t>.</w:t>
              </w:r>
            </w:hyperlink>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89"/>
              </w:rPr>
              <w:t>31.1</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rFonts w:ascii="Arial" w:cs="Arial" w:eastAsia="Arial" w:hAnsi="Arial"/>
                <w:sz w:val="16"/>
                <w:szCs w:val="16"/>
                <w:u w:val="single" w:color="auto"/>
                <w:color w:val="0000EE"/>
                <w:w w:val="98"/>
              </w:rPr>
            </w:pPr>
            <w:hyperlink w:anchor="page91">
              <w:r>
                <w:rPr>
                  <w:rFonts w:ascii="Arial" w:cs="Arial" w:eastAsia="Arial" w:hAnsi="Arial"/>
                  <w:sz w:val="16"/>
                  <w:szCs w:val="16"/>
                  <w:u w:val="single" w:color="auto"/>
                  <w:color w:val="0000EE"/>
                  <w:w w:val="98"/>
                </w:rPr>
                <w:t>Certification of Chief Executive Officer pursuant to Section 302 of the Sarbanes-Oxley Act of 2002.</w:t>
              </w:r>
            </w:hyperlink>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rFonts w:ascii="Arial" w:cs="Arial" w:eastAsia="Arial" w:hAnsi="Arial"/>
                <w:sz w:val="16"/>
                <w:szCs w:val="16"/>
                <w:u w:val="single" w:color="auto"/>
                <w:color w:val="0000EE"/>
                <w:w w:val="98"/>
              </w:rPr>
            </w:pPr>
            <w:hyperlink w:anchor="page92">
              <w:r>
                <w:rPr>
                  <w:rFonts w:ascii="Arial" w:cs="Arial" w:eastAsia="Arial" w:hAnsi="Arial"/>
                  <w:sz w:val="16"/>
                  <w:szCs w:val="16"/>
                  <w:u w:val="single" w:color="auto"/>
                  <w:color w:val="0000EE"/>
                  <w:w w:val="98"/>
                </w:rPr>
                <w:t>Certification of Chief Financial Officer pursuant to Section 302 of the Sarbanes-Oxley Act of 2002.</w:t>
              </w:r>
            </w:hyperlink>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89"/>
              </w:rPr>
              <w:t>32.1</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Certification pursuant to Section 906 of the Sarbanes-Oxley Act of 2002.</w:t>
              </w:r>
            </w:hyperlink>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89"/>
              </w:rPr>
              <w:t>32.2</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rFonts w:ascii="Arial" w:cs="Arial" w:eastAsia="Arial" w:hAnsi="Arial"/>
                <w:sz w:val="16"/>
                <w:szCs w:val="16"/>
                <w:u w:val="single" w:color="auto"/>
                <w:color w:val="0000EE"/>
              </w:rPr>
            </w:pPr>
            <w:hyperlink w:anchor="page94">
              <w:r>
                <w:rPr>
                  <w:rFonts w:ascii="Arial" w:cs="Arial" w:eastAsia="Arial" w:hAnsi="Arial"/>
                  <w:sz w:val="16"/>
                  <w:szCs w:val="16"/>
                  <w:u w:val="single" w:color="auto"/>
                  <w:color w:val="0000EE"/>
                </w:rPr>
                <w:t>Certification pursuant to Section 906 of the Sarbanes-Oxley Act of 2002.</w:t>
              </w:r>
            </w:hyperlink>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3"/>
              </w:rPr>
              <w:t>101.INS</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sz w:val="20"/>
                <w:szCs w:val="20"/>
                <w:color w:val="auto"/>
              </w:rPr>
            </w:pPr>
            <w:r>
              <w:rPr>
                <w:rFonts w:ascii="Arial" w:cs="Arial" w:eastAsia="Arial" w:hAnsi="Arial"/>
                <w:sz w:val="16"/>
                <w:szCs w:val="16"/>
                <w:color w:val="auto"/>
              </w:rPr>
              <w:t>Inline XBRL Instance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2"/>
              </w:rPr>
              <w:t>101.SCH</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sz w:val="20"/>
                <w:szCs w:val="20"/>
                <w:color w:val="auto"/>
              </w:rPr>
            </w:pPr>
            <w:r>
              <w:rPr>
                <w:rFonts w:ascii="Arial" w:cs="Arial" w:eastAsia="Arial" w:hAnsi="Arial"/>
                <w:sz w:val="16"/>
                <w:szCs w:val="16"/>
                <w:color w:val="auto"/>
              </w:rPr>
              <w:t>Inline XBRL Taxonomy Extension Schema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6"/>
              </w:rPr>
              <w:t>101.CAL</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7"/>
              </w:rPr>
              <w:t>101.LAB</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0"/>
              </w:rPr>
              <w:t>101.PRE</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4"/>
              </w:rPr>
              <w:t>101.DEF</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6920" w:type="dxa"/>
            <w:vAlign w:val="bottom"/>
          </w:tcPr>
          <w:p>
            <w:pPr>
              <w:ind w:left="60"/>
              <w:spacing w:after="0"/>
              <w:rPr>
                <w:sz w:val="20"/>
                <w:szCs w:val="20"/>
                <w:color w:val="auto"/>
              </w:rPr>
            </w:pPr>
            <w:r>
              <w:rPr>
                <w:rFonts w:ascii="Arial" w:cs="Arial" w:eastAsia="Arial" w:hAnsi="Arial"/>
                <w:sz w:val="16"/>
                <w:szCs w:val="16"/>
                <w:color w:val="auto"/>
              </w:rPr>
              <w:t>Inline XBRL Taxonomy Extension Definition Linkbase Document.</w:t>
            </w:r>
          </w:p>
        </w:tc>
      </w:tr>
    </w:tbl>
    <w:p>
      <w:pPr>
        <w:spacing w:after="0" w:line="199" w:lineRule="exact"/>
        <w:rPr>
          <w:sz w:val="20"/>
          <w:szCs w:val="20"/>
          <w:color w:val="auto"/>
        </w:rPr>
      </w:pPr>
    </w:p>
    <w:p>
      <w:pPr>
        <w:ind w:left="1200" w:right="719" w:hanging="839"/>
        <w:spacing w:after="0" w:line="293" w:lineRule="auto"/>
        <w:tabs>
          <w:tab w:leader="none" w:pos="916" w:val="left"/>
        </w:tabs>
        <w:numPr>
          <w:ilvl w:val="1"/>
          <w:numId w:val="25"/>
        </w:numPr>
        <w:rPr>
          <w:rFonts w:ascii="Arial" w:cs="Arial" w:eastAsia="Arial" w:hAnsi="Arial"/>
          <w:sz w:val="16"/>
          <w:szCs w:val="16"/>
          <w:color w:val="auto"/>
        </w:rPr>
      </w:pPr>
      <w:r>
        <w:rPr>
          <w:rFonts w:ascii="Arial" w:cs="Arial" w:eastAsia="Arial" w:hAnsi="Arial"/>
          <w:sz w:val="16"/>
          <w:szCs w:val="16"/>
          <w:color w:val="auto"/>
        </w:rPr>
        <w:t>* Cover Page Interactive Data File (formatted as Inline XBRL with applicable taxonomy extension information contained in Exhibits 101).</w:t>
      </w:r>
    </w:p>
    <w:p>
      <w:pPr>
        <w:spacing w:after="0" w:line="383" w:lineRule="exact"/>
        <w:rPr>
          <w:rFonts w:ascii="Arial" w:cs="Arial" w:eastAsia="Arial" w:hAnsi="Arial"/>
          <w:sz w:val="16"/>
          <w:szCs w:val="16"/>
          <w:color w:val="auto"/>
        </w:rPr>
      </w:pPr>
    </w:p>
    <w:p>
      <w:pPr>
        <w:ind w:left="140"/>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157" w:lineRule="exact"/>
        <w:rPr>
          <w:rFonts w:ascii="Arial" w:cs="Arial" w:eastAsia="Arial" w:hAnsi="Arial"/>
          <w:sz w:val="16"/>
          <w:szCs w:val="16"/>
          <w:color w:val="auto"/>
        </w:rPr>
      </w:pPr>
    </w:p>
    <w:p>
      <w:pPr>
        <w:ind w:left="520" w:hanging="37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-430530</wp:posOffset>
            </wp:positionV>
            <wp:extent cx="141414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June 27, 2020, June 29, 2019, and June 30, 2018</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Balance at</w:t>
            </w:r>
          </w:p>
        </w:tc>
        <w:tc>
          <w:tcPr>
            <w:tcW w:w="18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Charged to</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Charged to</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auto"/>
                <w:w w:val="89"/>
              </w:rPr>
              <w:t>Beginning of</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8"/>
              </w:rPr>
              <w:t>Expense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8"/>
              </w:rPr>
              <w:t>Other</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6"/>
              </w:rPr>
              <w:t>End of</w:t>
            </w:r>
          </w:p>
        </w:tc>
        <w:tc>
          <w:tcPr>
            <w:tcW w:w="0" w:type="dxa"/>
            <w:vAlign w:val="bottom"/>
          </w:tcPr>
          <w:p>
            <w:pPr>
              <w:spacing w:after="0"/>
              <w:rPr>
                <w:sz w:val="1"/>
                <w:szCs w:val="1"/>
                <w:color w:val="auto"/>
              </w:rPr>
            </w:pPr>
          </w:p>
        </w:tc>
      </w:tr>
      <w:tr>
        <w:trPr>
          <w:trHeight w:val="210"/>
        </w:trPr>
        <w:tc>
          <w:tcPr>
            <w:tcW w:w="3120" w:type="dxa"/>
            <w:vAlign w:val="bottom"/>
            <w:gridSpan w:val="3"/>
          </w:tcPr>
          <w:p>
            <w:pPr>
              <w:ind w:left="20"/>
              <w:spacing w:after="0"/>
              <w:rPr>
                <w:sz w:val="20"/>
                <w:szCs w:val="20"/>
                <w:color w:val="auto"/>
              </w:rPr>
            </w:pPr>
            <w:r>
              <w:rPr>
                <w:rFonts w:ascii="Arial" w:cs="Arial" w:eastAsia="Arial" w:hAnsi="Arial"/>
                <w:sz w:val="16"/>
                <w:szCs w:val="16"/>
                <w:b w:val="1"/>
                <w:bCs w:val="1"/>
                <w:color w:val="auto"/>
              </w:rPr>
              <w:t>Account Description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6"/>
                <w:szCs w:val="16"/>
                <w:b w:val="1"/>
                <w:bCs w:val="1"/>
                <w:color w:val="auto"/>
                <w:w w:val="92"/>
              </w:rPr>
              <w:t>Period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(Income)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4"/>
              </w:rPr>
              <w:t>Accounts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1"/>
              </w:rPr>
              <w:t>Deductions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Period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gridSpan w:val="3"/>
          </w:tcPr>
          <w:p>
            <w:pPr>
              <w:jc w:val="center"/>
              <w:spacing w:after="0" w:line="176" w:lineRule="exact"/>
              <w:rPr>
                <w:sz w:val="20"/>
                <w:szCs w:val="20"/>
                <w:color w:val="auto"/>
              </w:rPr>
            </w:pPr>
            <w:r>
              <w:rPr>
                <w:rFonts w:ascii="Arial" w:cs="Arial" w:eastAsia="Arial" w:hAnsi="Arial"/>
                <w:sz w:val="18"/>
                <w:szCs w:val="18"/>
                <w:b w:val="1"/>
                <w:bCs w:val="1"/>
                <w:color w:val="auto"/>
                <w:w w:val="81"/>
              </w:rPr>
              <w:t>(Thousands)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Fiscal 2020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Allowance for doubtful accounts</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53,499</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12,111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gridSpan w:val="2"/>
          </w:tcPr>
          <w:p>
            <w:pPr>
              <w:jc w:val="right"/>
              <w:ind w:right="39"/>
              <w:spacing w:after="0" w:line="17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(6,592)(a)</w:t>
            </w: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59,018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7"/>
                <w:szCs w:val="17"/>
                <w:color w:val="auto"/>
              </w:rPr>
              <w:t>Valuation allowance on tax loss carry-</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231,463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50,018</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9"/>
              </w:rPr>
              <w:t>(b)</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5"/>
              </w:rPr>
              <w:t>(c)</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283,721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forwards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Fiscal 2019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48,959</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10,360</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(5,820)(a)</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53,499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gridSpan w:val="2"/>
          </w:tcPr>
          <w:p>
            <w:pPr>
              <w:ind w:left="100"/>
              <w:spacing w:after="0" w:line="149" w:lineRule="exact"/>
              <w:rPr>
                <w:sz w:val="20"/>
                <w:szCs w:val="20"/>
                <w:color w:val="auto"/>
              </w:rPr>
            </w:pPr>
            <w:r>
              <w:rPr>
                <w:rFonts w:ascii="Arial" w:cs="Arial" w:eastAsia="Arial" w:hAnsi="Arial"/>
                <w:sz w:val="17"/>
                <w:szCs w:val="17"/>
                <w:color w:val="auto"/>
              </w:rPr>
              <w:t>Valuation allowance on tax loss carry-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239,483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(5,274)(d)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(2,746)(e)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231,463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forwards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Fiscal 2018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47,272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6,033</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(4,346)(a)</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48,959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7"/>
                <w:szCs w:val="17"/>
                <w:color w:val="auto"/>
              </w:rPr>
              <w:t>Valuation allowance on tax loss carry-</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241,687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(4,704)(d)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0"/>
              </w:rPr>
              <w:t>(e)</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239,483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forwards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Uncollectible receivables written off.</w:t>
      </w:r>
    </w:p>
    <w:p>
      <w:pPr>
        <w:spacing w:after="0" w:line="103" w:lineRule="exact"/>
        <w:rPr>
          <w:rFonts w:ascii="Arial" w:cs="Arial" w:eastAsia="Arial" w:hAnsi="Arial"/>
          <w:sz w:val="18"/>
          <w:szCs w:val="18"/>
          <w:color w:val="auto"/>
        </w:rPr>
      </w:pPr>
    </w:p>
    <w:p>
      <w:pPr>
        <w:ind w:left="340" w:hanging="290"/>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Primarily represents establishment of valuation allowance and impact of current year activities.</w:t>
      </w:r>
    </w:p>
    <w:p>
      <w:pPr>
        <w:spacing w:after="0" w:line="103" w:lineRule="exact"/>
        <w:rPr>
          <w:rFonts w:ascii="Arial" w:cs="Arial" w:eastAsia="Arial" w:hAnsi="Arial"/>
          <w:sz w:val="18"/>
          <w:szCs w:val="18"/>
          <w:color w:val="auto"/>
        </w:rPr>
      </w:pPr>
    </w:p>
    <w:p>
      <w:pPr>
        <w:ind w:left="380" w:right="739" w:hanging="330"/>
        <w:spacing w:after="0" w:line="32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Primarily related to impact of pension-related other comprehensive income and foreign currency exchange on valuation allowances.</w:t>
      </w:r>
    </w:p>
    <w:p>
      <w:pPr>
        <w:spacing w:after="0" w:line="8"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Primarily represents a reduction due to the release of a valuation allowance.</w:t>
      </w:r>
    </w:p>
    <w:p>
      <w:pPr>
        <w:spacing w:after="0" w:line="103" w:lineRule="exact"/>
        <w:rPr>
          <w:rFonts w:ascii="Arial" w:cs="Arial" w:eastAsia="Arial" w:hAnsi="Arial"/>
          <w:sz w:val="18"/>
          <w:szCs w:val="18"/>
          <w:color w:val="auto"/>
        </w:rPr>
      </w:pPr>
    </w:p>
    <w:p>
      <w:pPr>
        <w:ind w:left="380" w:right="219" w:hanging="330"/>
        <w:spacing w:after="0" w:line="32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Primarily related to impact of prior year activities and foreign currency exchange on valuation allowances previously established in various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jc w:val="both"/>
        <w:ind w:left="60" w:right="59" w:firstLine="427"/>
        <w:spacing w:after="0" w:line="32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2520" w:type="dxa"/>
            <w:vAlign w:val="bottom"/>
            <w:gridSpan w:val="2"/>
          </w:tcPr>
          <w:p>
            <w:pPr>
              <w:ind w:left="1340"/>
              <w:spacing w:after="0"/>
              <w:rPr>
                <w:sz w:val="20"/>
                <w:szCs w:val="20"/>
                <w:color w:val="auto"/>
              </w:rPr>
            </w:pPr>
            <w:r>
              <w:rPr>
                <w:rFonts w:ascii="Arial" w:cs="Arial" w:eastAsia="Arial" w:hAnsi="Arial"/>
                <w:sz w:val="18"/>
                <w:szCs w:val="18"/>
                <w:color w:val="auto"/>
              </w:rPr>
              <w:t>AVNET, INC.</w:t>
            </w:r>
          </w:p>
        </w:tc>
        <w:tc>
          <w:tcPr>
            <w:tcW w:w="3420" w:type="dxa"/>
            <w:vAlign w:val="bottom"/>
          </w:tcPr>
          <w:p>
            <w:pPr>
              <w:spacing w:after="0"/>
              <w:rPr>
                <w:sz w:val="20"/>
                <w:szCs w:val="20"/>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August 14, 2020</w:t>
            </w:r>
          </w:p>
        </w:tc>
        <w:tc>
          <w:tcPr>
            <w:tcW w:w="2520" w:type="dxa"/>
            <w:vAlign w:val="bottom"/>
            <w:gridSpan w:val="2"/>
          </w:tcPr>
          <w:p>
            <w:pPr>
              <w:ind w:left="1340"/>
              <w:spacing w:after="0"/>
              <w:rPr>
                <w:sz w:val="20"/>
                <w:szCs w:val="20"/>
                <w:color w:val="auto"/>
              </w:rPr>
            </w:pPr>
            <w:r>
              <w:rPr>
                <w:rFonts w:ascii="Arial" w:cs="Arial" w:eastAsia="Arial" w:hAnsi="Arial"/>
                <w:sz w:val="18"/>
                <w:szCs w:val="18"/>
                <w:color w:val="auto"/>
              </w:rPr>
              <w:t>By:</w:t>
            </w:r>
          </w:p>
        </w:tc>
        <w:tc>
          <w:tcPr>
            <w:tcW w:w="3420" w:type="dxa"/>
            <w:vAlign w:val="bottom"/>
          </w:tcPr>
          <w:p>
            <w:pPr>
              <w:jc w:val="center"/>
              <w:ind w:right="730"/>
              <w:spacing w:after="0"/>
              <w:rPr>
                <w:sz w:val="20"/>
                <w:szCs w:val="20"/>
                <w:color w:val="auto"/>
              </w:rPr>
            </w:pPr>
            <w:r>
              <w:rPr>
                <w:rFonts w:ascii="Arial" w:cs="Arial" w:eastAsia="Arial" w:hAnsi="Arial"/>
                <w:sz w:val="18"/>
                <w:szCs w:val="18"/>
                <w:color w:val="auto"/>
                <w:w w:val="96"/>
              </w:rPr>
              <w:t>/s/ PHILIP R. GALLAGHER</w:t>
            </w:r>
          </w:p>
        </w:tc>
      </w:tr>
      <w:tr>
        <w:trPr>
          <w:trHeight w:val="27"/>
        </w:trPr>
        <w:tc>
          <w:tcPr>
            <w:tcW w:w="2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2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20" w:type="dxa"/>
            <w:vAlign w:val="bottom"/>
          </w:tcPr>
          <w:p>
            <w:pPr>
              <w:jc w:val="center"/>
              <w:ind w:right="730"/>
              <w:spacing w:after="0"/>
              <w:rPr>
                <w:sz w:val="20"/>
                <w:szCs w:val="20"/>
                <w:color w:val="auto"/>
              </w:rPr>
            </w:pPr>
            <w:r>
              <w:rPr>
                <w:rFonts w:ascii="Arial" w:cs="Arial" w:eastAsia="Arial" w:hAnsi="Arial"/>
                <w:sz w:val="18"/>
                <w:szCs w:val="18"/>
                <w:color w:val="auto"/>
                <w:w w:val="93"/>
              </w:rPr>
              <w:t>Philip R. Gallagher</w:t>
            </w:r>
          </w:p>
        </w:tc>
      </w:tr>
      <w:tr>
        <w:trPr>
          <w:trHeight w:val="230"/>
        </w:trPr>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20" w:type="dxa"/>
            <w:vAlign w:val="bottom"/>
          </w:tcPr>
          <w:p>
            <w:pPr>
              <w:jc w:val="center"/>
              <w:ind w:right="730"/>
              <w:spacing w:after="0"/>
              <w:rPr>
                <w:sz w:val="20"/>
                <w:szCs w:val="20"/>
                <w:color w:val="auto"/>
              </w:rPr>
            </w:pPr>
            <w:r>
              <w:rPr>
                <w:rFonts w:ascii="Arial" w:cs="Arial" w:eastAsia="Arial" w:hAnsi="Arial"/>
                <w:sz w:val="18"/>
                <w:szCs w:val="18"/>
                <w:i w:val="1"/>
                <w:iCs w:val="1"/>
                <w:color w:val="auto"/>
                <w:w w:val="93"/>
              </w:rPr>
              <w:t>Interim Chief Executive Officer</w:t>
            </w:r>
          </w:p>
        </w:tc>
      </w:tr>
    </w:tbl>
    <w:p>
      <w:pPr>
        <w:spacing w:after="0" w:line="242" w:lineRule="exact"/>
        <w:rPr>
          <w:sz w:val="20"/>
          <w:szCs w:val="20"/>
          <w:color w:val="auto"/>
        </w:rPr>
      </w:pPr>
    </w:p>
    <w:p>
      <w:pPr>
        <w:jc w:val="both"/>
        <w:ind w:left="60" w:right="59" w:firstLine="427"/>
        <w:spacing w:after="0" w:line="272" w:lineRule="auto"/>
        <w:rPr>
          <w:sz w:val="20"/>
          <w:szCs w:val="20"/>
          <w:color w:val="auto"/>
        </w:rPr>
      </w:pPr>
      <w:r>
        <w:rPr>
          <w:rFonts w:ascii="Arial" w:cs="Arial" w:eastAsia="Arial" w:hAnsi="Arial"/>
          <w:sz w:val="18"/>
          <w:szCs w:val="18"/>
          <w:color w:val="auto"/>
        </w:rPr>
        <w:t>KNOW ALL MEN BY THESE PRESENTS, that each person whose signature appears below hereby authorizes and appoints each of Phil R. Gallagher and Thomas Liguori his or her attorneys-in-fact, for him or her in any and all capacities, to sign any amendments to this Report, and to file the same, with exhibits thereto, and other documents in connection therewith, with the Securities and Exchange Commission, hereby ratifying and confirming all that said attorneys-in-fact, or their substitute, may do or cause to be done by virtue hereof.</w:t>
      </w:r>
    </w:p>
    <w:p>
      <w:pPr>
        <w:spacing w:after="0" w:line="150" w:lineRule="exact"/>
        <w:rPr>
          <w:sz w:val="20"/>
          <w:szCs w:val="20"/>
          <w:color w:val="auto"/>
        </w:rPr>
      </w:pPr>
    </w:p>
    <w:p>
      <w:pPr>
        <w:jc w:val="both"/>
        <w:ind w:left="60" w:right="59" w:firstLine="427"/>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August 14, 2020.</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320" w:type="dxa"/>
            <w:vAlign w:val="bottom"/>
          </w:tcPr>
          <w:p>
            <w:pPr>
              <w:spacing w:after="0"/>
              <w:rPr>
                <w:sz w:val="20"/>
                <w:szCs w:val="20"/>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237"/>
        </w:trPr>
        <w:tc>
          <w:tcPr>
            <w:tcW w:w="4280" w:type="dxa"/>
            <w:vAlign w:val="bottom"/>
          </w:tcPr>
          <w:p>
            <w:pPr>
              <w:jc w:val="center"/>
              <w:spacing w:after="0"/>
              <w:rPr>
                <w:sz w:val="20"/>
                <w:szCs w:val="20"/>
                <w:color w:val="auto"/>
              </w:rPr>
            </w:pPr>
            <w:r>
              <w:rPr>
                <w:rFonts w:ascii="Arial" w:cs="Arial" w:eastAsia="Arial" w:hAnsi="Arial"/>
                <w:sz w:val="18"/>
                <w:szCs w:val="18"/>
                <w:color w:val="auto"/>
                <w:w w:val="97"/>
              </w:rPr>
              <w:t>/s/ PHILIP R. GALLAGHER</w:t>
            </w:r>
          </w:p>
        </w:tc>
        <w:tc>
          <w:tcPr>
            <w:tcW w:w="3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4"/>
              </w:rPr>
              <w:t>Interim Chief Executive Officer</w:t>
            </w:r>
          </w:p>
        </w:tc>
        <w:tc>
          <w:tcPr>
            <w:tcW w:w="0" w:type="dxa"/>
            <w:vAlign w:val="bottom"/>
          </w:tcPr>
          <w:p>
            <w:pPr>
              <w:spacing w:after="0"/>
              <w:rPr>
                <w:sz w:val="1"/>
                <w:szCs w:val="1"/>
                <w:color w:val="auto"/>
              </w:rPr>
            </w:pPr>
          </w:p>
        </w:tc>
      </w:tr>
      <w:tr>
        <w:trPr>
          <w:trHeight w:val="40"/>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Philip R. Gallagher</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RODNEY C. ADKINS</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2"/>
              </w:rPr>
              <w:t>Chair of the Board and 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2"/>
              </w:rPr>
              <w:t>Rodney C. Adkins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CARLO BOZOTTI</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5"/>
              </w:rPr>
              <w:t>Carlo Bozotti</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A. BRADLEY</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4"/>
              </w:rPr>
              <w:t>Michael A. Bradley</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BRENDA L. FREEMAN</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88"/>
              </w:rPr>
              <w:t>Brenda L. Freeman</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JO ANN JENKINS</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Jo Ann Jenkins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OLEG KHAYKIN</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5"/>
              </w:rPr>
              <w:t>Oleg Khaykin</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A. LAWRENCE</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89"/>
              </w:rPr>
              <w:t>James A. Lawrence</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AVID MODJTABAI</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6"/>
              </w:rPr>
              <w:t>Avid Modjtabai</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ADALIO T. SANCHEZ</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Adalio T. Sanchez</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H. SCHUMANN, III</w:t>
            </w:r>
          </w:p>
        </w:tc>
        <w:tc>
          <w:tcPr>
            <w:tcW w:w="320" w:type="dxa"/>
            <w:vAlign w:val="bottom"/>
          </w:tcPr>
          <w:p>
            <w:pPr>
              <w:spacing w:after="0"/>
              <w:rPr>
                <w:sz w:val="23"/>
                <w:szCs w:val="2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01"/>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4"/>
              </w:rPr>
              <w:t>William H. Schumann, III</w:t>
            </w:r>
          </w:p>
        </w:tc>
        <w:tc>
          <w:tcPr>
            <w:tcW w:w="320" w:type="dxa"/>
            <w:vAlign w:val="bottom"/>
          </w:tcPr>
          <w:p>
            <w:pPr>
              <w:spacing w:after="0"/>
              <w:rPr>
                <w:sz w:val="8"/>
                <w:szCs w:val="8"/>
                <w:color w:val="auto"/>
              </w:rPr>
            </w:pPr>
          </w:p>
        </w:tc>
        <w:tc>
          <w:tcPr>
            <w:tcW w:w="4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2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4280" w:type="dxa"/>
            <w:vAlign w:val="bottom"/>
          </w:tcPr>
          <w:p>
            <w:pPr>
              <w:jc w:val="center"/>
              <w:spacing w:after="0"/>
              <w:rPr>
                <w:sz w:val="20"/>
                <w:szCs w:val="20"/>
                <w:color w:val="auto"/>
              </w:rPr>
            </w:pPr>
            <w:r>
              <w:rPr>
                <w:rFonts w:ascii="Arial" w:cs="Arial" w:eastAsia="Arial" w:hAnsi="Arial"/>
                <w:sz w:val="18"/>
                <w:szCs w:val="18"/>
                <w:color w:val="auto"/>
                <w:w w:val="97"/>
              </w:rPr>
              <w:t>/s/ THOMAS LIGUORI</w:t>
            </w:r>
          </w:p>
        </w:tc>
        <w:tc>
          <w:tcPr>
            <w:tcW w:w="320" w:type="dxa"/>
            <w:vAlign w:val="bottom"/>
          </w:tcPr>
          <w:p>
            <w:pPr>
              <w:spacing w:after="0"/>
              <w:rPr>
                <w:sz w:val="22"/>
                <w:szCs w:val="22"/>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40"/>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5"/>
              </w:rPr>
              <w:t>Thomas Liguori</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80" w:type="dxa"/>
            <w:vAlign w:val="bottom"/>
          </w:tcPr>
          <w:p>
            <w:pPr>
              <w:jc w:val="center"/>
              <w:spacing w:after="0" w:line="201" w:lineRule="exact"/>
              <w:rPr>
                <w:sz w:val="20"/>
                <w:szCs w:val="20"/>
                <w:color w:val="auto"/>
              </w:rPr>
            </w:pPr>
            <w:r>
              <w:rPr>
                <w:rFonts w:ascii="Arial" w:cs="Arial" w:eastAsia="Arial" w:hAnsi="Arial"/>
                <w:sz w:val="18"/>
                <w:szCs w:val="18"/>
                <w:color w:val="auto"/>
                <w:w w:val="95"/>
              </w:rPr>
              <w:t>/s/ KENNETH A. JACOBSON</w:t>
            </w:r>
          </w:p>
        </w:tc>
        <w:tc>
          <w:tcPr>
            <w:tcW w:w="320" w:type="dxa"/>
            <w:vAlign w:val="bottom"/>
          </w:tcPr>
          <w:p>
            <w:pPr>
              <w:spacing w:after="0"/>
              <w:rPr>
                <w:sz w:val="17"/>
                <w:szCs w:val="17"/>
                <w:color w:val="auto"/>
              </w:rPr>
            </w:pPr>
          </w:p>
        </w:tc>
        <w:tc>
          <w:tcPr>
            <w:tcW w:w="4300" w:type="dxa"/>
            <w:vAlign w:val="bottom"/>
          </w:tcPr>
          <w:p>
            <w:pPr>
              <w:jc w:val="center"/>
              <w:spacing w:after="0" w:line="201" w:lineRule="exact"/>
              <w:rPr>
                <w:sz w:val="20"/>
                <w:szCs w:val="20"/>
                <w:color w:val="auto"/>
              </w:rPr>
            </w:pPr>
            <w:r>
              <w:rPr>
                <w:rFonts w:ascii="Arial" w:cs="Arial" w:eastAsia="Arial" w:hAnsi="Arial"/>
                <w:sz w:val="18"/>
                <w:szCs w:val="18"/>
                <w:color w:val="auto"/>
                <w:w w:val="94"/>
              </w:rPr>
              <w:t>Controller</w:t>
            </w:r>
          </w:p>
        </w:tc>
        <w:tc>
          <w:tcPr>
            <w:tcW w:w="0" w:type="dxa"/>
            <w:vAlign w:val="bottom"/>
          </w:tcPr>
          <w:p>
            <w:pPr>
              <w:spacing w:after="0"/>
              <w:rPr>
                <w:sz w:val="1"/>
                <w:szCs w:val="1"/>
                <w:color w:val="auto"/>
              </w:rPr>
            </w:pPr>
          </w:p>
        </w:tc>
      </w:tr>
      <w:tr>
        <w:trPr>
          <w:trHeight w:val="41"/>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Kenneth A. Jacobson</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tbl>
      <w:tblPr>
        <w:tblLayout w:type="fixed"/>
        <w:tblInd w:w="220" w:type="dxa"/>
        <w:tblCellMar>
          <w:top w:w="0" w:type="dxa"/>
          <w:left w:w="0" w:type="dxa"/>
          <w:bottom w:w="0" w:type="dxa"/>
          <w:right w:w="0" w:type="dxa"/>
        </w:tblCellMar>
      </w:tblPr>
      <w:tr>
        <w:trPr>
          <w:trHeight w:val="287"/>
        </w:trPr>
        <w:tc>
          <w:tcPr>
            <w:tcW w:w="6420" w:type="dxa"/>
            <w:vAlign w:val="bottom"/>
          </w:tcPr>
          <w:p>
            <w:pPr>
              <w:spacing w:after="0"/>
              <w:rPr>
                <w:sz w:val="24"/>
                <w:szCs w:val="24"/>
                <w:color w:val="auto"/>
              </w:rPr>
            </w:pPr>
          </w:p>
        </w:tc>
        <w:tc>
          <w:tcPr>
            <w:tcW w:w="2180" w:type="dxa"/>
            <w:vAlign w:val="bottom"/>
            <w:gridSpan w:val="2"/>
          </w:tcPr>
          <w:p>
            <w:pPr>
              <w:ind w:left="960"/>
              <w:spacing w:after="0"/>
              <w:rPr>
                <w:sz w:val="20"/>
                <w:szCs w:val="20"/>
                <w:color w:val="auto"/>
              </w:rPr>
            </w:pPr>
            <w:r>
              <w:rPr>
                <w:rFonts w:ascii="Arial" w:cs="Arial" w:eastAsia="Arial" w:hAnsi="Arial"/>
                <w:sz w:val="22"/>
                <w:szCs w:val="22"/>
                <w:b w:val="1"/>
                <w:bCs w:val="1"/>
                <w:color w:val="auto"/>
                <w:w w:val="98"/>
              </w:rPr>
              <w:t>Exhibit 21.1</w:t>
            </w:r>
          </w:p>
        </w:tc>
        <w:tc>
          <w:tcPr>
            <w:tcW w:w="0" w:type="dxa"/>
            <w:vAlign w:val="bottom"/>
          </w:tcPr>
          <w:p>
            <w:pPr>
              <w:spacing w:after="0"/>
              <w:rPr>
                <w:sz w:val="1"/>
                <w:szCs w:val="1"/>
                <w:color w:val="auto"/>
              </w:rPr>
            </w:pPr>
          </w:p>
        </w:tc>
      </w:tr>
      <w:tr>
        <w:trPr>
          <w:trHeight w:val="500"/>
        </w:trPr>
        <w:tc>
          <w:tcPr>
            <w:tcW w:w="6420" w:type="dxa"/>
            <w:vAlign w:val="bottom"/>
          </w:tcPr>
          <w:p>
            <w:pPr>
              <w:ind w:left="3740"/>
              <w:spacing w:after="0"/>
              <w:rPr>
                <w:sz w:val="20"/>
                <w:szCs w:val="20"/>
                <w:color w:val="auto"/>
              </w:rPr>
            </w:pPr>
            <w:r>
              <w:rPr>
                <w:rFonts w:ascii="Arial" w:cs="Arial" w:eastAsia="Arial" w:hAnsi="Arial"/>
                <w:sz w:val="22"/>
                <w:szCs w:val="22"/>
                <w:b w:val="1"/>
                <w:bCs w:val="1"/>
                <w:color w:val="auto"/>
              </w:rPr>
              <w:t>Avnet, Inc.</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420" w:type="dxa"/>
            <w:vAlign w:val="bottom"/>
          </w:tcPr>
          <w:p>
            <w:pPr>
              <w:ind w:left="2480"/>
              <w:spacing w:after="0"/>
              <w:rPr>
                <w:sz w:val="20"/>
                <w:szCs w:val="20"/>
                <w:color w:val="auto"/>
              </w:rPr>
            </w:pPr>
            <w:r>
              <w:rPr>
                <w:rFonts w:ascii="Arial" w:cs="Arial" w:eastAsia="Arial" w:hAnsi="Arial"/>
                <w:sz w:val="22"/>
                <w:szCs w:val="22"/>
                <w:b w:val="1"/>
                <w:bCs w:val="1"/>
                <w:color w:val="auto"/>
              </w:rPr>
              <w:t>Foreign and Domestic Subsidiaries</w:t>
            </w: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420" w:type="dxa"/>
            <w:vAlign w:val="bottom"/>
            <w:tcBorders>
              <w:bottom w:val="single" w:sz="8" w:color="A0A0A0"/>
            </w:tcBorders>
          </w:tcPr>
          <w:p>
            <w:pPr>
              <w:spacing w:after="0"/>
              <w:rPr>
                <w:sz w:val="24"/>
                <w:szCs w:val="24"/>
                <w:color w:val="auto"/>
              </w:rPr>
            </w:pPr>
          </w:p>
        </w:tc>
        <w:tc>
          <w:tcPr>
            <w:tcW w:w="2160" w:type="dxa"/>
            <w:vAlign w:val="bottom"/>
            <w:tcBorders>
              <w:bottom w:val="single" w:sz="8" w:color="A0A0A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4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Company Name</w:t>
            </w:r>
          </w:p>
        </w:tc>
        <w:tc>
          <w:tcPr>
            <w:tcW w:w="2160" w:type="dxa"/>
            <w:vAlign w:val="bottom"/>
            <w:shd w:val="clear" w:color="auto" w:fill="C0C0C0"/>
          </w:tcPr>
          <w:p>
            <w:pPr>
              <w:jc w:val="right"/>
              <w:ind w:right="1332"/>
              <w:spacing w:after="0"/>
              <w:rPr>
                <w:sz w:val="20"/>
                <w:szCs w:val="20"/>
                <w:color w:val="auto"/>
              </w:rPr>
            </w:pPr>
            <w:r>
              <w:rPr>
                <w:rFonts w:ascii="Arial" w:cs="Arial" w:eastAsia="Arial" w:hAnsi="Arial"/>
                <w:sz w:val="18"/>
                <w:szCs w:val="18"/>
                <w:b w:val="1"/>
                <w:bCs w:val="1"/>
                <w:color w:val="auto"/>
              </w:rPr>
              <w:t>Country</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Alpha 3 Manufacturing Ltd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AVID Technologies, Inc.</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Singapore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(Asia Pacific Holdings) Limited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Israel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(Holdings) Ltd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Netherlands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(NZ)</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(Shanghai) Limited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Abacus Limited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Israel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Asia Pte Ltd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Mexico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ASIC Israel Ltd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B.V.</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Bidco Limited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Brazil</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Business Services GmbH</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Australia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Components Israel Limited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China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de Mexico, S.A. de C.V.</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China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Delaware Holdings, Inc.</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Turkey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Delaware LLC</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Russian Federation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do Brasil Ltda.</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Japan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Electronics Marketing (Australia) Pty Ltd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Poland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Electronics Technology (China) Limited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Austria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Electronics Technology (Shenzhen) Limited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France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w w:val="91"/>
              </w:rPr>
              <w:t>Avnet Electronics Turkey İthalat İhracat Sanayi ve Ticaret Limited Şirketi</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EM</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Switzerland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EM Holdings (Japan) Kabushiki Kaisha</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Italy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EM Sp. z.o.o.</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EMG Elektronische Bauelemente GmbH</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Belgium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EMG France</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Belgium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EMG GmbH</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Luxembourg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EMG GmbH</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EMG Italy S.r.l.</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France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EMG Ltd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Europe Comm. VA</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Belgium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Europe Executive BV</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South Africa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Finance International S.à r.l.</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Financial Services Asia Limited</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France S.A.S.</w:t>
            </w:r>
          </w:p>
        </w:tc>
        <w:tc>
          <w:tcPr>
            <w:tcW w:w="21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Spain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4"/>
        </w:trPr>
        <w:tc>
          <w:tcPr>
            <w:tcW w:w="64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5" w:right="1440" w:bottom="1440" w:gutter="0" w:footer="0" w:header="0"/>
        </w:sectPr>
      </w:pPr>
    </w:p>
    <w:bookmarkStart w:id="85" w:name="page86"/>
    <w:bookmarkEnd w:id="85"/>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76"/>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Group Holdings Limited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India</w:t>
            </w:r>
          </w:p>
        </w:tc>
      </w:tr>
      <w:tr>
        <w:trPr>
          <w:trHeight w:val="265"/>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Holding Europe BV</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Canada</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Holding South Africa (Pty) Limited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Belgium</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Holdings UK Limited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Belgium</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Holdings, LLC</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4"/>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Iberia S.L.U.</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India Private Limited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Singapore</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International (Canada) Ltd.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Thailand</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International Holdings 1 BV</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Japan</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International Holdings 2 BV</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Korea, Republic of</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International Holdings UK Limited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Ireland</w:t>
            </w:r>
          </w:p>
        </w:tc>
      </w:tr>
      <w:tr>
        <w:trPr>
          <w:trHeight w:val="264"/>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International, LLC</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Belgium</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Japan (Asia) Limited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Japan (Thailand) Co., Ltd.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Kabushiki Kaisha</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Malaysia</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Korea, Inc.</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Mexico</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Limited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Sweden</w:t>
            </w:r>
          </w:p>
        </w:tc>
      </w:tr>
      <w:tr>
        <w:trPr>
          <w:trHeight w:val="264"/>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Logistics BV</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Denmark</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Logistics GmbH</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Norway</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Logistics Limited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Finland</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Malaysia Sdn Bhd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Philippines</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Mexicana S. de R.L. de C.V.</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4"/>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Nortec AB</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Netherlands</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Nortec ApS</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Mexico</w:t>
            </w:r>
          </w:p>
        </w:tc>
      </w:tr>
      <w:tr>
        <w:trPr>
          <w:trHeight w:val="264"/>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Nortec AS</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South Africa</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Nortec Oy</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Philippines Pty Ltd., Inc.</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Thailand</w:t>
            </w:r>
          </w:p>
        </w:tc>
      </w:tr>
      <w:tr>
        <w:trPr>
          <w:trHeight w:val="264"/>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Receivables Corporation</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Taiwan</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SellCo B.V.</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Services S. de R.L. de C.V.</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China</w:t>
            </w:r>
          </w:p>
        </w:tc>
      </w:tr>
      <w:tr>
        <w:trPr>
          <w:trHeight w:val="264"/>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South Africa (Pty) Limited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China</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Sunrise Limited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Technology (Thailand) Ltd.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4"/>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Technology Electronics Marketing (Taiwan) Co., Ltd.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China</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Technology Hong Kong Limited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4"/>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Technology Solutions (China) Ltd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Technology Solutions (Tianjin) Ltd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Avnet, Inc.</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4"/>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AVT Holdings LLC</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Beijing Vanda Yunda IT Services Co., Ltd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r>
      <w:tr>
        <w:trPr>
          <w:trHeight w:val="264"/>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Bell Microproducts Brazil Holdings, LLC</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China</w:t>
            </w:r>
          </w:p>
        </w:tc>
      </w:tr>
      <w:tr>
        <w:trPr>
          <w:trHeight w:val="263"/>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Bell Microproducts Mexico Shareholder, LLC</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4"/>
        </w:trPr>
        <w:tc>
          <w:tcPr>
            <w:tcW w:w="60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CELDIS LIMITED</w:t>
            </w:r>
          </w:p>
        </w:tc>
        <w:tc>
          <w:tcPr>
            <w:tcW w:w="25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Denmark</w:t>
            </w:r>
          </w:p>
        </w:tc>
      </w:tr>
      <w:tr>
        <w:trPr>
          <w:trHeight w:val="554"/>
        </w:trPr>
        <w:tc>
          <w:tcPr>
            <w:tcW w:w="60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2" w:right="1440" w:bottom="1440" w:gutter="0" w:footer="0" w:header="0"/>
        </w:sectPr>
      </w:pPr>
    </w:p>
    <w:bookmarkStart w:id="86" w:name="page87"/>
    <w:bookmarkEnd w:id="86"/>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76"/>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CM Satellite Systems, Inc.</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Serbia</w:t>
            </w:r>
          </w:p>
        </w:tc>
      </w:tr>
      <w:tr>
        <w:trPr>
          <w:trHeight w:val="265"/>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COMBINED PRECISION COMPONENTS LIMITED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Bulgaria</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Dragon Innovation (HK) Limited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Dragon Innovation Consulting (Shenzhen) Company Limited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Beteiligungs-Verwaltungs GmbH</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Israel</w:t>
            </w:r>
          </w:p>
        </w:tc>
      </w:tr>
      <w:tr>
        <w:trPr>
          <w:trHeight w:val="264"/>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ApS</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Hungary</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d.o.o.</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EOOD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Russian Federation</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GmbH &amp; Co. KG</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Estonia</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International GmbH</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Italy</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Israel (2008) Ltd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Romania</w:t>
            </w:r>
          </w:p>
        </w:tc>
      </w:tr>
      <w:tr>
        <w:trPr>
          <w:trHeight w:val="264"/>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Kft</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Slovakia</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Limited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France</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M</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Poland</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OÜ</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Spain</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S.r.l.</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Czech Republic</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S.R.L.</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Turkey</w:t>
            </w:r>
          </w:p>
        </w:tc>
      </w:tr>
      <w:tr>
        <w:trPr>
          <w:trHeight w:val="264"/>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s.r.o.</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Ukraine</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SAS</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Slovenia</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sp. z o.o.</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Portugal</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Spain S.L.</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spol. s r.o.</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4"/>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Ticaret Limited Sirketi</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TOV</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Austria</w:t>
            </w:r>
          </w:p>
        </w:tc>
      </w:tr>
      <w:tr>
        <w:trPr>
          <w:trHeight w:val="264"/>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Druzba Za Posredovanje D.O.O.</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South Africa</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Elektronik, Unipessoal Lda,</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Erste Holding GmbH &amp; Co. KG</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4"/>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Management GmbH</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Poland</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 Zweite Holding GmbH &amp; Co. KG</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Singapore</w:t>
            </w:r>
          </w:p>
        </w:tc>
      </w:tr>
      <w:tr>
        <w:trPr>
          <w:trHeight w:val="264"/>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EBV-Elektronik GmbH</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Thailand</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Electrolink (PTY) Ltd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Mexico</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Electron House (Overseas) Limited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Ireland</w:t>
            </w:r>
          </w:p>
        </w:tc>
      </w:tr>
      <w:tr>
        <w:trPr>
          <w:trHeight w:val="264"/>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 14 Limited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 14 sp. zoo</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Netherlands</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Asia Pte. Ltd.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India</w:t>
            </w:r>
          </w:p>
        </w:tc>
      </w:tr>
      <w:tr>
        <w:trPr>
          <w:trHeight w:val="264"/>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Co., Ltd.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New Zealand</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de Mexico, S. de R.L de C.V</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Korea, Republic of</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Electronics Limited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Singapore</w:t>
            </w:r>
          </w:p>
        </w:tc>
      </w:tr>
      <w:tr>
        <w:trPr>
          <w:trHeight w:val="264"/>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Finance UK Limited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Australia</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Holding BV</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Malaysia</w:t>
            </w:r>
          </w:p>
        </w:tc>
      </w:tr>
      <w:tr>
        <w:trPr>
          <w:trHeight w:val="264"/>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India Pvt Limited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3"/>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Limited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4"/>
        </w:trPr>
        <w:tc>
          <w:tcPr>
            <w:tcW w:w="610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Ltd.</w:t>
            </w:r>
          </w:p>
        </w:tc>
        <w:tc>
          <w:tcPr>
            <w:tcW w:w="248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Mexico</w:t>
            </w:r>
          </w:p>
        </w:tc>
      </w:tr>
      <w:tr>
        <w:trPr>
          <w:trHeight w:val="554"/>
        </w:trPr>
        <w:tc>
          <w:tcPr>
            <w:tcW w:w="6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2" w:right="1440" w:bottom="1440" w:gutter="0" w:footer="0" w:header="0"/>
        </w:sectPr>
      </w:pPr>
    </w:p>
    <w:bookmarkStart w:id="87" w:name="page88"/>
    <w:bookmarkEnd w:id="87"/>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76"/>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Pte. Ltd.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China</w:t>
            </w:r>
          </w:p>
        </w:tc>
      </w:tr>
      <w:tr>
        <w:trPr>
          <w:trHeight w:val="265"/>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Pty Ltd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SDN. BHD.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Taiwan</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US Holdings Inc.</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US Holdings LLC</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4"/>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ELEMENT14. S. de R.L. de C.V</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Belgium</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eluomeng Electronics (China) Co. Ltd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France</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ELUOMENG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Netherlands</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ELUOMENG LIMITED COMPANY</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Switzerland</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Embest HK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Ireland</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Erste TENVA Property GmbH Gruber Straße</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Israel</w:t>
            </w:r>
          </w:p>
        </w:tc>
      </w:tr>
      <w:tr>
        <w:trPr>
          <w:trHeight w:val="264"/>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(BELGIUM) N.V.</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Sweden</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(FRANCE) SAS</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Spain</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(NETHERLANDS) B.V.</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Denmark</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AG</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COMPONENTS (IRELAND)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4"/>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COMPONENTS (ISRAEL) LTD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COMPONENTS AB</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Italy</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COMPONENTS SL</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DANMARK A/S</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ELECTRONIC COMPONENTS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GMBH</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4"/>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HOLDING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ITALIA SRL</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4"/>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FARNELL OVERSEAS</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Australia</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Import Holdings LLC</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4"/>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INONE HOLDINGS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Malta</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Kent One Corporation</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Memec Group Holdings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4"/>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Memec Group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Memec Pty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Mexico Holdings LLC</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Finland</w:t>
            </w:r>
          </w:p>
        </w:tc>
      </w:tr>
      <w:tr>
        <w:trPr>
          <w:trHeight w:val="264"/>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MSC (Malta)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MSC Technologies GmbH</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MSC Technologies Systems GmbH</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Canada</w:t>
            </w:r>
          </w:p>
        </w:tc>
      </w:tr>
      <w:tr>
        <w:trPr>
          <w:trHeight w:val="264"/>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NEWARK CORPORATION</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NEWARK ELECTRONICS CORPORATION</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Ireland</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OY FARNELL (FINLAND) AB</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4"/>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Phoenics Electronics Corporation</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PREMIER FARNELL (SCOTLAND)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4"/>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PREMIER FARNELL CANADA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4"/>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PREMIER FARNELL CORP.</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596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PREMIER FARNELL FINANCE LIMITED</w:t>
            </w:r>
          </w:p>
        </w:tc>
        <w:tc>
          <w:tcPr>
            <w:tcW w:w="262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Netherlands</w:t>
            </w:r>
          </w:p>
        </w:tc>
      </w:tr>
      <w:tr>
        <w:trPr>
          <w:trHeight w:val="554"/>
        </w:trPr>
        <w:tc>
          <w:tcPr>
            <w:tcW w:w="59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2" w:right="1440" w:bottom="1440" w:gutter="0" w:footer="0" w:header="0"/>
        </w:sectPr>
      </w:pPr>
    </w:p>
    <w:bookmarkStart w:id="88" w:name="page89"/>
    <w:bookmarkEnd w:id="88"/>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76"/>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PREMIER FARNELL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Virgin Islands, British</w:t>
            </w:r>
          </w:p>
        </w:tc>
      </w:tr>
      <w:tr>
        <w:trPr>
          <w:trHeight w:val="230"/>
        </w:trPr>
        <w:tc>
          <w:tcPr>
            <w:tcW w:w="6320" w:type="dxa"/>
            <w:vAlign w:val="bottom"/>
          </w:tcPr>
          <w:p>
            <w:pPr>
              <w:spacing w:after="0" w:line="230" w:lineRule="exact"/>
              <w:rPr>
                <w:sz w:val="20"/>
                <w:szCs w:val="20"/>
                <w:color w:val="auto"/>
              </w:rPr>
            </w:pPr>
            <w:r>
              <w:rPr>
                <w:rFonts w:ascii="Arial" w:cs="Arial" w:eastAsia="Arial" w:hAnsi="Arial"/>
                <w:sz w:val="22"/>
                <w:szCs w:val="22"/>
                <w:color w:val="auto"/>
              </w:rPr>
              <w:t>PREMIER FARNELL PENSION FUNDING SCOTTISH LIMITED</w:t>
            </w:r>
          </w:p>
        </w:tc>
        <w:tc>
          <w:tcPr>
            <w:tcW w:w="2260" w:type="dxa"/>
            <w:vAlign w:val="bottom"/>
          </w:tcPr>
          <w:p>
            <w:pPr>
              <w:jc w:val="right"/>
              <w:spacing w:after="0" w:line="230" w:lineRule="exact"/>
              <w:rPr>
                <w:sz w:val="20"/>
                <w:szCs w:val="20"/>
                <w:color w:val="auto"/>
              </w:rPr>
            </w:pPr>
            <w:r>
              <w:rPr>
                <w:rFonts w:ascii="Arial" w:cs="Arial" w:eastAsia="Arial" w:hAnsi="Arial"/>
                <w:sz w:val="22"/>
                <w:szCs w:val="22"/>
                <w:color w:val="auto"/>
              </w:rPr>
              <w:t>India</w:t>
            </w:r>
          </w:p>
        </w:tc>
      </w:tr>
      <w:tr>
        <w:trPr>
          <w:trHeight w:val="276"/>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PARTNERSHIP</w:t>
            </w:r>
          </w:p>
        </w:tc>
        <w:tc>
          <w:tcPr>
            <w:tcW w:w="2260" w:type="dxa"/>
            <w:vAlign w:val="bottom"/>
            <w:tcBorders>
              <w:bottom w:val="single" w:sz="8" w:color="C0C0C0"/>
            </w:tcBorders>
          </w:tcPr>
          <w:p>
            <w:pPr>
              <w:spacing w:after="0"/>
              <w:rPr>
                <w:sz w:val="24"/>
                <w:szCs w:val="24"/>
                <w:color w:val="auto"/>
              </w:rPr>
            </w:pPr>
          </w:p>
        </w:tc>
      </w:tr>
      <w:tr>
        <w:trPr>
          <w:trHeight w:val="265"/>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PREMIER FARNELL PENSION TRUSTEES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PREMIER FARNELL PROPERTIES INC.</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PREMIER FARNELL UK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China</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PREMIER INDUSTRIAL HOLLAND B.V.</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China</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Pride Well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France</w:t>
            </w:r>
          </w:p>
        </w:tc>
      </w:tr>
      <w:tr>
        <w:trPr>
          <w:trHeight w:val="264"/>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Priya Softweb Solutions Pvt. Ltd.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RTI Holdings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SEC International Holding Company II, L.L.C.</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Shanghai FR International Trading Co., Ltd.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SHENZHEN EMBEST TECHNOLOGY CO., LTD.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Société Civile Immobilière du 22 rue de Dames</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Belgium</w:t>
            </w:r>
          </w:p>
        </w:tc>
      </w:tr>
      <w:tr>
        <w:trPr>
          <w:trHeight w:val="264"/>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Softweb Solutions Inc.</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Belgium</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Source Electronics (HK)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Source Electronics Asia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Tekdata Interconnections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Belgium</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Telmil Electronics, Inc.</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Poland</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Tenva Belgium Comm. VA</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4"/>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Tenva Financial Management BV</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Lithuania</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TENVA GmbH</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China</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Tenva Group Holdings Europe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Netherlands</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Tenva Properties BV</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States</w:t>
            </w:r>
          </w:p>
        </w:tc>
      </w:tr>
      <w:tr>
        <w:trPr>
          <w:trHeight w:val="264"/>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Tenva sp. z o.o.</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France</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Thomas Kaubisch GmbH</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UAB "EBV Elektronik"</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France</w:t>
            </w:r>
          </w:p>
        </w:tc>
      </w:tr>
      <w:tr>
        <w:trPr>
          <w:trHeight w:val="264"/>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w w:val="97"/>
              </w:rPr>
              <w:t>Vanda Computer System Integration (Shanghai) Company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Venezuelan Partner B.V.</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Witekio Corporation</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China</w:t>
            </w:r>
          </w:p>
        </w:tc>
      </w:tr>
      <w:tr>
        <w:trPr>
          <w:trHeight w:val="264"/>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Witekio France SAS</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China</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Witekio GmbH</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Witekio Holding</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264"/>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Witekio UK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Hong Kong</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YEL Electronics (China)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Singapore</w:t>
            </w:r>
          </w:p>
        </w:tc>
      </w:tr>
      <w:tr>
        <w:trPr>
          <w:trHeight w:val="264"/>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YEL Electronics (Shanghai)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Israel</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YEL Electronics (Shenzhen) Ltd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Netherlands</w:t>
            </w:r>
          </w:p>
        </w:tc>
      </w:tr>
      <w:tr>
        <w:trPr>
          <w:trHeight w:val="263"/>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YEL Electronics Hong Kong Limited</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United Kingdom</w:t>
            </w:r>
          </w:p>
        </w:tc>
      </w:tr>
      <w:tr>
        <w:trPr>
          <w:trHeight w:val="264"/>
        </w:trPr>
        <w:tc>
          <w:tcPr>
            <w:tcW w:w="6320" w:type="dxa"/>
            <w:vAlign w:val="bottom"/>
            <w:tcBorders>
              <w:bottom w:val="single" w:sz="8" w:color="C0C0C0"/>
            </w:tcBorders>
          </w:tcPr>
          <w:p>
            <w:pPr>
              <w:spacing w:after="0"/>
              <w:rPr>
                <w:sz w:val="20"/>
                <w:szCs w:val="20"/>
                <w:color w:val="auto"/>
              </w:rPr>
            </w:pPr>
            <w:r>
              <w:rPr>
                <w:rFonts w:ascii="Arial" w:cs="Arial" w:eastAsia="Arial" w:hAnsi="Arial"/>
                <w:sz w:val="22"/>
                <w:szCs w:val="22"/>
                <w:color w:val="auto"/>
              </w:rPr>
              <w:t>ZWEITE TENVA Property GmbH Im Technologiepark</w:t>
            </w:r>
          </w:p>
        </w:tc>
        <w:tc>
          <w:tcPr>
            <w:tcW w:w="2260" w:type="dxa"/>
            <w:vAlign w:val="bottom"/>
            <w:tcBorders>
              <w:bottom w:val="single" w:sz="8" w:color="C0C0C0"/>
            </w:tcBorders>
          </w:tcPr>
          <w:p>
            <w:pPr>
              <w:jc w:val="right"/>
              <w:spacing w:after="0"/>
              <w:rPr>
                <w:sz w:val="20"/>
                <w:szCs w:val="20"/>
                <w:color w:val="auto"/>
              </w:rPr>
            </w:pPr>
            <w:r>
              <w:rPr>
                <w:rFonts w:ascii="Arial" w:cs="Arial" w:eastAsia="Arial" w:hAnsi="Arial"/>
                <w:sz w:val="22"/>
                <w:szCs w:val="22"/>
                <w:color w:val="auto"/>
              </w:rPr>
              <w:t>Germany</w:t>
            </w:r>
          </w:p>
        </w:tc>
      </w:tr>
      <w:tr>
        <w:trPr>
          <w:trHeight w:val="797"/>
        </w:trPr>
        <w:tc>
          <w:tcPr>
            <w:tcW w:w="6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2" w:right="1440" w:bottom="1440" w:gutter="0" w:footer="0" w:header="0"/>
        </w:sectPr>
      </w:pPr>
    </w:p>
    <w:bookmarkStart w:id="89" w:name="page90"/>
    <w:bookmarkEnd w:id="89"/>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Avnet, Inc.:</w:t>
      </w:r>
    </w:p>
    <w:p>
      <w:pPr>
        <w:spacing w:after="0" w:line="211"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 Nos. 333-45267, 333-112062, 333-140903, 333-171291, 333-177787, 333-192289, 333-214887, 333-220133 and 333-228875 on Form S-8 and registration statement Nos. 333-208009 and 333-227100 on Form S-3 of Avnet, Inc. of our report dated August 14, 2020, with respect to the consolidated balance sheets of Avnet, Inc. as of June 27, 2020 and June 29, 2019, the related consolidated statements of operations, comprehensive income, shareholders’ equity, and cash flows for each of the years in the three-year period ended June 27, 2020, and the related notes and financial statement schedule II, and the effectiveness of internal control over financial reporting as of June 27, 2020, which report appears in the June 27, 2020 annual report on Form 10-K of Avnet, Inc.</w:t>
      </w:r>
    </w:p>
    <w:p>
      <w:pPr>
        <w:spacing w:after="0" w:line="19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 xml:space="preserve">Our report refers to a change in the method of accounting for leases in 2020 due to the adoption of Financial Accounting Standards Board’s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 xml:space="preserve">Our report refers to a change in the method of accounting for revenue in 2019 due to the adoption of Financial Accounting Standards Board’s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90" w:name="page91"/>
    <w:bookmarkEnd w:id="9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Philip R. Gallagher, certify that:</w:t>
      </w:r>
    </w:p>
    <w:p>
      <w:pPr>
        <w:spacing w:after="0" w:line="225" w:lineRule="exact"/>
        <w:rPr>
          <w:sz w:val="20"/>
          <w:szCs w:val="20"/>
          <w:color w:val="auto"/>
        </w:rPr>
      </w:pPr>
    </w:p>
    <w:p>
      <w:pPr>
        <w:ind w:left="620" w:hanging="32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ind w:left="620" w:right="379" w:hanging="327"/>
        <w:spacing w:after="0" w:line="263"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259" w:hanging="327"/>
        <w:spacing w:after="0" w:line="263"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20" w:right="119" w:hanging="327"/>
        <w:spacing w:after="0" w:line="311" w:lineRule="auto"/>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260" w:right="119" w:hanging="319"/>
        <w:spacing w:after="0" w:line="259"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260" w:right="79" w:hanging="319"/>
        <w:spacing w:after="0" w:line="259"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260" w:right="259" w:hanging="319"/>
        <w:spacing w:after="0" w:line="263"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260" w:right="99" w:hanging="319"/>
        <w:spacing w:after="0" w:line="259"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20" w:right="439" w:hanging="327"/>
        <w:spacing w:after="0" w:line="263"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3" w:lineRule="exact"/>
        <w:rPr>
          <w:rFonts w:ascii="Arial" w:cs="Arial" w:eastAsia="Arial" w:hAnsi="Arial"/>
          <w:sz w:val="18"/>
          <w:szCs w:val="18"/>
          <w:color w:val="auto"/>
        </w:rPr>
      </w:pPr>
    </w:p>
    <w:p>
      <w:pPr>
        <w:ind w:left="1260" w:right="439" w:hanging="319"/>
        <w:spacing w:after="0" w:line="263"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260" w:right="219" w:hanging="319"/>
        <w:spacing w:after="0" w:line="277"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14, 2020</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PHILIP R. GALLAGHER</w:t>
      </w:r>
    </w:p>
    <w:p>
      <w:pPr>
        <w:spacing w:after="0" w:line="5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-130175</wp:posOffset>
            </wp:positionV>
            <wp:extent cx="28117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10" w:right="1440" w:bottom="1440" w:gutter="0" w:footer="0" w:header="0"/>
        </w:sectPr>
      </w:pPr>
    </w:p>
    <w:bookmarkStart w:id="91" w:name="page92"/>
    <w:bookmarkEnd w:id="9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Thomas Liguori, certify that:</w:t>
      </w:r>
    </w:p>
    <w:p>
      <w:pPr>
        <w:spacing w:after="0" w:line="225" w:lineRule="exact"/>
        <w:rPr>
          <w:sz w:val="20"/>
          <w:szCs w:val="20"/>
          <w:color w:val="auto"/>
        </w:rPr>
      </w:pPr>
    </w:p>
    <w:p>
      <w:pPr>
        <w:ind w:left="620" w:hanging="327"/>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jc w:val="both"/>
        <w:ind w:left="620" w:right="79" w:hanging="327"/>
        <w:spacing w:after="0" w:line="263"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20" w:right="79" w:hanging="327"/>
        <w:spacing w:after="0" w:line="263"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20" w:right="79" w:hanging="327"/>
        <w:spacing w:after="0" w:line="286"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1340" w:right="79" w:hanging="318"/>
        <w:spacing w:after="0" w:line="259" w:lineRule="auto"/>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40" w:right="79" w:hanging="318"/>
        <w:spacing w:after="0" w:line="259" w:lineRule="auto"/>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340" w:right="79" w:hanging="318"/>
        <w:spacing w:after="0" w:line="263" w:lineRule="auto"/>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40" w:right="79" w:hanging="318"/>
        <w:spacing w:after="0" w:line="259" w:lineRule="auto"/>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20" w:right="79" w:hanging="327"/>
        <w:spacing w:after="0" w:line="263"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3" w:lineRule="exact"/>
        <w:rPr>
          <w:rFonts w:ascii="Arial" w:cs="Arial" w:eastAsia="Arial" w:hAnsi="Arial"/>
          <w:sz w:val="18"/>
          <w:szCs w:val="18"/>
          <w:color w:val="auto"/>
        </w:rPr>
      </w:pPr>
    </w:p>
    <w:p>
      <w:pPr>
        <w:jc w:val="both"/>
        <w:ind w:left="1340" w:right="79" w:hanging="318"/>
        <w:spacing w:after="0" w:line="263" w:lineRule="auto"/>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40" w:right="79" w:hanging="318"/>
        <w:spacing w:after="0" w:line="277" w:lineRule="auto"/>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14, 2020</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THOMAS LIGUORI</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-130175</wp:posOffset>
            </wp:positionV>
            <wp:extent cx="28460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10" w:right="1440" w:bottom="1440" w:gutter="0" w:footer="0" w:header="0"/>
        </w:sectPr>
      </w:pPr>
    </w:p>
    <w:bookmarkStart w:id="92" w:name="page93"/>
    <w:bookmarkEnd w:id="9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connection with the Annual Report on Form 10-K for the year ended June 27, 2020 (the “Report”), I, Philip 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Gallagher, Interim Chief Executive Officer of Avnet, Inc. (the “Company”) hereby certify that:</w:t>
      </w:r>
    </w:p>
    <w:p>
      <w:pPr>
        <w:spacing w:after="0" w:line="211" w:lineRule="exact"/>
        <w:rPr>
          <w:sz w:val="20"/>
          <w:szCs w:val="20"/>
          <w:color w:val="auto"/>
        </w:rPr>
      </w:pPr>
    </w:p>
    <w:p>
      <w:pPr>
        <w:ind w:left="1020" w:right="79" w:hanging="32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14, 2020</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31750</wp:posOffset>
            </wp:positionV>
            <wp:extent cx="28289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Philip R. Gallagher</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93" w:name="page94"/>
    <w:bookmarkEnd w:id="9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 connection with the Annual Report on Form 10-K for the year ended June 27, 2020 (the “Report”), I, Thomas Liguori, Chief Financial Officer of Avnet, Inc. (the “Company”) hereby certify that:</w:t>
      </w:r>
    </w:p>
    <w:p>
      <w:pPr>
        <w:spacing w:after="0" w:line="170" w:lineRule="exact"/>
        <w:rPr>
          <w:sz w:val="20"/>
          <w:szCs w:val="20"/>
          <w:color w:val="auto"/>
        </w:rPr>
      </w:pPr>
    </w:p>
    <w:p>
      <w:pPr>
        <w:ind w:left="1020" w:right="79" w:hanging="322"/>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14, 2020</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THOMAS LIGUORI</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-130175</wp:posOffset>
            </wp:positionV>
            <wp:extent cx="28460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480"/>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4"/>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3"/>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2"/>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2"/>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
      <w:numFmt w:val="bullet"/>
      <w:start w:val="1"/>
    </w:lvl>
    <w:lvl w:ilvl="1">
      <w:lvlJc w:val="left"/>
      <w:lvlText w:val="%2"/>
      <w:numFmt w:val="decimal"/>
      <w:start w:val="104"/>
    </w:lvl>
  </w:abstractNum>
  <w:abstractNum w:abstractNumId="25">
    <w:nsid w:val="836C40E"/>
    <w:multiLevelType w:val="hybridMultilevel"/>
    <w:lvl w:ilvl="0">
      <w:lvlJc w:val="left"/>
      <w:lvlText w:val="**"/>
      <w:numFmt w:val="bullet"/>
      <w:start w:val="1"/>
    </w:lvl>
    <w:lvl w:ilvl="1">
      <w:lvlJc w:val="left"/>
      <w:lvlText w:val="%2"/>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7" Type="http://schemas.openxmlformats.org/officeDocument/2006/relationships/image" Target="media/image89.png"/><Relationship Id="rId121"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96" Type="http://schemas.openxmlformats.org/officeDocument/2006/relationships/hyperlink" Target="http://www.sec.gov/Archives/edgar/data/8858/000119312516714886/d252255dex21.htm" TargetMode="External"/><Relationship Id="rId97" Type="http://schemas.openxmlformats.org/officeDocument/2006/relationships/hyperlink" Target="http://www.sec.gov/Archives/edgar/data/8858/000000885817000027/avt-20170303ex2234c3e56.htm" TargetMode="External"/><Relationship Id="rId98" Type="http://schemas.openxmlformats.org/officeDocument/2006/relationships/hyperlink" Target="http://www.sec.gov/Archives/edgar/data/8858/000095015301000138/p64582ex3-i.txt" TargetMode="External"/><Relationship Id="rId99" Type="http://schemas.openxmlformats.org/officeDocument/2006/relationships/hyperlink" Target="http://www.sec.gov/Archives/edgar/data/8858/000129993314000752/exhibit1.htm" TargetMode="External"/><Relationship Id="rId100" Type="http://schemas.openxmlformats.org/officeDocument/2006/relationships/hyperlink" Target="https://www.sec.gov/Archives/edgar/data/8858/000000885819000035/avt-20190629ex41617fba7.htm" TargetMode="External"/><Relationship Id="rId101" Type="http://schemas.openxmlformats.org/officeDocument/2006/relationships/hyperlink" Target="http://www.sec.gov/Archives/edgar/data/8858/000129993310002436/exhibit2.htm" TargetMode="External"/><Relationship Id="rId102" Type="http://schemas.openxmlformats.org/officeDocument/2006/relationships/hyperlink" Target="http://www.sec.gov/Archives/edgar/data/8858/000119312512478746/d443020dex41.htm" TargetMode="External"/><Relationship Id="rId103" Type="http://schemas.openxmlformats.org/officeDocument/2006/relationships/hyperlink" Target="http://www.sec.gov/Archives/edgar/data/8858/000119312516513440/d168900dex41.htm" TargetMode="External"/><Relationship Id="rId104" Type="http://schemas.openxmlformats.org/officeDocument/2006/relationships/hyperlink" Target="http://www.sec.gov/Archives/edgar/data/8858/000119312516782476/d305980dex41.htm" TargetMode="External"/><Relationship Id="rId105" Type="http://schemas.openxmlformats.org/officeDocument/2006/relationships/hyperlink" Target="https://www.sec.gov/Archives/edgar/data/8858/000000885816000047/avt-20160906ex1012980e1.htm" TargetMode="External"/><Relationship Id="rId106" Type="http://schemas.openxmlformats.org/officeDocument/2006/relationships/hyperlink" Target="https://www.sec.gov/Archives/edgar/data/8858/000119312517381685/d483695dex102.htm" TargetMode="External"/><Relationship Id="rId108" Type="http://schemas.openxmlformats.org/officeDocument/2006/relationships/hyperlink" Target="http://www.sec.gov/Archives/edgar/data/8858/000000885817000057/avt-20170701ex10230ec10.htm" TargetMode="External"/><Relationship Id="rId109" Type="http://schemas.openxmlformats.org/officeDocument/2006/relationships/hyperlink" Target="http://www.sec.gov/Archives/edgar/data/8858/000000885813000011/avt-20130629x10kxexh103.htm" TargetMode="External"/><Relationship Id="rId110" Type="http://schemas.openxmlformats.org/officeDocument/2006/relationships/hyperlink" Target="http://www.sec.gov/Archives/edgar/data/8858/000129993311000487/exhibit3.htm" TargetMode="External"/><Relationship Id="rId111" Type="http://schemas.openxmlformats.org/officeDocument/2006/relationships/hyperlink" Target="http://www.sec.gov/Archives/edgar/data/8858/000095015306001243/p72247exv10w1.htm" TargetMode="External"/><Relationship Id="rId112" Type="http://schemas.openxmlformats.org/officeDocument/2006/relationships/hyperlink" Target="http://www.sec.gov/Archives/edgar/data/8858/000000885817000072/avt-20170930ex10184795b.htm" TargetMode="External"/><Relationship Id="rId113" Type="http://schemas.openxmlformats.org/officeDocument/2006/relationships/hyperlink" Target="http://www.sec.gov/Archives/edgar/data/8858/000000885813000011/avt-20130629x10kxexh1013.htm" TargetMode="External"/><Relationship Id="rId114" Type="http://schemas.openxmlformats.org/officeDocument/2006/relationships/hyperlink" Target="http://www.sec.gov/Archives/edgar/data/8858/000000885813000011/avt-20130629x10kxexh1014.htm" TargetMode="External"/><Relationship Id="rId115" Type="http://schemas.openxmlformats.org/officeDocument/2006/relationships/hyperlink" Target="http://www.sec.gov/Archives/edgar/data/8858/000129993310003075/exhibit5.htm" TargetMode="External"/><Relationship Id="rId116" Type="http://schemas.openxmlformats.org/officeDocument/2006/relationships/hyperlink" Target="http://www.sec.gov/Archives/edgar/data/8858/000129993307003069/exhibit1.htm" TargetMode="External"/><Relationship Id="rId117" Type="http://schemas.openxmlformats.org/officeDocument/2006/relationships/hyperlink" Target="http://www.sec.gov/Archives/edgar/data/8858/000129993309003446/exhibit1.htm" TargetMode="External"/><Relationship Id="rId118" Type="http://schemas.openxmlformats.org/officeDocument/2006/relationships/hyperlink" Target="http://www.sec.gov/Archives/edgar/data/8858/000000885818000047/avt-20180630ex108f9323b.htm" TargetMode="External"/><Relationship Id="rId119" Type="http://schemas.openxmlformats.org/officeDocument/2006/relationships/hyperlink" Target="http://www.sec.gov/Archives/edgar/data/8858/000129993312001903/exhibit1.htm" TargetMode="External"/><Relationship Id="rId120" Type="http://schemas.openxmlformats.org/officeDocument/2006/relationships/hyperlink" Target="http://www.sec.gov/Archives/edgar/data/8858/000000885818000047/avt-20180630ex101061a25.htm" TargetMode="External"/><Relationship Id="rId122" Type="http://schemas.openxmlformats.org/officeDocument/2006/relationships/hyperlink" Target="http://www.sec.gov/Archives/edgar/data/8858/000000885817000057/avt-20170701ex10155286e.htm" TargetMode="External"/><Relationship Id="rId123" Type="http://schemas.openxmlformats.org/officeDocument/2006/relationships/hyperlink" Target="http://www.sec.gov/Archives/edgar/data/8858/000000885818000047/avt-20180630ex101299a27.htm" TargetMode="External"/><Relationship Id="rId124" Type="http://schemas.openxmlformats.org/officeDocument/2006/relationships/hyperlink" Target="http://www.sec.gov/Archives/edgar/data/8858/000000885818000047/avt-20180630ex1013e67de.htm" TargetMode="External"/><Relationship Id="rId125" Type="http://schemas.openxmlformats.org/officeDocument/2006/relationships/hyperlink" Target="http://www.sec.gov/Archives/edgar/data/8858/000000885820000019/avt-20200328ex1023349d3.htm" TargetMode="External"/><Relationship Id="rId126" Type="http://schemas.openxmlformats.org/officeDocument/2006/relationships/hyperlink" Target="http://www.sec.gov/Archives/edgar/data/8858/000000885818000047/avt-20180630ex105ad19f1.htm" TargetMode="External"/><Relationship Id="rId127" Type="http://schemas.openxmlformats.org/officeDocument/2006/relationships/hyperlink" Target="http://www.sec.gov/Archives/edgar/data/8858/000000885818000050/avt-20180816ex102b7d7a9.htm" TargetMode="External"/><Relationship Id="rId128" Type="http://schemas.openxmlformats.org/officeDocument/2006/relationships/hyperlink" Target="https://www.sec.gov/Archives/edgar/data/8858/000110465920091427/tm2026286d1_10-2.htm" TargetMode="External"/><Relationship Id="rId129" Type="http://schemas.openxmlformats.org/officeDocument/2006/relationships/hyperlink" Target="http://www.sec.gov/Archives/edgar/data/8858/000000885818000050/avt-20180816ex1013240f4.htm" TargetMode="External"/><Relationship Id="rId130" Type="http://schemas.openxmlformats.org/officeDocument/2006/relationships/hyperlink" Target="http://www.sec.gov/Archives/edgar/data/8858/000000885820000019/avt-20200328ex101018879.htm" TargetMode="External"/><Relationship Id="rId131" Type="http://schemas.openxmlformats.org/officeDocument/2006/relationships/hyperlink" Target="https://www.sec.gov/Archives/edgar/data/8858/000110465920091427/tm2026286d1_10-1.htm" TargetMode="External"/><Relationship Id="rId132" Type="http://schemas.openxmlformats.org/officeDocument/2006/relationships/hyperlink" Target="http://www.sec.gov/Archives/edgar/data/8858/000155837018005510/avt-20180628ex1011e70b2.htm" TargetMode="External"/><Relationship Id="rId133" Type="http://schemas.openxmlformats.org/officeDocument/2006/relationships/hyperlink" Target="https://www.sec.gov/Archives/edgar/data/8858/000110465920091427/tm2026286d1_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2020-08-14T05:22:51Z</dcterms:created>
  <dcterms:modified xsi:type="dcterms:W3CDTF">2020-08-14T05:22:51Z</dcterms:modified>
</cp:coreProperties>
</file>