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184785</wp:posOffset>
            </wp:positionV>
            <wp:extent cx="16122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ind w:right="-1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203835</wp:posOffset>
            </wp:positionV>
            <wp:extent cx="1612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14"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SECURITIES EXCHANGE ACT OF 1934</w:t>
      </w:r>
    </w:p>
    <w:p>
      <w:pPr>
        <w:spacing w:after="0" w:line="15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For the quarterly period ended October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197485</wp:posOffset>
            </wp:positionV>
            <wp:extent cx="16122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Commission File #1-4224</w:t>
      </w:r>
    </w:p>
    <w:p>
      <w:pPr>
        <w:spacing w:after="0" w:line="160" w:lineRule="exact"/>
        <w:rPr>
          <w:sz w:val="20"/>
          <w:szCs w:val="20"/>
          <w:color w:val="auto"/>
        </w:rPr>
      </w:pPr>
    </w:p>
    <w:p>
      <w:pPr>
        <w:jc w:val="center"/>
        <w:ind w:right="-180"/>
        <w:spacing w:after="0"/>
        <w:rPr>
          <w:sz w:val="20"/>
          <w:szCs w:val="20"/>
          <w:color w:val="auto"/>
        </w:rPr>
      </w:pPr>
      <w:r>
        <w:rPr>
          <w:rFonts w:ascii="Arial" w:cs="Arial" w:eastAsia="Arial" w:hAnsi="Arial"/>
          <w:sz w:val="43"/>
          <w:szCs w:val="43"/>
          <w:b w:val="1"/>
          <w:bCs w:val="1"/>
          <w:color w:val="auto"/>
        </w:rPr>
        <w:t>AVNET, INC.</w:t>
      </w:r>
    </w:p>
    <w:p>
      <w:pPr>
        <w:spacing w:after="0" w:line="5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Incorporated in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184785</wp:posOffset>
            </wp:positionV>
            <wp:extent cx="16122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IRS Employer Identification No. 11-1890605</w:t>
      </w:r>
    </w:p>
    <w:p>
      <w:pPr>
        <w:spacing w:after="0" w:line="18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2211 South 47</w:t>
      </w:r>
      <w:r>
        <w:rPr>
          <w:rFonts w:ascii="Arial" w:cs="Arial" w:eastAsia="Arial" w:hAnsi="Arial"/>
          <w:sz w:val="15"/>
          <w:szCs w:val="15"/>
          <w:color w:val="auto"/>
        </w:rPr>
        <w:t>th</w:t>
      </w:r>
      <w:r>
        <w:rPr>
          <w:rFonts w:ascii="Arial" w:cs="Arial" w:eastAsia="Arial" w:hAnsi="Arial"/>
          <w:sz w:val="18"/>
          <w:szCs w:val="18"/>
          <w:color w:val="auto"/>
        </w:rPr>
        <w:t xml:space="preserve"> Street, Phoenix, Arizona 85034</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(480) 643-2000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186055</wp:posOffset>
            </wp:positionV>
            <wp:extent cx="16122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both"/>
        <w:ind w:left="340" w:right="179" w:firstLine="38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jc w:val="both"/>
        <w:ind w:left="340" w:right="159" w:firstLine="389"/>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0219"/>
          </w:cols>
          <w:pgMar w:left="240" w:top="122" w:right="1440" w:bottom="1440" w:gutter="0" w:footer="0" w:header="0"/>
        </w:sectPr>
      </w:pPr>
    </w:p>
    <w:p>
      <w:pPr>
        <w:spacing w:after="0" w:line="149" w:lineRule="exact"/>
        <w:rPr>
          <w:sz w:val="20"/>
          <w:szCs w:val="20"/>
          <w:color w:val="auto"/>
        </w:rPr>
      </w:pPr>
    </w:p>
    <w:p>
      <w:pPr>
        <w:jc w:val="center"/>
        <w:ind w:left="4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Smaller Reporting Company o</w:t>
      </w:r>
    </w:p>
    <w:p>
      <w:pPr>
        <w:spacing w:after="0" w:line="404" w:lineRule="exact"/>
        <w:rPr>
          <w:sz w:val="20"/>
          <w:szCs w:val="20"/>
          <w:color w:val="auto"/>
        </w:rPr>
      </w:pPr>
    </w:p>
    <w:p>
      <w:pPr>
        <w:sectPr>
          <w:pgSz w:w="11900" w:h="16838" w:orient="portrait"/>
          <w:cols w:equalWidth="0" w:num="4">
            <w:col w:w="2220" w:space="420"/>
            <w:col w:w="1340" w:space="360"/>
            <w:col w:w="3340" w:space="160"/>
            <w:col w:w="2379"/>
          </w:cols>
          <w:pgMar w:left="240" w:top="122" w:right="1440" w:bottom="1440" w:gutter="0" w:footer="0" w:header="0"/>
          <w:type w:val="continuous"/>
        </w:sectPr>
      </w:pPr>
    </w:p>
    <w:p>
      <w:pPr>
        <w:ind w:left="720"/>
        <w:spacing w:after="0" w:line="184" w:lineRule="exact"/>
        <w:rPr>
          <w:sz w:val="20"/>
          <w:szCs w:val="20"/>
          <w:color w:val="auto"/>
        </w:rPr>
      </w:pPr>
      <w:r>
        <w:rPr>
          <w:rFonts w:ascii="Arial" w:cs="Arial" w:eastAsia="Arial" w:hAnsi="Arial"/>
          <w:sz w:val="16"/>
          <w:szCs w:val="16"/>
          <w:color w:val="auto"/>
        </w:rPr>
        <w:t xml:space="preserve">Indicate by checkmark whether the registrant is a shell company (as defined in Rule 12b-2 of the Exchange Act). Yes o No </w:t>
      </w:r>
      <w:r>
        <w:rPr>
          <w:rFonts w:ascii="MS PGothic" w:cs="MS PGothic" w:eastAsia="MS PGothic" w:hAnsi="MS PGothic"/>
          <w:sz w:val="16"/>
          <w:szCs w:val="16"/>
          <w:color w:val="auto"/>
        </w:rPr>
        <w:t>☑</w:t>
      </w:r>
    </w:p>
    <w:p>
      <w:pPr>
        <w:spacing w:after="0" w:line="240" w:lineRule="exact"/>
        <w:rPr>
          <w:sz w:val="20"/>
          <w:szCs w:val="20"/>
          <w:color w:val="auto"/>
        </w:rPr>
      </w:pPr>
    </w:p>
    <w:p>
      <w:pPr>
        <w:ind w:left="340" w:right="159" w:firstLine="389"/>
        <w:spacing w:after="0" w:line="277" w:lineRule="auto"/>
        <w:rPr>
          <w:sz w:val="20"/>
          <w:szCs w:val="20"/>
          <w:color w:val="auto"/>
        </w:rPr>
      </w:pPr>
      <w:r>
        <w:rPr>
          <w:rFonts w:ascii="Arial" w:cs="Arial" w:eastAsia="Arial" w:hAnsi="Arial"/>
          <w:sz w:val="18"/>
          <w:szCs w:val="18"/>
          <w:color w:val="auto"/>
        </w:rPr>
        <w:t>As of October 21, 2011, the total number of shares outstanding of the registrant’s Common Stock was 148,367,920 shares, net of treasury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108585</wp:posOffset>
            </wp:positionV>
            <wp:extent cx="617474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784225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20" w:type="dxa"/>
            <w:vAlign w:val="bottom"/>
            <w:gridSpan w:val="9"/>
          </w:tcPr>
          <w:p>
            <w:pPr>
              <w:jc w:val="center"/>
              <w:ind w:right="2300"/>
              <w:spacing w:after="0"/>
              <w:rPr>
                <w:sz w:val="20"/>
                <w:szCs w:val="20"/>
                <w:color w:val="auto"/>
              </w:rPr>
            </w:pPr>
            <w:r>
              <w:rPr>
                <w:rFonts w:ascii="Arial" w:cs="Arial" w:eastAsia="Arial" w:hAnsi="Arial"/>
                <w:sz w:val="18"/>
                <w:szCs w:val="18"/>
                <w:b w:val="1"/>
                <w:bCs w:val="1"/>
                <w:color w:val="auto"/>
                <w:w w:val="99"/>
              </w:rPr>
              <w:t>AVNET, INC. AND SUBSIDIARIES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80" w:type="dxa"/>
            <w:vAlign w:val="bottom"/>
            <w:gridSpan w:val="8"/>
          </w:tcPr>
          <w:p>
            <w:pPr>
              <w:jc w:val="center"/>
              <w:ind w:right="244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40" w:type="dxa"/>
            <w:vAlign w:val="bottom"/>
            <w:gridSpan w:val="10"/>
            <w:vMerge w:val="restart"/>
          </w:tcPr>
          <w:p>
            <w:pPr>
              <w:jc w:val="center"/>
              <w:ind w:right="228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340" w:type="dxa"/>
            <w:vAlign w:val="bottom"/>
            <w:gridSpan w:val="10"/>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0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1260" w:type="dxa"/>
            <w:vAlign w:val="bottom"/>
            <w:gridSpan w:val="4"/>
          </w:tcPr>
          <w:p>
            <w:pPr>
              <w:spacing w:after="0"/>
              <w:rPr>
                <w:sz w:val="24"/>
                <w:szCs w:val="24"/>
                <w:color w:val="auto"/>
              </w:rPr>
            </w:pPr>
          </w:p>
        </w:tc>
        <w:tc>
          <w:tcPr>
            <w:tcW w:w="3060" w:type="dxa"/>
            <w:vAlign w:val="bottom"/>
            <w:tcBorders>
              <w:top w:val="single" w:sz="8" w:color="0000EE"/>
            </w:tcBorders>
            <w:gridSpan w:val="8"/>
          </w:tcPr>
          <w:p>
            <w:pPr>
              <w:spacing w:after="0"/>
              <w:rPr>
                <w:sz w:val="24"/>
                <w:szCs w:val="24"/>
                <w:color w:val="auto"/>
              </w:rPr>
            </w:pPr>
          </w:p>
        </w:tc>
        <w:tc>
          <w:tcPr>
            <w:tcW w:w="228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Sheets at October 1, 2011 and July 2, 2011</w:t>
              </w:r>
            </w:hyperlink>
          </w:p>
        </w:tc>
        <w:tc>
          <w:tcPr>
            <w:tcW w:w="3760" w:type="dxa"/>
            <w:vAlign w:val="bottom"/>
            <w:gridSpan w:val="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for the first quarters ended</w:t>
              </w:r>
            </w:hyperlink>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5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October 1, 2011 and October 2, 2010</w:t>
              </w:r>
            </w:hyperlink>
          </w:p>
        </w:tc>
        <w:tc>
          <w:tcPr>
            <w:tcW w:w="3700" w:type="dxa"/>
            <w:vAlign w:val="bottom"/>
            <w:gridSpan w:val="5"/>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for the first quarters ended</w:t>
              </w:r>
            </w:hyperlink>
          </w:p>
        </w:tc>
        <w:tc>
          <w:tcPr>
            <w:tcW w:w="3640" w:type="dxa"/>
            <w:vAlign w:val="bottom"/>
            <w:gridSpan w:val="4"/>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October 1, 2011 and October 2, 2010</w:t>
              </w:r>
            </w:hyperlink>
          </w:p>
        </w:tc>
        <w:tc>
          <w:tcPr>
            <w:tcW w:w="5580" w:type="dxa"/>
            <w:vAlign w:val="bottom"/>
            <w:gridSpan w:val="11"/>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60" w:type="dxa"/>
            <w:vAlign w:val="bottom"/>
            <w:gridSpan w:val="2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492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5"/>
          </w:tcPr>
          <w:p>
            <w:pPr>
              <w:spacing w:after="0"/>
              <w:rPr>
                <w:sz w:val="24"/>
                <w:szCs w:val="24"/>
                <w:color w:val="auto"/>
              </w:rPr>
            </w:pPr>
          </w:p>
        </w:tc>
        <w:tc>
          <w:tcPr>
            <w:tcW w:w="16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8660" w:type="dxa"/>
            <w:vAlign w:val="bottom"/>
            <w:gridSpan w:val="2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4. Controls and Procedures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2420" w:type="dxa"/>
            <w:vAlign w:val="bottom"/>
            <w:gridSpan w:val="3"/>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60" w:type="dxa"/>
            <w:vAlign w:val="bottom"/>
            <w:gridSpan w:val="2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1. Legal Proceedings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tcBorders>
            <w:gridSpan w:val="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1A. Risk Factors</w:t>
              </w:r>
            </w:hyperlink>
          </w:p>
        </w:tc>
        <w:tc>
          <w:tcPr>
            <w:tcW w:w="6780" w:type="dxa"/>
            <w:vAlign w:val="bottom"/>
            <w:gridSpan w:val="1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9"/>
          </w:tcPr>
          <w:p>
            <w:pPr>
              <w:spacing w:after="0" w:line="20" w:lineRule="exact"/>
              <w:rPr>
                <w:sz w:val="1"/>
                <w:szCs w:val="1"/>
                <w:color w:val="auto"/>
              </w:rPr>
            </w:pPr>
          </w:p>
        </w:tc>
        <w:tc>
          <w:tcPr>
            <w:tcW w:w="376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Item 2. Unregistered Sales of Equity Securities and Use of Proceeds</w:t>
              </w:r>
            </w:hyperlink>
          </w:p>
        </w:tc>
        <w:tc>
          <w:tcPr>
            <w:tcW w:w="3760" w:type="dxa"/>
            <w:vAlign w:val="bottom"/>
            <w:gridSpan w:val="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8660" w:type="dxa"/>
            <w:vAlign w:val="bottom"/>
            <w:gridSpan w:val="2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6. Exhibits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10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29">
              <w:r>
                <w:rPr>
                  <w:rFonts w:ascii="Arial" w:cs="Arial" w:eastAsia="Arial" w:hAnsi="Arial"/>
                  <w:sz w:val="18"/>
                  <w:szCs w:val="18"/>
                  <w:color w:val="0000EE"/>
                  <w:w w:val="85"/>
                </w:rPr>
                <w:t>Signature Page</w:t>
              </w:r>
            </w:hyperlink>
          </w:p>
        </w:tc>
        <w:tc>
          <w:tcPr>
            <w:tcW w:w="60" w:type="dxa"/>
            <w:vAlign w:val="bottom"/>
            <w:tcBorders>
              <w:top w:val="single" w:sz="8" w:color="0000EE"/>
            </w:tcBorders>
          </w:tcPr>
          <w:p>
            <w:pPr>
              <w:spacing w:after="0"/>
              <w:rPr>
                <w:sz w:val="24"/>
                <w:szCs w:val="24"/>
                <w:color w:val="auto"/>
              </w:rPr>
            </w:pPr>
          </w:p>
        </w:tc>
        <w:tc>
          <w:tcPr>
            <w:tcW w:w="7520" w:type="dxa"/>
            <w:vAlign w:val="bottom"/>
            <w:gridSpan w:val="1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8620" w:type="dxa"/>
            <w:vAlign w:val="bottom"/>
            <w:gridSpan w:val="22"/>
          </w:tcPr>
          <w:p>
            <w:pPr>
              <w:spacing w:after="0"/>
              <w:rPr>
                <w:sz w:val="20"/>
                <w:szCs w:val="20"/>
                <w:color w:val="auto"/>
              </w:rPr>
            </w:pPr>
            <w:r>
              <w:rPr>
                <w:rFonts w:ascii="Arial" w:cs="Arial" w:eastAsia="Arial" w:hAnsi="Arial"/>
                <w:sz w:val="18"/>
                <w:szCs w:val="18"/>
                <w:color w:val="0000EE"/>
              </w:rPr>
              <w:t>Exhibit 31.1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7760" w:type="dxa"/>
            <w:vAlign w:val="bottom"/>
            <w:gridSpan w:val="1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22"/>
          </w:tcPr>
          <w:p>
            <w:pPr>
              <w:spacing w:after="0" w:line="196" w:lineRule="exact"/>
              <w:rPr>
                <w:sz w:val="20"/>
                <w:szCs w:val="20"/>
                <w:color w:val="auto"/>
              </w:rPr>
            </w:pPr>
            <w:r>
              <w:rPr>
                <w:rFonts w:ascii="Arial" w:cs="Arial" w:eastAsia="Arial" w:hAnsi="Arial"/>
                <w:sz w:val="18"/>
                <w:szCs w:val="18"/>
                <w:color w:val="0000EE"/>
              </w:rPr>
              <w:t>Exhibit 31.2</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7760" w:type="dxa"/>
            <w:vAlign w:val="bottom"/>
            <w:gridSpan w:val="1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22"/>
          </w:tcPr>
          <w:p>
            <w:pPr>
              <w:spacing w:after="0" w:line="196" w:lineRule="exact"/>
              <w:rPr>
                <w:sz w:val="20"/>
                <w:szCs w:val="20"/>
                <w:color w:val="auto"/>
              </w:rPr>
            </w:pPr>
            <w:r>
              <w:rPr>
                <w:rFonts w:ascii="Arial" w:cs="Arial" w:eastAsia="Arial" w:hAnsi="Arial"/>
                <w:sz w:val="18"/>
                <w:szCs w:val="18"/>
                <w:color w:val="0000EE"/>
              </w:rPr>
              <w:t>Exhibit 32.1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2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20" w:type="dxa"/>
            <w:vAlign w:val="bottom"/>
          </w:tcPr>
          <w:p>
            <w:pPr>
              <w:jc w:val="center"/>
              <w:ind w:left="1650"/>
              <w:spacing w:after="0"/>
              <w:rPr>
                <w:sz w:val="20"/>
                <w:szCs w:val="20"/>
                <w:color w:val="auto"/>
              </w:rPr>
            </w:pPr>
            <w:r>
              <w:rPr>
                <w:rFonts w:ascii="Arial" w:cs="Arial" w:eastAsia="Arial" w:hAnsi="Arial"/>
                <w:sz w:val="18"/>
                <w:szCs w:val="18"/>
                <w:b w:val="1"/>
                <w:bCs w:val="1"/>
                <w:color w:val="auto"/>
                <w:w w:val="98"/>
              </w:rPr>
              <w:t>PART I</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20" w:type="dxa"/>
            <w:vAlign w:val="bottom"/>
          </w:tcPr>
          <w:p>
            <w:pPr>
              <w:jc w:val="center"/>
              <w:ind w:left="1650"/>
              <w:spacing w:after="0"/>
              <w:rPr>
                <w:sz w:val="20"/>
                <w:szCs w:val="20"/>
                <w:color w:val="auto"/>
              </w:rPr>
            </w:pPr>
            <w:r>
              <w:rPr>
                <w:rFonts w:ascii="Arial" w:cs="Arial" w:eastAsia="Arial" w:hAnsi="Arial"/>
                <w:sz w:val="18"/>
                <w:szCs w:val="18"/>
                <w:b w:val="1"/>
                <w:bCs w:val="1"/>
                <w:color w:val="auto"/>
              </w:rPr>
              <w:t>FINANCIAL INFORMATION</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20" w:type="dxa"/>
            <w:vAlign w:val="bottom"/>
          </w:tcPr>
          <w:p>
            <w:pPr>
              <w:jc w:val="center"/>
              <w:ind w:left="1650"/>
              <w:spacing w:after="0"/>
              <w:rPr>
                <w:sz w:val="20"/>
                <w:szCs w:val="20"/>
                <w:color w:val="auto"/>
              </w:rPr>
            </w:pPr>
            <w:r>
              <w:rPr>
                <w:rFonts w:ascii="Arial" w:cs="Arial" w:eastAsia="Arial" w:hAnsi="Arial"/>
                <w:sz w:val="18"/>
                <w:szCs w:val="18"/>
                <w:b w:val="1"/>
                <w:bCs w:val="1"/>
                <w:color w:val="auto"/>
                <w:w w:val="99"/>
              </w:rPr>
              <w:t>AVNET, INC. AND SUBSIDIARIES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20" w:type="dxa"/>
            <w:vAlign w:val="bottom"/>
          </w:tcPr>
          <w:p>
            <w:pPr>
              <w:jc w:val="center"/>
              <w:ind w:left="1670"/>
              <w:spacing w:after="0"/>
              <w:rPr>
                <w:sz w:val="20"/>
                <w:szCs w:val="20"/>
                <w:color w:val="auto"/>
              </w:rPr>
            </w:pPr>
            <w:r>
              <w:rPr>
                <w:rFonts w:ascii="Arial" w:cs="Arial" w:eastAsia="Arial" w:hAnsi="Arial"/>
                <w:sz w:val="18"/>
                <w:szCs w:val="18"/>
                <w:b w:val="1"/>
                <w:bCs w:val="1"/>
                <w:color w:val="auto"/>
                <w:w w:val="99"/>
              </w:rPr>
              <w:t>CONSOLIDATED BALANCE SHEETS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20" w:type="dxa"/>
            <w:vAlign w:val="bottom"/>
          </w:tcPr>
          <w:p>
            <w:pPr>
              <w:jc w:val="center"/>
              <w:ind w:left="1650"/>
              <w:spacing w:after="0"/>
              <w:rPr>
                <w:sz w:val="20"/>
                <w:szCs w:val="20"/>
                <w:color w:val="auto"/>
              </w:rPr>
            </w:pPr>
            <w:r>
              <w:rPr>
                <w:rFonts w:ascii="Arial" w:cs="Arial" w:eastAsia="Arial" w:hAnsi="Arial"/>
                <w:sz w:val="18"/>
                <w:szCs w:val="18"/>
                <w:b w:val="1"/>
                <w:bCs w:val="1"/>
                <w:color w:val="auto"/>
                <w:w w:val="93"/>
              </w:rPr>
              <w:t>(Unaudited)</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98"/>
              </w:rPr>
              <w:t>October 1,</w:t>
            </w:r>
          </w:p>
        </w:tc>
        <w:tc>
          <w:tcPr>
            <w:tcW w:w="20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July 2,</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76"/>
              </w:rPr>
              <w:t>(Thousands,</w:t>
            </w:r>
          </w:p>
        </w:tc>
        <w:tc>
          <w:tcPr>
            <w:tcW w:w="1340" w:type="dxa"/>
            <w:vAlign w:val="bottom"/>
            <w:gridSpan w:val="3"/>
          </w:tcPr>
          <w:p>
            <w:pPr>
              <w:jc w:val="right"/>
              <w:ind w:right="90"/>
              <w:spacing w:after="0" w:line="191" w:lineRule="exact"/>
              <w:rPr>
                <w:sz w:val="20"/>
                <w:szCs w:val="20"/>
                <w:color w:val="auto"/>
              </w:rPr>
            </w:pPr>
            <w:r>
              <w:rPr>
                <w:rFonts w:ascii="Arial" w:cs="Arial" w:eastAsia="Arial" w:hAnsi="Arial"/>
                <w:sz w:val="18"/>
                <w:szCs w:val="18"/>
                <w:b w:val="1"/>
                <w:bCs w:val="1"/>
                <w:color w:val="auto"/>
              </w:rPr>
              <w:t>except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amounts)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920" w:type="dxa"/>
            <w:vAlign w:val="bottom"/>
            <w:shd w:val="clear" w:color="auto" w:fill="CCEEFF"/>
          </w:tcPr>
          <w:p>
            <w:pPr>
              <w:jc w:val="center"/>
              <w:ind w:right="870"/>
              <w:spacing w:after="0"/>
              <w:rPr>
                <w:sz w:val="20"/>
                <w:szCs w:val="20"/>
                <w:color w:val="auto"/>
              </w:rPr>
            </w:pPr>
            <w:r>
              <w:rPr>
                <w:rFonts w:ascii="Arial" w:cs="Arial" w:eastAsia="Arial" w:hAnsi="Arial"/>
                <w:sz w:val="18"/>
                <w:szCs w:val="18"/>
                <w:b w:val="1"/>
                <w:bCs w:val="1"/>
                <w:color w:val="auto"/>
                <w:w w:val="94"/>
              </w:rPr>
              <w:t>ASSETS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622,430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675,334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Receivables, less allowances of $101,473 and $107,739, respectively</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4,593,519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4,764,293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2,643,838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2,596,470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207,069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191,110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8,066,856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8,227,207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432,668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419,173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 (Notes 2 and 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939,268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885,072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343,762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374,117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9,782,554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9,905,569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20" w:type="dxa"/>
            <w:vAlign w:val="bottom"/>
            <w:vMerge w:val="restart"/>
          </w:tcPr>
          <w:p>
            <w:pPr>
              <w:jc w:val="center"/>
              <w:ind w:right="890"/>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Borrowings due within one year (Note 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756,947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243,079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3,175,069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3,561,633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Accrued expenses and other</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660,933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673,016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4,592,949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4,477,728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Long-term debt (Note 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1,150,773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1,273,509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107,815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98,262</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5,851,537</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5,849,499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Commitments and contingencies (Note 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Shareholders’ equity (Notes 9 and 10):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Common stock $1.00 par; authorized 300,000,000 shares; issued 149,576,000 shares and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152,835,000 shares, respectively</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149,576</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152,835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1,246,053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1,233,209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2,345,130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2,293,510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income (Note 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190,953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377,211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Treasury stock at cost, 37,820 shares and 37,802 shares, respectively</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(695)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Total shareholders’ equity</w:t>
            </w: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3,931,017</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4,056,070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9,782,554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9,905,569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4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10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AVNET, INC. AND SUBSIDIARIES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0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100" w:type="dxa"/>
            <w:vAlign w:val="bottom"/>
          </w:tcPr>
          <w:p>
            <w:pPr>
              <w:jc w:val="center"/>
              <w:ind w:left="147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1"/>
              </w:rPr>
              <w:t>First Quarters Ended</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Borders>
              <w:top w:val="single" w:sz="8" w:color="auto"/>
            </w:tcBorders>
            <w:gridSpan w:val="4"/>
          </w:tcPr>
          <w:p>
            <w:pPr>
              <w:jc w:val="right"/>
              <w:ind w:right="460"/>
              <w:spacing w:after="0" w:line="191" w:lineRule="exact"/>
              <w:rPr>
                <w:sz w:val="20"/>
                <w:szCs w:val="20"/>
                <w:color w:val="auto"/>
              </w:rPr>
            </w:pPr>
            <w:r>
              <w:rPr>
                <w:rFonts w:ascii="Arial" w:cs="Arial" w:eastAsia="Arial" w:hAnsi="Arial"/>
                <w:sz w:val="18"/>
                <w:szCs w:val="18"/>
                <w:b w:val="1"/>
                <w:bCs w:val="1"/>
                <w:color w:val="auto"/>
                <w:w w:val="98"/>
              </w:rPr>
              <w:t>October 1,</w:t>
            </w:r>
          </w:p>
        </w:tc>
        <w:tc>
          <w:tcPr>
            <w:tcW w:w="9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6"/>
              </w:rPr>
              <w:t>October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6"/>
          </w:tcPr>
          <w:p>
            <w:pPr>
              <w:jc w:val="center"/>
              <w:ind w:right="280"/>
              <w:spacing w:after="0" w:line="191" w:lineRule="exact"/>
              <w:rPr>
                <w:sz w:val="20"/>
                <w:szCs w:val="20"/>
                <w:color w:val="auto"/>
              </w:rPr>
            </w:pPr>
            <w:r>
              <w:rPr>
                <w:rFonts w:ascii="Arial" w:cs="Arial" w:eastAsia="Arial" w:hAnsi="Arial"/>
                <w:sz w:val="18"/>
                <w:szCs w:val="18"/>
                <w:b w:val="1"/>
                <w:bCs w:val="1"/>
                <w:color w:val="auto"/>
                <w:w w:val="87"/>
              </w:rPr>
              <w:t>(Thousands, except</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9"/>
              </w:rPr>
              <w:t>per share data)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3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6,426,006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6,182,388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5,672,409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5,459,243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753,597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723,145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530,533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500,616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integration and other charges (Note 13)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28,067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223,064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(5,376)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(21,871)</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(22,025)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bargain purchase and other (Note 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29,023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195,817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204,799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56,787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66,625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139,030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per share (Note 10):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36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0.91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earnings per share (Note 10):</w:t>
            </w: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152,270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152,004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20" w:type="dxa"/>
            <w:vAlign w:val="bottom"/>
            <w:gridSpan w:val="2"/>
            <w:vMerge w:val="restart"/>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154,506</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6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280" w:type="dxa"/>
            <w:vAlign w:val="bottom"/>
          </w:tcPr>
          <w:p>
            <w:pPr>
              <w:jc w:val="center"/>
              <w:ind w:left="1290"/>
              <w:spacing w:after="0"/>
              <w:rPr>
                <w:sz w:val="20"/>
                <w:szCs w:val="20"/>
                <w:color w:val="auto"/>
              </w:rPr>
            </w:pPr>
            <w:r>
              <w:rPr>
                <w:rFonts w:ascii="Arial" w:cs="Arial" w:eastAsia="Arial" w:hAnsi="Arial"/>
                <w:sz w:val="18"/>
                <w:szCs w:val="18"/>
                <w:b w:val="1"/>
                <w:bCs w:val="1"/>
                <w:color w:val="auto"/>
                <w:w w:val="99"/>
              </w:rPr>
              <w:t>AVNET, INC. AND SUBSIDIARIES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80" w:type="dxa"/>
            <w:vAlign w:val="bottom"/>
          </w:tcPr>
          <w:p>
            <w:pPr>
              <w:jc w:val="center"/>
              <w:ind w:left="12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80" w:type="dxa"/>
            <w:vAlign w:val="bottom"/>
          </w:tcPr>
          <w:p>
            <w:pPr>
              <w:jc w:val="center"/>
              <w:ind w:left="1290"/>
              <w:spacing w:after="0"/>
              <w:rPr>
                <w:sz w:val="20"/>
                <w:szCs w:val="20"/>
                <w:color w:val="auto"/>
              </w:rPr>
            </w:pPr>
            <w:r>
              <w:rPr>
                <w:rFonts w:ascii="Arial" w:cs="Arial" w:eastAsia="Arial" w:hAnsi="Arial"/>
                <w:sz w:val="18"/>
                <w:szCs w:val="18"/>
                <w:b w:val="1"/>
                <w:bCs w:val="1"/>
                <w:color w:val="auto"/>
                <w:w w:val="93"/>
              </w:rPr>
              <w:t>(Unaudited)</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8"/>
              </w:rPr>
              <w:t>First Quarters Ended</w:t>
            </w: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Borders>
              <w:top w:val="single" w:sz="8" w:color="auto"/>
            </w:tcBorders>
            <w:gridSpan w:val="4"/>
          </w:tcPr>
          <w:p>
            <w:pPr>
              <w:jc w:val="right"/>
              <w:ind w:right="460"/>
              <w:spacing w:after="0" w:line="191" w:lineRule="exact"/>
              <w:rPr>
                <w:sz w:val="20"/>
                <w:szCs w:val="20"/>
                <w:color w:val="auto"/>
              </w:rPr>
            </w:pPr>
            <w:r>
              <w:rPr>
                <w:rFonts w:ascii="Arial" w:cs="Arial" w:eastAsia="Arial" w:hAnsi="Arial"/>
                <w:sz w:val="18"/>
                <w:szCs w:val="18"/>
                <w:b w:val="1"/>
                <w:bCs w:val="1"/>
                <w:color w:val="auto"/>
                <w:w w:val="96"/>
              </w:rPr>
              <w:t>October 1,</w:t>
            </w:r>
          </w:p>
        </w:tc>
        <w:tc>
          <w:tcPr>
            <w:tcW w:w="9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6"/>
              </w:rPr>
              <w:t>October 2,</w:t>
            </w:r>
          </w:p>
        </w:tc>
        <w:tc>
          <w:tcPr>
            <w:tcW w:w="10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(Thousands)</w:t>
            </w: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20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139,030</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138,174</w:t>
            </w: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Non-cash and other reconciling items: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22,301</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20,843</w:t>
            </w: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12,901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(13,020)</w:t>
            </w:r>
          </w:p>
        </w:tc>
      </w:tr>
      <w:tr>
        <w:trPr>
          <w:trHeight w:val="216"/>
        </w:trPr>
        <w:tc>
          <w:tcPr>
            <w:tcW w:w="340" w:type="dxa"/>
            <w:vAlign w:val="bottom"/>
          </w:tcPr>
          <w:p>
            <w:pPr>
              <w:spacing w:after="0"/>
              <w:rPr>
                <w:sz w:val="18"/>
                <w:szCs w:val="18"/>
                <w:color w:val="auto"/>
              </w:rPr>
            </w:pPr>
          </w:p>
        </w:tc>
        <w:tc>
          <w:tcPr>
            <w:tcW w:w="7300" w:type="dxa"/>
            <w:vAlign w:val="bottom"/>
            <w:gridSpan w:val="2"/>
          </w:tcPr>
          <w:p>
            <w:pPr>
              <w:ind w:left="40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14,252</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8,602</w:t>
            </w: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Gain on bargain purchase and other (Note 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(29,023)</w:t>
            </w:r>
          </w:p>
        </w:tc>
      </w:tr>
      <w:tr>
        <w:trPr>
          <w:trHeight w:val="216"/>
        </w:trPr>
        <w:tc>
          <w:tcPr>
            <w:tcW w:w="340" w:type="dxa"/>
            <w:vAlign w:val="bottom"/>
          </w:tcPr>
          <w:p>
            <w:pPr>
              <w:spacing w:after="0"/>
              <w:rPr>
                <w:sz w:val="18"/>
                <w:szCs w:val="18"/>
                <w:color w:val="auto"/>
              </w:rPr>
            </w:pPr>
          </w:p>
        </w:tc>
        <w:tc>
          <w:tcPr>
            <w:tcW w:w="7300" w:type="dxa"/>
            <w:vAlign w:val="bottom"/>
            <w:gridSpan w:val="2"/>
          </w:tcPr>
          <w:p>
            <w:pPr>
              <w:ind w:left="40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15,188</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21,270</w:t>
            </w: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Changes in (net of effects from businesses acquired):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400"/>
              <w:spacing w:after="0"/>
              <w:rPr>
                <w:sz w:val="20"/>
                <w:szCs w:val="20"/>
                <w:color w:val="auto"/>
              </w:rPr>
            </w:pPr>
            <w:r>
              <w:rPr>
                <w:rFonts w:ascii="Arial" w:cs="Arial" w:eastAsia="Arial" w:hAnsi="Arial"/>
                <w:sz w:val="18"/>
                <w:szCs w:val="18"/>
                <w:color w:val="auto"/>
              </w:rPr>
              <w:t>Receivables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125,422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(110,909)</w:t>
            </w: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(88,989)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(269,768)</w:t>
            </w:r>
          </w:p>
        </w:tc>
      </w:tr>
      <w:tr>
        <w:trPr>
          <w:trHeight w:val="216"/>
        </w:trPr>
        <w:tc>
          <w:tcPr>
            <w:tcW w:w="340" w:type="dxa"/>
            <w:vAlign w:val="bottom"/>
          </w:tcPr>
          <w:p>
            <w:pPr>
              <w:spacing w:after="0"/>
              <w:rPr>
                <w:sz w:val="18"/>
                <w:szCs w:val="18"/>
                <w:color w:val="auto"/>
              </w:rPr>
            </w:pPr>
          </w:p>
        </w:tc>
        <w:tc>
          <w:tcPr>
            <w:tcW w:w="7300" w:type="dxa"/>
            <w:vAlign w:val="bottom"/>
            <w:gridSpan w:val="2"/>
          </w:tcPr>
          <w:p>
            <w:pPr>
              <w:ind w:left="40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(373,793)</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130,710</w:t>
            </w: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Accrued expenses and other,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(70,459)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(9,209)</w:t>
            </w:r>
          </w:p>
        </w:tc>
      </w:tr>
      <w:tr>
        <w:trPr>
          <w:trHeight w:val="223"/>
        </w:trPr>
        <w:tc>
          <w:tcPr>
            <w:tcW w:w="340" w:type="dxa"/>
            <w:vAlign w:val="bottom"/>
          </w:tcPr>
          <w:p>
            <w:pPr>
              <w:spacing w:after="0"/>
              <w:rPr>
                <w:sz w:val="19"/>
                <w:szCs w:val="19"/>
                <w:color w:val="auto"/>
              </w:rPr>
            </w:pPr>
          </w:p>
        </w:tc>
        <w:tc>
          <w:tcPr>
            <w:tcW w:w="7300" w:type="dxa"/>
            <w:vAlign w:val="bottom"/>
            <w:gridSpan w:val="2"/>
          </w:tcPr>
          <w:p>
            <w:pPr>
              <w:ind w:left="600"/>
              <w:spacing w:after="0"/>
              <w:rPr>
                <w:sz w:val="20"/>
                <w:szCs w:val="20"/>
                <w:color w:val="auto"/>
              </w:rPr>
            </w:pPr>
            <w:r>
              <w:rPr>
                <w:rFonts w:ascii="Arial" w:cs="Arial" w:eastAsia="Arial" w:hAnsi="Arial"/>
                <w:sz w:val="18"/>
                <w:szCs w:val="18"/>
                <w:color w:val="auto"/>
              </w:rPr>
              <w:t>Net cash flows used for operating activities</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(204,147)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(112,330)</w:t>
            </w:r>
          </w:p>
        </w:tc>
        <w:tc>
          <w:tcPr>
            <w:tcW w:w="1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Borrowings under accounts receivable securitization program (Note 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325,000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190,000</w:t>
            </w: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Repayments of notes (Note 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(5,205)</w:t>
            </w:r>
          </w:p>
        </w:tc>
      </w:tr>
      <w:tr>
        <w:trPr>
          <w:trHeight w:val="216"/>
        </w:trPr>
        <w:tc>
          <w:tcPr>
            <w:tcW w:w="34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Proceeds from bank debt, net (Note 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64,281</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60,445</w:t>
            </w: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(Repayments of) proceeds from other debt, net (Note 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16,210</w:t>
            </w:r>
          </w:p>
        </w:tc>
      </w:tr>
      <w:tr>
        <w:trPr>
          <w:trHeight w:val="216"/>
        </w:trPr>
        <w:tc>
          <w:tcPr>
            <w:tcW w:w="34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Repurchases of common stock (Note 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(81,921)</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r>
      <w:tr>
        <w:trPr>
          <w:trHeight w:val="223"/>
        </w:trPr>
        <w:tc>
          <w:tcPr>
            <w:tcW w:w="340" w:type="dxa"/>
            <w:vAlign w:val="bottom"/>
          </w:tcPr>
          <w:p>
            <w:pPr>
              <w:spacing w:after="0"/>
              <w:rPr>
                <w:sz w:val="19"/>
                <w:szCs w:val="19"/>
                <w:color w:val="auto"/>
              </w:rPr>
            </w:pPr>
          </w:p>
        </w:tc>
        <w:tc>
          <w:tcPr>
            <w:tcW w:w="7300" w:type="dxa"/>
            <w:vAlign w:val="bottom"/>
            <w:gridSpan w:val="2"/>
          </w:tcPr>
          <w:p>
            <w:pPr>
              <w:ind w:left="600"/>
              <w:spacing w:after="0"/>
              <w:rPr>
                <w:sz w:val="20"/>
                <w:szCs w:val="20"/>
                <w:color w:val="auto"/>
              </w:rPr>
            </w:pPr>
            <w:r>
              <w:rPr>
                <w:rFonts w:ascii="Arial" w:cs="Arial" w:eastAsia="Arial" w:hAnsi="Arial"/>
                <w:sz w:val="18"/>
                <w:szCs w:val="18"/>
                <w:color w:val="auto"/>
              </w:rPr>
              <w:t>Net cash flows provided by financing activities</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307,692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261,532</w:t>
            </w:r>
          </w:p>
        </w:tc>
        <w:tc>
          <w:tcPr>
            <w:tcW w:w="1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(39,666)</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(31,938)</w:t>
            </w: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proceeds from sales of property, plant and equipment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r>
      <w:tr>
        <w:trPr>
          <w:trHeight w:val="216"/>
        </w:trPr>
        <w:tc>
          <w:tcPr>
            <w:tcW w:w="34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Acquisitions of operations, net of cash acquired (Note 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(103,232)</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(574,815)</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cash flows used for investing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(142,455)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(606,365)</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(13,994)</w:t>
            </w:r>
          </w:p>
        </w:tc>
        <w:tc>
          <w:tcPr>
            <w:tcW w:w="1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26,767</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 decrease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(52,904)</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(430,396)</w:t>
            </w: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at beginning of period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675,334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1,092,102</w:t>
            </w:r>
          </w:p>
        </w:tc>
      </w:tr>
      <w:tr>
        <w:trPr>
          <w:trHeight w:val="223"/>
        </w:trPr>
        <w:tc>
          <w:tcPr>
            <w:tcW w:w="340" w:type="dxa"/>
            <w:vAlign w:val="bottom"/>
          </w:tcPr>
          <w:p>
            <w:pPr>
              <w:spacing w:after="0"/>
              <w:rPr>
                <w:sz w:val="19"/>
                <w:szCs w:val="19"/>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 at end of period</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622,430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661,706</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cash flow information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17474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17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Basis of presentation</w:t>
      </w:r>
    </w:p>
    <w:p>
      <w:pPr>
        <w:spacing w:after="0" w:line="189" w:lineRule="exact"/>
        <w:rPr>
          <w:sz w:val="20"/>
          <w:szCs w:val="20"/>
          <w:color w:val="auto"/>
        </w:rPr>
      </w:pPr>
    </w:p>
    <w:p>
      <w:pPr>
        <w:jc w:val="both"/>
        <w:ind w:left="340" w:right="1360" w:firstLine="389"/>
        <w:spacing w:after="0" w:line="259"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adjustments necessary to present fairly the Company’s financial position, results of operations and cash flows. All such adjustments are of a normal recurring nature, except for (i) the gain on bargain purchase discussed in Note 2 and (ii) the restructuring, integration and other charges discussed in Note 13.</w:t>
      </w:r>
    </w:p>
    <w:p>
      <w:pPr>
        <w:spacing w:after="0" w:line="146" w:lineRule="exact"/>
        <w:rPr>
          <w:sz w:val="20"/>
          <w:szCs w:val="20"/>
          <w:color w:val="auto"/>
        </w:rPr>
      </w:pPr>
    </w:p>
    <w:p>
      <w:pPr>
        <w:jc w:val="both"/>
        <w:ind w:left="340" w:right="1380" w:firstLine="389"/>
        <w:spacing w:after="0" w:line="264"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requires management to make estimates and assumptions that affect the amounts reported in the consolidated financial statements. Actual results may differ from these estimates.</w:t>
      </w:r>
    </w:p>
    <w:p>
      <w:pPr>
        <w:spacing w:after="0" w:line="154" w:lineRule="exact"/>
        <w:rPr>
          <w:sz w:val="20"/>
          <w:szCs w:val="20"/>
          <w:color w:val="auto"/>
        </w:rPr>
      </w:pPr>
    </w:p>
    <w:p>
      <w:pPr>
        <w:jc w:val="both"/>
        <w:ind w:left="340" w:right="1360" w:firstLine="389"/>
        <w:spacing w:after="0" w:line="264" w:lineRule="auto"/>
        <w:rPr>
          <w:sz w:val="20"/>
          <w:szCs w:val="20"/>
          <w:color w:val="auto"/>
        </w:rPr>
      </w:pPr>
      <w:r>
        <w:rPr>
          <w:rFonts w:ascii="Arial" w:cs="Arial" w:eastAsia="Arial" w:hAnsi="Arial"/>
          <w:sz w:val="18"/>
          <w:szCs w:val="18"/>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July 2, 2011.</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Acquisitions and divestitures</w:t>
      </w:r>
    </w:p>
    <w:p>
      <w:pPr>
        <w:spacing w:after="0" w:line="189" w:lineRule="exact"/>
        <w:rPr>
          <w:sz w:val="20"/>
          <w:szCs w:val="20"/>
          <w:color w:val="auto"/>
        </w:rPr>
      </w:pPr>
    </w:p>
    <w:p>
      <w:pPr>
        <w:jc w:val="both"/>
        <w:ind w:left="340" w:right="1380" w:firstLine="389"/>
        <w:spacing w:after="0" w:line="264" w:lineRule="auto"/>
        <w:rPr>
          <w:sz w:val="20"/>
          <w:szCs w:val="20"/>
          <w:color w:val="auto"/>
        </w:rPr>
      </w:pPr>
      <w:r>
        <w:rPr>
          <w:rFonts w:ascii="Arial" w:cs="Arial" w:eastAsia="Arial" w:hAnsi="Arial"/>
          <w:sz w:val="18"/>
          <w:szCs w:val="18"/>
          <w:color w:val="auto"/>
        </w:rPr>
        <w:t>During the first quarter of fiscal 2012, the Company acquired three businesses with annualized revenues of approximately $320 million for an aggregate purchase price of $103,232,000, net of cash acquired. Two of the businesses acquired are reported as part of the EM Asia region and one is reported as part of the TS EMEA region.</w:t>
      </w:r>
    </w:p>
    <w:p>
      <w:pPr>
        <w:spacing w:after="0" w:line="154" w:lineRule="exact"/>
        <w:rPr>
          <w:sz w:val="20"/>
          <w:szCs w:val="20"/>
          <w:color w:val="auto"/>
        </w:rPr>
      </w:pPr>
    </w:p>
    <w:p>
      <w:pPr>
        <w:jc w:val="both"/>
        <w:ind w:left="340" w:right="1360" w:firstLine="389"/>
        <w:spacing w:after="0" w:line="273" w:lineRule="auto"/>
        <w:rPr>
          <w:sz w:val="20"/>
          <w:szCs w:val="20"/>
          <w:color w:val="auto"/>
        </w:rPr>
      </w:pPr>
      <w:r>
        <w:rPr>
          <w:rFonts w:ascii="Arial" w:cs="Arial" w:eastAsia="Arial" w:hAnsi="Arial"/>
          <w:sz w:val="17"/>
          <w:szCs w:val="17"/>
          <w:color w:val="auto"/>
        </w:rPr>
        <w:t>During fiscal 2011, the Company acquired Unidux, Inc., (“Unidux”) an electronics component distributor in Japan with annualized revenues of approximately $370 million, which is reported as part of the EM Asia region. Unidux was a publicly traded company which shares were trading below its book value for a period of time. In a tender offer, Avnet offered a purchase price per share for Unidux that was above the prevailing trading price thereby representing a premium to the then recent trading levels. Even though the purchase price was below book value, the Unidux shareholders tendered their shares. As a result, the Company recognized a gain on bargain purchase of $30,990,000 pre- and after tax and $0.20 per share on a diluted basis.</w:t>
      </w:r>
    </w:p>
    <w:p>
      <w:pPr>
        <w:spacing w:after="0" w:line="138" w:lineRule="exact"/>
        <w:rPr>
          <w:sz w:val="20"/>
          <w:szCs w:val="20"/>
          <w:color w:val="auto"/>
        </w:rPr>
      </w:pPr>
    </w:p>
    <w:p>
      <w:pPr>
        <w:jc w:val="both"/>
        <w:ind w:left="340" w:right="1360" w:firstLine="389"/>
        <w:spacing w:after="0" w:line="255" w:lineRule="auto"/>
        <w:rPr>
          <w:sz w:val="20"/>
          <w:szCs w:val="20"/>
          <w:color w:val="auto"/>
        </w:rPr>
      </w:pPr>
      <w:r>
        <w:rPr>
          <w:rFonts w:ascii="Arial" w:cs="Arial" w:eastAsia="Arial" w:hAnsi="Arial"/>
          <w:sz w:val="18"/>
          <w:szCs w:val="18"/>
          <w:color w:val="auto"/>
        </w:rPr>
        <w:t>During fiscal 2007 and 2006, the Company recorded certain exit-related liabilities through purchase accounting in accordance with previous accounting standards, which consisted of severance for workforce reductions, non-cancelable lease commitments and lease termination charges for leased facilities, and other contract termination costs associated with the exit activities. During the first quarter of fiscal 2012, the Company paid $113,000 in cash associated with these reserves. As of October 1, 2011, the total remaining reserve was $2,596,000 related primarily to facility exit costs and other contractual lease obligations, which management expects to be substantially utilized by fiscal 2013.</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Goodwill and intangible assets</w:t>
      </w:r>
    </w:p>
    <w:p>
      <w:pPr>
        <w:spacing w:after="0" w:line="202" w:lineRule="exact"/>
        <w:rPr>
          <w:sz w:val="20"/>
          <w:szCs w:val="20"/>
          <w:color w:val="auto"/>
        </w:rPr>
      </w:pPr>
    </w:p>
    <w:p>
      <w:pPr>
        <w:jc w:val="both"/>
        <w:ind w:left="340" w:right="1360" w:firstLine="389"/>
        <w:spacing w:after="0" w:line="277" w:lineRule="auto"/>
        <w:rPr>
          <w:sz w:val="20"/>
          <w:szCs w:val="20"/>
          <w:color w:val="auto"/>
        </w:rPr>
      </w:pPr>
      <w:r>
        <w:rPr>
          <w:rFonts w:ascii="Arial" w:cs="Arial" w:eastAsia="Arial" w:hAnsi="Arial"/>
          <w:sz w:val="18"/>
          <w:szCs w:val="18"/>
          <w:color w:val="auto"/>
        </w:rPr>
        <w:t>The following table presents the carrying amount of goodwill, by reportable segment, for the three months ended October 1, 2011: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Electronics</w:t>
            </w:r>
          </w:p>
        </w:tc>
        <w:tc>
          <w:tcPr>
            <w:tcW w:w="180" w:type="dxa"/>
            <w:vAlign w:val="bottom"/>
          </w:tcPr>
          <w:p>
            <w:pPr>
              <w:spacing w:after="0"/>
              <w:rPr>
                <w:sz w:val="18"/>
                <w:szCs w:val="18"/>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89"/>
              </w:rPr>
              <w:t>Technology</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Marketing</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85"/>
              </w:rPr>
              <w:t>Solutions</w:t>
            </w:r>
          </w:p>
        </w:tc>
        <w:tc>
          <w:tcPr>
            <w:tcW w:w="18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(Thousands)</w:t>
            </w: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at July 2, 2011</w:t>
            </w:r>
          </w:p>
        </w:tc>
        <w:tc>
          <w:tcPr>
            <w:tcW w:w="2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352,870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532,202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885,072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Additions</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40,735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37,894</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78,629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(27,312)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(9,541)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(14,892)</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(24,433)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at October 1, 2011</w:t>
            </w:r>
          </w:p>
        </w:tc>
        <w:tc>
          <w:tcPr>
            <w:tcW w:w="2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411,376</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527,892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939,268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320" w:type="dxa"/>
            <w:vAlign w:val="bottom"/>
            <w:vMerge w:val="restart"/>
          </w:tcPr>
          <w:p>
            <w:pPr>
              <w:jc w:val="right"/>
              <w:ind w:right="950"/>
              <w:spacing w:after="0"/>
              <w:rPr>
                <w:sz w:val="20"/>
                <w:szCs w:val="20"/>
                <w:color w:val="auto"/>
              </w:rPr>
            </w:pPr>
            <w:r>
              <w:rPr>
                <w:rFonts w:ascii="Arial" w:cs="Arial" w:eastAsia="Arial" w:hAnsi="Arial"/>
                <w:sz w:val="18"/>
                <w:szCs w:val="18"/>
                <w:color w:val="auto"/>
              </w:rPr>
              <w:t>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The goodwill additions are a result of businesses acquired during the first quarter of fiscal 2012 (see Note 2) and purchase accounting adjustments during the purchase price allocation period. The adjustment to goodwill is a result of the transfer of the Latin America computing components business from TS Americas to EM Americas in the first quarter of fiscal 2012. The business transferred had been acquired as part of the Bell Microproducts, Inc. acquisition.</w:t>
      </w:r>
    </w:p>
    <w:p>
      <w:pPr>
        <w:spacing w:after="0" w:line="146"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following table presents the gross amount of goodwill and accumulated impairment since fiscal 2009 as of July 2, 2011 and October 1, 2011. All of the accumulated impairment was recognized in fiscal 2009.</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0"/>
              </w:rPr>
              <w:t>Electronics</w:t>
            </w:r>
          </w:p>
        </w:tc>
        <w:tc>
          <w:tcPr>
            <w:tcW w:w="180" w:type="dxa"/>
            <w:vAlign w:val="bottom"/>
          </w:tcPr>
          <w:p>
            <w:pPr>
              <w:spacing w:after="0"/>
              <w:rPr>
                <w:sz w:val="18"/>
                <w:szCs w:val="18"/>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89"/>
              </w:rPr>
              <w:t>Technology</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Marketing</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85"/>
              </w:rPr>
              <w:t>Solutions</w:t>
            </w:r>
          </w:p>
        </w:tc>
        <w:tc>
          <w:tcPr>
            <w:tcW w:w="14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(Thousands)</w:t>
            </w: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Gross goodwill at July 2, 2011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1,397,980</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866,826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2,264,806</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Accumulated impairment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(1,045,110)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(334,624)</w:t>
            </w: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(1,379,734)</w:t>
            </w:r>
          </w:p>
        </w:tc>
      </w:tr>
      <w:tr>
        <w:trPr>
          <w:trHeight w:val="27"/>
        </w:trPr>
        <w:tc>
          <w:tcPr>
            <w:tcW w:w="5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at July 2, 2011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352,870</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532,202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885,072</w:t>
            </w: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940" w:type="dxa"/>
            <w:vAlign w:val="bottom"/>
          </w:tcPr>
          <w:p>
            <w:pPr>
              <w:spacing w:after="0"/>
              <w:rPr>
                <w:sz w:val="20"/>
                <w:szCs w:val="20"/>
                <w:color w:val="auto"/>
              </w:rPr>
            </w:pPr>
            <w:r>
              <w:rPr>
                <w:rFonts w:ascii="Arial" w:cs="Arial" w:eastAsia="Arial" w:hAnsi="Arial"/>
                <w:sz w:val="18"/>
                <w:szCs w:val="18"/>
                <w:color w:val="auto"/>
              </w:rPr>
              <w:t>Gross goodwill at October 1, 2011</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1,456,486</w:t>
            </w:r>
          </w:p>
        </w:tc>
        <w:tc>
          <w:tcPr>
            <w:tcW w:w="200" w:type="dxa"/>
            <w:vAlign w:val="bottom"/>
          </w:tcPr>
          <w:p>
            <w:pPr>
              <w:spacing w:after="0"/>
              <w:rPr>
                <w:sz w:val="24"/>
                <w:szCs w:val="24"/>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862,516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2,319,002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(1,045,110)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(334,624)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(1,379,734)</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Carrying value at October 1, 2011</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411,376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527,892</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939,268</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During the first quarter of fiscal 2012, the Company recognized approximately $19,252,000 for customer relationship and trade name intangible assets acquired as result of an acquisition completed in the first quarter of fiscal 2012. As of October 1, 2011, “Other assets” included intangible assets with a carrying value of $132,749,000; consisting of $184,626,000 in original cost value and $51,877,000 of accumulated amortization and foreign currency translation. These assets are being amortized over a weighted average life of 8 years. Intangible asset amortization expense was $6,178,000 and $5,008,000 for the first quarter of fiscal 2012 and 2011, respectively. Amortization expense for fiscal 2013 through 2016 is expected to be approximately $22,000,000 each year and $14,500,000 for fiscal 2017.</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Arial" w:cs="Arial" w:eastAsia="Arial" w:hAnsi="Arial"/>
                <w:sz w:val="18"/>
                <w:szCs w:val="18"/>
                <w:b w:val="1"/>
                <w:bCs w:val="1"/>
                <w:color w:val="auto"/>
              </w:rPr>
              <w:t>4. External financing</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000" w:type="dxa"/>
            <w:vAlign w:val="bottom"/>
          </w:tcPr>
          <w:p>
            <w:pPr>
              <w:ind w:left="380"/>
              <w:spacing w:after="0"/>
              <w:rPr>
                <w:sz w:val="20"/>
                <w:szCs w:val="20"/>
                <w:color w:val="auto"/>
              </w:rPr>
            </w:pPr>
            <w:r>
              <w:rPr>
                <w:rFonts w:ascii="Arial" w:cs="Arial" w:eastAsia="Arial" w:hAnsi="Arial"/>
                <w:sz w:val="18"/>
                <w:szCs w:val="18"/>
                <w:color w:val="auto"/>
              </w:rPr>
              <w:t>Short-term debt consists of the following:</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October 1,</w:t>
            </w:r>
          </w:p>
        </w:tc>
        <w:tc>
          <w:tcPr>
            <w:tcW w:w="16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July 2,</w:t>
            </w:r>
          </w:p>
        </w:tc>
      </w:tr>
      <w:tr>
        <w:trPr>
          <w:trHeight w:val="234"/>
        </w:trPr>
        <w:tc>
          <w:tcPr>
            <w:tcW w:w="6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6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(Thousands)</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Bank credit facilities</w:t>
            </w: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209,007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81,951</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61,465</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the accounts receivable securitization program</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485,000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160,000</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Other debt due within one year</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1,475</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1,128</w:t>
            </w:r>
          </w:p>
        </w:tc>
      </w:tr>
      <w:tr>
        <w:trPr>
          <w:trHeight w:val="27"/>
        </w:trPr>
        <w:tc>
          <w:tcPr>
            <w:tcW w:w="60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756,947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243,079</w:t>
            </w:r>
          </w:p>
        </w:tc>
      </w:tr>
      <w:tr>
        <w:trPr>
          <w:trHeight w:val="20"/>
        </w:trPr>
        <w:tc>
          <w:tcPr>
            <w:tcW w:w="6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Bank credit facilities consist of various committed and uncommitted lines of credit with financial institutions utilized primarily to support the working capital requirements of foreign operations. The weighted average interest rate on the bank credit facilities was 6.1% and 7.8% at October 1, 2011 and July 2, 2011, respectively.</w:t>
      </w:r>
    </w:p>
    <w:p>
      <w:pPr>
        <w:spacing w:after="0" w:line="154"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The Company has a five-year $500,000,000 unsecured revolving credit facility (the “Credit Agreement”) with a syndicate of banks. Under the Credit Agreement, the Company may elect from various interest rate options, currencies and maturities. The Credit Agreement contains certain covenants, all of which the Company was in compliance with as of October 1, 2011. As of October 1, 2011, the borrowings outstanding under the Credit Agreement, which expires in September 2012, are included in “short-term debt” in the preceeding table. In addition, there were $17,102,000 in letters of credit issued under the Credit Agreement which represent a utilization of the Credit Agreement capacity but are not recorded in the consolidated balance sheet as the letters of credit are not debt. Amounts outstanding under the Credit Agreement as of July 2, 2011 were classified as long-term debt and included in “other long-term debt” in the table below.</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In August 2011, the Company amended its accounts receivable securitization program (the “Program”) with a group of financial institutions to allow the Company to sell, on a revolving basis, an undivided interest of up to $750,000,000 ($600,000,000 prior to the amendment) in eligible receivables while retaining a subordinated interest in a portion of the receivables. The Program does not qualify for sale treatment and, as a result, any borrowings under the Program are recorded as debt on the consolidated balance sheet. The Program contains certain covenants, all of which the Company was in compliance with as of October 1, 2011. The Program has a one year term that expires in August 2012. Interest on borrowings is calculated using a base rate or a commercial paper rate plus a spread of 0.35%. The facility fee is 0.35%.</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300" w:type="dxa"/>
            <w:vAlign w:val="bottom"/>
            <w:gridSpan w:val="2"/>
          </w:tcPr>
          <w:p>
            <w:pPr>
              <w:ind w:left="380"/>
              <w:spacing w:after="0"/>
              <w:rPr>
                <w:sz w:val="20"/>
                <w:szCs w:val="20"/>
                <w:color w:val="auto"/>
              </w:rPr>
            </w:pPr>
            <w:r>
              <w:rPr>
                <w:rFonts w:ascii="Arial" w:cs="Arial" w:eastAsia="Arial" w:hAnsi="Arial"/>
                <w:sz w:val="18"/>
                <w:szCs w:val="18"/>
                <w:color w:val="auto"/>
              </w:rPr>
              <w:t>Long-term debt consists of the following:</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0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w w:val="96"/>
              </w:rPr>
              <w:t>October 1,</w:t>
            </w:r>
          </w:p>
        </w:tc>
        <w:tc>
          <w:tcPr>
            <w:tcW w:w="16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July 2,</w:t>
            </w:r>
          </w:p>
        </w:tc>
      </w:tr>
      <w:tr>
        <w:trPr>
          <w:trHeight w:val="234"/>
        </w:trPr>
        <w:tc>
          <w:tcPr>
            <w:tcW w:w="60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60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(Thousands)</w:t>
            </w: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94"/>
              </w:rPr>
              <w:t>5.875%</w:t>
            </w: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Notes due March 15, 2014</w:t>
            </w:r>
          </w:p>
        </w:tc>
        <w:tc>
          <w:tcPr>
            <w:tcW w:w="18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6.00% Notes due September 1, 2015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250,000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94"/>
              </w:rPr>
              <w:t>6.625%</w:t>
            </w: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Notes due September 15, 2016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4"/>
              </w:rPr>
              <w:t>5.875%</w:t>
            </w:r>
          </w:p>
        </w:tc>
        <w:tc>
          <w:tcPr>
            <w:tcW w:w="6700" w:type="dxa"/>
            <w:vAlign w:val="bottom"/>
          </w:tcPr>
          <w:p>
            <w:pPr>
              <w:spacing w:after="0"/>
              <w:rPr>
                <w:sz w:val="20"/>
                <w:szCs w:val="20"/>
                <w:color w:val="auto"/>
              </w:rPr>
            </w:pPr>
            <w:r>
              <w:rPr>
                <w:rFonts w:ascii="Arial" w:cs="Arial" w:eastAsia="Arial" w:hAnsi="Arial"/>
                <w:sz w:val="18"/>
                <w:szCs w:val="18"/>
                <w:color w:val="auto"/>
              </w:rPr>
              <w:t>Notes due June 15, 2020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300,000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300,000</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126,512</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w w:val="87"/>
              </w:rPr>
              <w:t>Subtotal</w:t>
            </w:r>
          </w:p>
        </w:tc>
        <w:tc>
          <w:tcPr>
            <w:tcW w:w="6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1,153,643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1,276,512</w:t>
            </w:r>
          </w:p>
        </w:tc>
        <w:tc>
          <w:tcPr>
            <w:tcW w:w="100" w:type="dxa"/>
            <w:vAlign w:val="bottom"/>
          </w:tcPr>
          <w:p>
            <w:pPr>
              <w:spacing w:after="0"/>
              <w:rPr>
                <w:sz w:val="19"/>
                <w:szCs w:val="19"/>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on notes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(2,870)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(3,003)</w:t>
            </w:r>
          </w:p>
        </w:tc>
      </w:tr>
      <w:tr>
        <w:trPr>
          <w:trHeight w:val="223"/>
        </w:trPr>
        <w:tc>
          <w:tcPr>
            <w:tcW w:w="7300" w:type="dxa"/>
            <w:vAlign w:val="bottom"/>
            <w:gridSpan w:val="2"/>
          </w:tcPr>
          <w:p>
            <w:pPr>
              <w:ind w:left="200"/>
              <w:spacing w:after="0"/>
              <w:rPr>
                <w:sz w:val="20"/>
                <w:szCs w:val="20"/>
                <w:color w:val="auto"/>
              </w:rPr>
            </w:pPr>
            <w:r>
              <w:rPr>
                <w:rFonts w:ascii="Arial" w:cs="Arial" w:eastAsia="Arial" w:hAnsi="Arial"/>
                <w:sz w:val="18"/>
                <w:szCs w:val="18"/>
                <w:color w:val="auto"/>
              </w:rPr>
              <w:t>Long-term debt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1,150,773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1,273,509</w:t>
            </w:r>
          </w:p>
        </w:tc>
        <w:tc>
          <w:tcPr>
            <w:tcW w:w="100" w:type="dxa"/>
            <w:vAlign w:val="bottom"/>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At July 2, 2011, there were $122,093,000 in borrowings outstanding under the Credit Agreement included in “other long-term debt” in the preceeding table and $16,602,000 in letters of credit issued under the Credit Agreement. Amounts outstanding under the Credit Agreement as of October 1, 2011 are classified as short-term debt as the expiration date of the Credit Agreement is September 2012.</w:t>
      </w:r>
    </w:p>
    <w:p>
      <w:pPr>
        <w:spacing w:after="0" w:line="160"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At October 1, 2011 the carrying value and fair value of the Company’s debt was $1,907,720,000 and $2,022,891,000, respectively. Fair value was estimated primarily based upon quoted market prices.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Derivative financial instruments</w:t>
      </w:r>
    </w:p>
    <w:p>
      <w:pPr>
        <w:spacing w:after="0" w:line="189"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Many of the Company’s subsidiaries, on occasion, purchase and sell products in currencies other than their functional currencies. This subjects the Company to the risks associated with fluctuations in foreign currency exchange rates. The Company reduces this risk by utilizing natural hedging (i.e. offsetting receivables and payables) as well as by creating offsetting positions through the use of derivative financial instruments, primarily forward foreign exchange contracts with maturities of less than sixty days. The Company continues to have exposure to foreign currency risks to the extent they are not hedged. The Company adjusts all foreign denominated balances and any outstanding foreign exchange contracts to fair market value through the consolidated statements of operations. Therefore, the market risk related to the foreign exchange contracts is offset by the changes in valuation of the underlying items being hedged. The asset or liability representing the fair value of foreign exchange contracts, based upon level 2 criteria under the fair value measurements standard, is classified in the captions “other current assets” or “accrued expenses and other,” as applicable, in the accompanying consolidated balance sheets and were not material. In addition, the Company did not have material gains or losses related to the forward contracts which are recorded in “other (expense) income, net” in the accompanying consolidated statements of operations.</w:t>
      </w:r>
    </w:p>
    <w:p>
      <w:pPr>
        <w:spacing w:after="0" w:line="153" w:lineRule="exact"/>
        <w:rPr>
          <w:sz w:val="20"/>
          <w:szCs w:val="20"/>
          <w:color w:val="auto"/>
        </w:rPr>
      </w:pPr>
    </w:p>
    <w:p>
      <w:pPr>
        <w:jc w:val="both"/>
        <w:ind w:left="340" w:right="179" w:firstLine="389"/>
        <w:spacing w:after="0" w:line="342" w:lineRule="auto"/>
        <w:rPr>
          <w:sz w:val="20"/>
          <w:szCs w:val="20"/>
          <w:color w:val="auto"/>
        </w:rPr>
      </w:pPr>
      <w:r>
        <w:rPr>
          <w:rFonts w:ascii="Arial" w:cs="Arial" w:eastAsia="Arial" w:hAnsi="Arial"/>
          <w:sz w:val="16"/>
          <w:szCs w:val="16"/>
          <w:color w:val="auto"/>
        </w:rPr>
        <w:t>The Company generally does not hedge its investment in its foreign operations. The Company does not enter into derivative financial instruments for trading or speculative purposes and monitors the financial stability and credit standing of its counterparties.</w:t>
      </w:r>
    </w:p>
    <w:p>
      <w:pPr>
        <w:spacing w:after="0" w:line="200" w:lineRule="exact"/>
        <w:rPr>
          <w:sz w:val="20"/>
          <w:szCs w:val="20"/>
          <w:color w:val="auto"/>
        </w:rPr>
      </w:pPr>
    </w:p>
    <w:p>
      <w:pPr>
        <w:spacing w:after="0" w:line="27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p>
      <w:pPr>
        <w:ind w:left="720" w:right="7199" w:hanging="388"/>
        <w:spacing w:after="0" w:line="456" w:lineRule="auto"/>
        <w:tabs>
          <w:tab w:leader="none" w:pos="511"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Bell</w:t>
      </w:r>
    </w:p>
    <w:p>
      <w:pPr>
        <w:spacing w:after="0" w:line="1"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During fiscal 2011, the Company recognized a contingent liability of $10,000,000 for potential unpaid import duties associated with the acquisition of Bell Microproducts Inc. (“Bell”). Prior to the acquisition of Bell by Avnet, Customs and Border Protection (“CBP”) initiated a review of the importing process at one of Bell’s subsidiaries, identified compliance deficiencies and, subsequent to the acquisition of Bell by Avnet, CBP began a compliance audit. The Company evaluated projected duties, interest and penalties that potentially may be imposed as a result of the audit and recognized a contingent liability of $10,000,000, which was recorded to goodwill in fiscal 2011. Depending on the ultimate resolution of the matter with CBP, the Company estimates the range of the potential exposure associated with the liability may be up to $73 million; however, the Company believes the contingent liability recorded is a reasonable estimate of the liability based upon the facts available at this time.</w:t>
      </w:r>
    </w:p>
    <w:p>
      <w:pPr>
        <w:spacing w:after="0" w:line="15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Other</w:t>
      </w:r>
    </w:p>
    <w:p>
      <w:pPr>
        <w:spacing w:after="0" w:line="185"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From time to time, the Company may become a party to, or otherwise involved in other pending and threatened litigation, tax, environmental and other matters arising in the ordinary course of conducting its business. Management does not anticipate that any contingent matters will have a material adverse effect on the Company’s financial condition, liquidity or results of operations.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Income taxes</w:t>
      </w:r>
    </w:p>
    <w:p>
      <w:pPr>
        <w:spacing w:after="0" w:line="202"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Company’s effective tax rate on its income before income taxes was 29.0% in the first quarter of fiscal 2012 as compared with 32.5% in the first quarter of fiscal 2011. During the first quarter of fiscal 2011, the Company recognized an income tax adjustment of $13,932,000 primarily related to the non-cash write-off of a deferred tax asset associated with the integration of an acquisition which was partially offset by the non-taxable gain on bargain purchase (see Note 2).</w:t>
      </w:r>
    </w:p>
    <w:p>
      <w:pPr>
        <w:spacing w:after="0" w:line="146"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tax rate is impacted primarily by the statutory tax rates of the countries in which the Company operates and the related levels of income in those jurisdictions as well as assessment of tax risks that are common to multinational enterprises and assessments of the realizability of deferred tax assets and the associated establishment or release of tax valuation allowances.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Pension plan</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Company’s noncontributory defined benefit pension plan (the “Plan”) covers substantially all domestic employees.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Components of net periodic pension costs during the quarters ended October 1, 2011 and October 2, 2010 were as follows:</w:t>
      </w:r>
    </w:p>
    <w:p>
      <w:pPr>
        <w:spacing w:after="0" w:line="21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8"/>
              </w:rPr>
              <w:t>First Quarters Ended</w:t>
            </w:r>
          </w:p>
        </w:tc>
      </w:tr>
      <w:tr>
        <w:trPr>
          <w:trHeight w:val="191"/>
        </w:trPr>
        <w:tc>
          <w:tcPr>
            <w:tcW w:w="7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Borders>
              <w:top w:val="single" w:sz="8" w:color="auto"/>
            </w:tcBorders>
            <w:gridSpan w:val="4"/>
          </w:tcPr>
          <w:p>
            <w:pPr>
              <w:jc w:val="right"/>
              <w:ind w:right="460"/>
              <w:spacing w:after="0" w:line="191" w:lineRule="exact"/>
              <w:rPr>
                <w:sz w:val="20"/>
                <w:szCs w:val="20"/>
                <w:color w:val="auto"/>
              </w:rPr>
            </w:pPr>
            <w:r>
              <w:rPr>
                <w:rFonts w:ascii="Arial" w:cs="Arial" w:eastAsia="Arial" w:hAnsi="Arial"/>
                <w:sz w:val="18"/>
                <w:szCs w:val="18"/>
                <w:b w:val="1"/>
                <w:bCs w:val="1"/>
                <w:color w:val="auto"/>
                <w:w w:val="96"/>
              </w:rPr>
              <w:t>October 1,</w:t>
            </w:r>
          </w:p>
        </w:tc>
        <w:tc>
          <w:tcPr>
            <w:tcW w:w="9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6"/>
              </w:rPr>
              <w:t>October 2,</w:t>
            </w:r>
          </w:p>
        </w:tc>
        <w:tc>
          <w:tcPr>
            <w:tcW w:w="100" w:type="dxa"/>
            <w:vAlign w:val="bottom"/>
          </w:tcPr>
          <w:p>
            <w:pPr>
              <w:spacing w:after="0"/>
              <w:rPr>
                <w:sz w:val="16"/>
                <w:szCs w:val="16"/>
                <w:color w:val="auto"/>
              </w:rPr>
            </w:pPr>
          </w:p>
        </w:tc>
      </w:tr>
      <w:tr>
        <w:trPr>
          <w:trHeight w:val="234"/>
        </w:trPr>
        <w:tc>
          <w:tcPr>
            <w:tcW w:w="7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4"/>
              </w:rPr>
              <w:t>2010</w:t>
            </w:r>
          </w:p>
        </w:tc>
        <w:tc>
          <w:tcPr>
            <w:tcW w:w="100" w:type="dxa"/>
            <w:vAlign w:val="bottom"/>
          </w:tcPr>
          <w:p>
            <w:pPr>
              <w:spacing w:after="0"/>
              <w:rPr>
                <w:sz w:val="20"/>
                <w:szCs w:val="20"/>
                <w:color w:val="auto"/>
              </w:rPr>
            </w:pPr>
          </w:p>
        </w:tc>
      </w:tr>
      <w:tr>
        <w:trPr>
          <w:trHeight w:val="210"/>
        </w:trPr>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(Thousands)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7,275</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3,731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3,600</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(6,734)</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(6,975)</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2,420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2,325</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(469)</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r>
      <w:tr>
        <w:trPr>
          <w:trHeight w:val="223"/>
        </w:trPr>
        <w:tc>
          <w:tcPr>
            <w:tcW w:w="7300" w:type="dxa"/>
            <w:vAlign w:val="bottom"/>
          </w:tcPr>
          <w:p>
            <w:pPr>
              <w:ind w:left="200"/>
              <w:spacing w:after="0"/>
              <w:rPr>
                <w:sz w:val="20"/>
                <w:szCs w:val="20"/>
                <w:color w:val="auto"/>
              </w:rPr>
            </w:pPr>
            <w:r>
              <w:rPr>
                <w:rFonts w:ascii="Arial" w:cs="Arial" w:eastAsia="Arial" w:hAnsi="Arial"/>
                <w:sz w:val="18"/>
                <w:szCs w:val="18"/>
                <w:color w:val="auto"/>
              </w:rPr>
              <w:t>Net periodic pension cost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5,750</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There were no contributions made to the Plan during the first three months of fiscal 2012.</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Arial" w:cs="Arial" w:eastAsia="Arial" w:hAnsi="Arial"/>
                <w:sz w:val="18"/>
                <w:szCs w:val="18"/>
                <w:b w:val="1"/>
                <w:bCs w:val="1"/>
                <w:color w:val="auto"/>
              </w:rPr>
              <w:t>9. Shareholders’ equity</w:t>
            </w:r>
          </w:p>
        </w:tc>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5120" w:type="dxa"/>
            <w:vAlign w:val="bottom"/>
          </w:tcPr>
          <w:p>
            <w:pPr>
              <w:jc w:val="center"/>
              <w:ind w:right="2530"/>
              <w:spacing w:after="0"/>
              <w:rPr>
                <w:sz w:val="20"/>
                <w:szCs w:val="20"/>
                <w:color w:val="auto"/>
              </w:rPr>
            </w:pPr>
            <w:r>
              <w:rPr>
                <w:rFonts w:ascii="Arial" w:cs="Arial" w:eastAsia="Arial" w:hAnsi="Arial"/>
                <w:sz w:val="18"/>
                <w:szCs w:val="18"/>
                <w:b w:val="1"/>
                <w:bCs w:val="1"/>
                <w:i w:val="1"/>
                <w:iCs w:val="1"/>
                <w:color w:val="auto"/>
                <w:w w:val="85"/>
              </w:rPr>
              <w:t>Comprehensive income</w:t>
            </w: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8"/>
              </w:rPr>
              <w:t>First Quarters Ended</w:t>
            </w:r>
          </w:p>
        </w:tc>
      </w:tr>
      <w:tr>
        <w:trPr>
          <w:trHeight w:val="191"/>
        </w:trPr>
        <w:tc>
          <w:tcPr>
            <w:tcW w:w="5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360" w:type="dxa"/>
            <w:vAlign w:val="bottom"/>
            <w:tcBorders>
              <w:top w:val="single" w:sz="8" w:color="auto"/>
            </w:tcBorders>
            <w:gridSpan w:val="3"/>
          </w:tcPr>
          <w:p>
            <w:pPr>
              <w:jc w:val="right"/>
              <w:ind w:right="480"/>
              <w:spacing w:after="0" w:line="191" w:lineRule="exact"/>
              <w:rPr>
                <w:sz w:val="20"/>
                <w:szCs w:val="20"/>
                <w:color w:val="auto"/>
              </w:rPr>
            </w:pPr>
            <w:r>
              <w:rPr>
                <w:rFonts w:ascii="Arial" w:cs="Arial" w:eastAsia="Arial" w:hAnsi="Arial"/>
                <w:sz w:val="18"/>
                <w:szCs w:val="18"/>
                <w:b w:val="1"/>
                <w:bCs w:val="1"/>
                <w:color w:val="auto"/>
                <w:w w:val="96"/>
              </w:rPr>
              <w:t>October 1,</w:t>
            </w:r>
          </w:p>
        </w:tc>
        <w:tc>
          <w:tcPr>
            <w:tcW w:w="9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6"/>
              </w:rPr>
              <w:t>October 2,</w:t>
            </w:r>
          </w:p>
        </w:tc>
        <w:tc>
          <w:tcPr>
            <w:tcW w:w="100" w:type="dxa"/>
            <w:vAlign w:val="bottom"/>
          </w:tcPr>
          <w:p>
            <w:pPr>
              <w:spacing w:after="0"/>
              <w:rPr>
                <w:sz w:val="16"/>
                <w:szCs w:val="16"/>
                <w:color w:val="auto"/>
              </w:rPr>
            </w:pPr>
          </w:p>
        </w:tc>
      </w:tr>
      <w:tr>
        <w:trPr>
          <w:trHeight w:val="234"/>
        </w:trPr>
        <w:tc>
          <w:tcPr>
            <w:tcW w:w="5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4"/>
              </w:rPr>
              <w:t>2010</w:t>
            </w:r>
          </w:p>
        </w:tc>
        <w:tc>
          <w:tcPr>
            <w:tcW w:w="100" w:type="dxa"/>
            <w:vAlign w:val="bottom"/>
          </w:tcPr>
          <w:p>
            <w:pPr>
              <w:spacing w:after="0"/>
              <w:rPr>
                <w:sz w:val="20"/>
                <w:szCs w:val="20"/>
                <w:color w:val="auto"/>
              </w:rPr>
            </w:pPr>
          </w:p>
        </w:tc>
      </w:tr>
      <w:tr>
        <w:trPr>
          <w:trHeight w:val="210"/>
        </w:trPr>
        <w:tc>
          <w:tcPr>
            <w:tcW w:w="5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139,030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138,174</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(186,258)</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175,652</w:t>
            </w:r>
          </w:p>
        </w:tc>
      </w:tr>
      <w:tr>
        <w:trPr>
          <w:trHeight w:val="27"/>
        </w:trPr>
        <w:tc>
          <w:tcPr>
            <w:tcW w:w="5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20" w:type="dxa"/>
            <w:vAlign w:val="bottom"/>
            <w:shd w:val="clear" w:color="auto" w:fill="CCEEFF"/>
          </w:tcPr>
          <w:p>
            <w:pPr>
              <w:jc w:val="center"/>
              <w:ind w:right="2550"/>
              <w:spacing w:after="0"/>
              <w:rPr>
                <w:sz w:val="20"/>
                <w:szCs w:val="20"/>
                <w:color w:val="auto"/>
              </w:rPr>
            </w:pPr>
            <w:r>
              <w:rPr>
                <w:rFonts w:ascii="Arial" w:cs="Arial" w:eastAsia="Arial" w:hAnsi="Arial"/>
                <w:sz w:val="18"/>
                <w:szCs w:val="18"/>
                <w:color w:val="auto"/>
                <w:w w:val="90"/>
              </w:rPr>
              <w:t>Total comprehensive income</w:t>
            </w:r>
          </w:p>
        </w:tc>
        <w:tc>
          <w:tcPr>
            <w:tcW w:w="2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(47,228)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313,826</w:t>
            </w:r>
          </w:p>
        </w:tc>
      </w:tr>
      <w:tr>
        <w:trPr>
          <w:trHeight w:val="20"/>
        </w:trPr>
        <w:tc>
          <w:tcPr>
            <w:tcW w:w="5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98"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In August 2011, the Company’s Board of Directors authorized the repurchase of up to $500,000,000 of common stock in the open market or through privately negotiated transactions. The timing and actual number of shares purchased will depend on a variety of factors such as price, corporate and regulatory requirements, and prevailing market conditions. From August 15, 2011, when the program was made effective, through the end of the first quarter of fiscal 2012, the Company repurchased 3,450,000 shares under this program with an average market price of $26.32 per share at the dates of repurchase for a total cost of $90,860,000. This amount differs from the cash used for repurchases of common stock on the consolidated statement of cash flows to the extent repurchases were not settled at the end of the quarter. Repurchased shares were retired.</w:t>
      </w:r>
    </w:p>
    <w:p>
      <w:pPr>
        <w:spacing w:after="0" w:line="13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r>
              <w:rPr>
                <w:rFonts w:ascii="Arial" w:cs="Arial" w:eastAsia="Arial" w:hAnsi="Arial"/>
                <w:sz w:val="18"/>
                <w:szCs w:val="18"/>
                <w:b w:val="1"/>
                <w:bCs w:val="1"/>
                <w:color w:val="auto"/>
              </w:rPr>
              <w:t>10. Earnings per share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1"/>
              </w:rPr>
              <w:t>First Quarters Ended</w:t>
            </w:r>
          </w:p>
        </w:tc>
        <w:tc>
          <w:tcPr>
            <w:tcW w:w="0" w:type="dxa"/>
            <w:vAlign w:val="bottom"/>
          </w:tcPr>
          <w:p>
            <w:pPr>
              <w:spacing w:after="0"/>
              <w:rPr>
                <w:sz w:val="1"/>
                <w:szCs w:val="1"/>
                <w:color w:val="auto"/>
              </w:rPr>
            </w:pPr>
          </w:p>
        </w:tc>
      </w:tr>
      <w:tr>
        <w:trPr>
          <w:trHeight w:val="191"/>
        </w:trPr>
        <w:tc>
          <w:tcPr>
            <w:tcW w:w="7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Borders>
              <w:top w:val="single" w:sz="8" w:color="auto"/>
            </w:tcBorders>
            <w:gridSpan w:val="4"/>
          </w:tcPr>
          <w:p>
            <w:pPr>
              <w:ind w:left="60"/>
              <w:spacing w:after="0" w:line="191" w:lineRule="exact"/>
              <w:rPr>
                <w:sz w:val="20"/>
                <w:szCs w:val="20"/>
                <w:color w:val="auto"/>
              </w:rPr>
            </w:pPr>
            <w:r>
              <w:rPr>
                <w:rFonts w:ascii="Arial" w:cs="Arial" w:eastAsia="Arial" w:hAnsi="Arial"/>
                <w:sz w:val="18"/>
                <w:szCs w:val="18"/>
                <w:b w:val="1"/>
                <w:bCs w:val="1"/>
                <w:color w:val="auto"/>
              </w:rPr>
              <w:t>October 1,</w:t>
            </w:r>
          </w:p>
        </w:tc>
        <w:tc>
          <w:tcPr>
            <w:tcW w:w="96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w w:val="96"/>
              </w:rPr>
              <w:t>October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72"/>
              </w:rPr>
              <w:t>(Thousands,</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except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1"/>
              </w:rPr>
              <w:t>share data)</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8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139,030</w:t>
            </w:r>
          </w:p>
        </w:tc>
        <w:tc>
          <w:tcPr>
            <w:tcW w:w="3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138,174</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200"/>
              <w:spacing w:after="0"/>
              <w:rPr>
                <w:sz w:val="20"/>
                <w:szCs w:val="20"/>
                <w:color w:val="auto"/>
              </w:rPr>
            </w:pPr>
            <w:r>
              <w:rPr>
                <w:rFonts w:ascii="Arial" w:cs="Arial" w:eastAsia="Arial" w:hAnsi="Arial"/>
                <w:sz w:val="18"/>
                <w:szCs w:val="18"/>
                <w:color w:val="auto"/>
              </w:rPr>
              <w:t>Weighted average common shares for basic earnings per share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152,270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152,004</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effect of dilutive stock options and performance share awards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23"/>
        </w:trPr>
        <w:tc>
          <w:tcPr>
            <w:tcW w:w="7300" w:type="dxa"/>
            <w:vAlign w:val="bottom"/>
          </w:tcPr>
          <w:p>
            <w:pPr>
              <w:ind w:left="200"/>
              <w:spacing w:after="0"/>
              <w:rPr>
                <w:sz w:val="20"/>
                <w:szCs w:val="20"/>
                <w:color w:val="auto"/>
              </w:rPr>
            </w:pPr>
            <w:r>
              <w:rPr>
                <w:rFonts w:ascii="Arial" w:cs="Arial" w:eastAsia="Arial" w:hAnsi="Arial"/>
                <w:sz w:val="18"/>
                <w:szCs w:val="18"/>
                <w:color w:val="auto"/>
              </w:rPr>
              <w:t>Weighted average common shares for diluted earnings per share</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154,506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Options to purchase 918,000 and 667,000 shares of the Company’s stock were excluded from the calculations of diluted earnings per share for the quarters ended October 1, 2011 and October 2, 2010, respectively, because the exercise price for those options was above the average market price of the Company’s stock for those periods. Therefore, inclusion of these options in the diluted earnings per share calculation would have had an anti-dilutive effect.</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Additional cash flow information</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Interest and income taxes paid in the three months ended October 1, 2011 and October 2, 2010 were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6"/>
          </w:tcPr>
          <w:p>
            <w:pPr>
              <w:ind w:left="160"/>
              <w:spacing w:after="0"/>
              <w:rPr>
                <w:sz w:val="20"/>
                <w:szCs w:val="20"/>
                <w:color w:val="auto"/>
              </w:rPr>
            </w:pPr>
            <w:r>
              <w:rPr>
                <w:rFonts w:ascii="Arial" w:cs="Arial" w:eastAsia="Arial" w:hAnsi="Arial"/>
                <w:sz w:val="18"/>
                <w:szCs w:val="18"/>
                <w:b w:val="1"/>
                <w:bCs w:val="1"/>
                <w:color w:val="auto"/>
              </w:rPr>
              <w:t>First Quarters Ended</w:t>
            </w:r>
          </w:p>
        </w:tc>
        <w:tc>
          <w:tcPr>
            <w:tcW w:w="0" w:type="dxa"/>
            <w:vAlign w:val="bottom"/>
          </w:tcPr>
          <w:p>
            <w:pPr>
              <w:spacing w:after="0"/>
              <w:rPr>
                <w:sz w:val="1"/>
                <w:szCs w:val="1"/>
                <w:color w:val="auto"/>
              </w:rPr>
            </w:pPr>
          </w:p>
        </w:tc>
      </w:tr>
      <w:tr>
        <w:trPr>
          <w:trHeight w:val="191"/>
        </w:trPr>
        <w:tc>
          <w:tcPr>
            <w:tcW w:w="174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Borders>
              <w:top w:val="single" w:sz="8" w:color="auto"/>
            </w:tcBorders>
            <w:gridSpan w:val="4"/>
          </w:tcPr>
          <w:p>
            <w:pPr>
              <w:jc w:val="right"/>
              <w:ind w:right="460"/>
              <w:spacing w:after="0" w:line="191" w:lineRule="exact"/>
              <w:rPr>
                <w:sz w:val="20"/>
                <w:szCs w:val="20"/>
                <w:color w:val="auto"/>
              </w:rPr>
            </w:pPr>
            <w:r>
              <w:rPr>
                <w:rFonts w:ascii="Arial" w:cs="Arial" w:eastAsia="Arial" w:hAnsi="Arial"/>
                <w:sz w:val="18"/>
                <w:szCs w:val="18"/>
                <w:b w:val="1"/>
                <w:bCs w:val="1"/>
                <w:color w:val="auto"/>
                <w:w w:val="96"/>
              </w:rPr>
              <w:t>October 1,</w:t>
            </w:r>
          </w:p>
        </w:tc>
        <w:tc>
          <w:tcPr>
            <w:tcW w:w="96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October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18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30,091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30,104</w:t>
            </w: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24,374</w:t>
            </w: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42,994</w:t>
            </w:r>
          </w:p>
        </w:tc>
        <w:tc>
          <w:tcPr>
            <w:tcW w:w="0" w:type="dxa"/>
            <w:vAlign w:val="bottom"/>
          </w:tcPr>
          <w:p>
            <w:pPr>
              <w:spacing w:after="0"/>
              <w:rPr>
                <w:sz w:val="1"/>
                <w:szCs w:val="1"/>
                <w:color w:val="auto"/>
              </w:rPr>
            </w:pPr>
          </w:p>
        </w:tc>
      </w:tr>
      <w:tr>
        <w:trPr>
          <w:trHeight w:val="377"/>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12. Segment information</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6"/>
          </w:tcPr>
          <w:p>
            <w:pPr>
              <w:ind w:left="160"/>
              <w:spacing w:after="0"/>
              <w:rPr>
                <w:sz w:val="20"/>
                <w:szCs w:val="20"/>
                <w:color w:val="auto"/>
              </w:rPr>
            </w:pPr>
            <w:r>
              <w:rPr>
                <w:rFonts w:ascii="Arial" w:cs="Arial" w:eastAsia="Arial" w:hAnsi="Arial"/>
                <w:sz w:val="18"/>
                <w:szCs w:val="18"/>
                <w:b w:val="1"/>
                <w:bCs w:val="1"/>
                <w:color w:val="auto"/>
              </w:rPr>
              <w:t>First Quarters Ended</w:t>
            </w:r>
          </w:p>
        </w:tc>
        <w:tc>
          <w:tcPr>
            <w:tcW w:w="0" w:type="dxa"/>
            <w:vAlign w:val="bottom"/>
          </w:tcPr>
          <w:p>
            <w:pPr>
              <w:spacing w:after="0"/>
              <w:rPr>
                <w:sz w:val="1"/>
                <w:szCs w:val="1"/>
                <w:color w:val="auto"/>
              </w:rPr>
            </w:pPr>
          </w:p>
        </w:tc>
      </w:tr>
      <w:tr>
        <w:trPr>
          <w:trHeight w:val="191"/>
        </w:trPr>
        <w:tc>
          <w:tcPr>
            <w:tcW w:w="174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Borders>
              <w:top w:val="single" w:sz="8" w:color="auto"/>
            </w:tcBorders>
            <w:gridSpan w:val="4"/>
          </w:tcPr>
          <w:p>
            <w:pPr>
              <w:jc w:val="right"/>
              <w:ind w:right="460"/>
              <w:spacing w:after="0" w:line="191" w:lineRule="exact"/>
              <w:rPr>
                <w:sz w:val="20"/>
                <w:szCs w:val="20"/>
                <w:color w:val="auto"/>
              </w:rPr>
            </w:pPr>
            <w:r>
              <w:rPr>
                <w:rFonts w:ascii="Arial" w:cs="Arial" w:eastAsia="Arial" w:hAnsi="Arial"/>
                <w:sz w:val="18"/>
                <w:szCs w:val="18"/>
                <w:b w:val="1"/>
                <w:bCs w:val="1"/>
                <w:color w:val="auto"/>
                <w:w w:val="96"/>
              </w:rPr>
              <w:t>October 1,</w:t>
            </w:r>
          </w:p>
        </w:tc>
        <w:tc>
          <w:tcPr>
            <w:tcW w:w="96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October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Electronics Marketing</w:t>
            </w:r>
          </w:p>
        </w:tc>
        <w:tc>
          <w:tcPr>
            <w:tcW w:w="18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3,816,266</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3,620,604</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Solutions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2,609,740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2,561,784</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6,426,006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6,182,388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Electronics Marketing</w:t>
            </w:r>
          </w:p>
        </w:tc>
        <w:tc>
          <w:tcPr>
            <w:tcW w:w="18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191,156</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192,084</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Solutions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65,037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56,689</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(33,129)</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(26,244)</w:t>
            </w: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223,064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222,529</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Restructuring, integration and other charges (Note 13)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(28,067)</w:t>
            </w: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223,064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194,462</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Sales, by geographic area:</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15"/>
                <w:szCs w:val="15"/>
                <w:color w:val="auto"/>
              </w:rPr>
              <w:t>(1)</w:t>
            </w:r>
          </w:p>
        </w:tc>
        <w:tc>
          <w:tcPr>
            <w:tcW w:w="18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2,771,605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2,721,214</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1,902,276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1,887,504</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Asia/Pacific </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1,752,125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1,573,670</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6,426,006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6,182,388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40" w:type="dxa"/>
            <w:vAlign w:val="bottom"/>
            <w:tcBorders>
              <w:bottom w:val="single" w:sz="8" w:color="auto"/>
            </w:tcBorders>
          </w:tcPr>
          <w:p>
            <w:pPr>
              <w:spacing w:after="0"/>
              <w:rPr>
                <w:sz w:val="15"/>
                <w:szCs w:val="15"/>
                <w:color w:val="auto"/>
              </w:rPr>
            </w:pPr>
          </w:p>
        </w:tc>
        <w:tc>
          <w:tcPr>
            <w:tcW w:w="5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hanging="388"/>
        <w:spacing w:after="0"/>
        <w:tabs>
          <w:tab w:leader="none" w:pos="720" w:val="left"/>
        </w:tabs>
        <w:numPr>
          <w:ilvl w:val="0"/>
          <w:numId w:val="2"/>
        </w:numPr>
        <w:rPr>
          <w:rFonts w:ascii="Arial" w:cs="Arial" w:eastAsia="Arial" w:hAnsi="Arial"/>
          <w:sz w:val="15"/>
          <w:szCs w:val="15"/>
          <w:color w:val="auto"/>
        </w:rPr>
      </w:pPr>
      <w:r>
        <w:rPr>
          <w:rFonts w:ascii="Arial" w:cs="Arial" w:eastAsia="Arial" w:hAnsi="Arial"/>
          <w:sz w:val="18"/>
          <w:szCs w:val="18"/>
          <w:color w:val="auto"/>
        </w:rPr>
        <w:t>Includes sales in the United States of $2.4 billion for both quarters ended October 1, 2011 and October 2, 2010.</w:t>
      </w:r>
    </w:p>
    <w:p>
      <w:pPr>
        <w:spacing w:after="0" w:line="76" w:lineRule="exact"/>
        <w:rPr>
          <w:rFonts w:ascii="Arial" w:cs="Arial" w:eastAsia="Arial" w:hAnsi="Arial"/>
          <w:sz w:val="15"/>
          <w:szCs w:val="15"/>
          <w:color w:val="auto"/>
        </w:rPr>
      </w:pPr>
    </w:p>
    <w:p>
      <w:pPr>
        <w:ind w:left="720" w:right="159" w:hanging="388"/>
        <w:spacing w:after="0" w:line="277" w:lineRule="auto"/>
        <w:tabs>
          <w:tab w:leader="none" w:pos="720" w:val="left"/>
        </w:tabs>
        <w:numPr>
          <w:ilvl w:val="0"/>
          <w:numId w:val="2"/>
        </w:numPr>
        <w:rPr>
          <w:rFonts w:ascii="Arial" w:cs="Arial" w:eastAsia="Arial" w:hAnsi="Arial"/>
          <w:sz w:val="15"/>
          <w:szCs w:val="15"/>
          <w:color w:val="auto"/>
        </w:rPr>
      </w:pPr>
      <w:r>
        <w:rPr>
          <w:rFonts w:ascii="Arial" w:cs="Arial" w:eastAsia="Arial" w:hAnsi="Arial"/>
          <w:sz w:val="18"/>
          <w:szCs w:val="18"/>
          <w:color w:val="auto"/>
        </w:rPr>
        <w:t>Includes sales in Germany and United Kingdom of $723.6 million and $358.2 million, respectively, for the quarter ended October 1, 2011, and $700.1 million and $425.8 million, respectively, for the quarter ended October 2, 2010.</w:t>
      </w:r>
    </w:p>
    <w:p>
      <w:pPr>
        <w:spacing w:after="0" w:line="21" w:lineRule="exact"/>
        <w:rPr>
          <w:rFonts w:ascii="Arial" w:cs="Arial" w:eastAsia="Arial" w:hAnsi="Arial"/>
          <w:sz w:val="15"/>
          <w:szCs w:val="15"/>
          <w:color w:val="auto"/>
        </w:rPr>
      </w:pPr>
    </w:p>
    <w:p>
      <w:pPr>
        <w:jc w:val="both"/>
        <w:ind w:left="720" w:right="159" w:hanging="388"/>
        <w:spacing w:after="0" w:line="264" w:lineRule="auto"/>
        <w:tabs>
          <w:tab w:leader="none" w:pos="720" w:val="left"/>
        </w:tabs>
        <w:numPr>
          <w:ilvl w:val="0"/>
          <w:numId w:val="2"/>
        </w:numPr>
        <w:rPr>
          <w:rFonts w:ascii="Arial" w:cs="Arial" w:eastAsia="Arial" w:hAnsi="Arial"/>
          <w:sz w:val="15"/>
          <w:szCs w:val="15"/>
          <w:color w:val="auto"/>
        </w:rPr>
      </w:pPr>
      <w:r>
        <w:rPr>
          <w:rFonts w:ascii="Arial" w:cs="Arial" w:eastAsia="Arial" w:hAnsi="Arial"/>
          <w:sz w:val="18"/>
          <w:szCs w:val="18"/>
          <w:color w:val="auto"/>
        </w:rPr>
        <w:t>Includes sales in Taiwan, China (including Hong Kong) and Singapore of $511.1 million, $574.1 million and $305.8 million, respectively, for the quarter ended October 1, 2011 and $443.1 million, $590.9 million and $287.7 million, respectively, for the quarter ended October 2, 2010.</w:t>
      </w: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218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99"/>
              </w:rPr>
              <w:t>AVNET, INC. AND SUBSIDIARIES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20" w:type="dxa"/>
            <w:vAlign w:val="bottom"/>
            <w:gridSpan w:val="6"/>
          </w:tcPr>
          <w:p>
            <w:pPr>
              <w:jc w:val="center"/>
              <w:ind w:right="780"/>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4"/>
          </w:tcPr>
          <w:p>
            <w:pPr>
              <w:ind w:left="60"/>
              <w:spacing w:after="0"/>
              <w:rPr>
                <w:sz w:val="20"/>
                <w:szCs w:val="20"/>
                <w:color w:val="auto"/>
              </w:rPr>
            </w:pPr>
            <w:r>
              <w:rPr>
                <w:rFonts w:ascii="Arial" w:cs="Arial" w:eastAsia="Arial" w:hAnsi="Arial"/>
                <w:sz w:val="18"/>
                <w:szCs w:val="18"/>
                <w:b w:val="1"/>
                <w:bCs w:val="1"/>
                <w:color w:val="auto"/>
              </w:rPr>
              <w:t>October 1,</w:t>
            </w:r>
          </w:p>
        </w:tc>
        <w:tc>
          <w:tcPr>
            <w:tcW w:w="16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July 2,</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(Thousands)</w:t>
            </w:r>
          </w:p>
        </w:tc>
      </w:tr>
      <w:tr>
        <w:trPr>
          <w:trHeight w:val="216"/>
        </w:trPr>
        <w:tc>
          <w:tcPr>
            <w:tcW w:w="340" w:type="dxa"/>
            <w:vAlign w:val="bottom"/>
          </w:tcPr>
          <w:p>
            <w:pPr>
              <w:spacing w:after="0"/>
              <w:rPr>
                <w:sz w:val="18"/>
                <w:szCs w:val="18"/>
                <w:color w:val="auto"/>
              </w:rPr>
            </w:pPr>
          </w:p>
        </w:tc>
        <w:tc>
          <w:tcPr>
            <w:tcW w:w="1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w:t>
            </w:r>
          </w:p>
        </w:tc>
        <w:tc>
          <w:tcPr>
            <w:tcW w:w="5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840" w:type="dxa"/>
            <w:vAlign w:val="bottom"/>
            <w:gridSpan w:val="3"/>
          </w:tcPr>
          <w:p>
            <w:pPr>
              <w:ind w:left="200"/>
              <w:spacing w:after="0"/>
              <w:rPr>
                <w:sz w:val="20"/>
                <w:szCs w:val="20"/>
                <w:color w:val="auto"/>
              </w:rPr>
            </w:pPr>
            <w:r>
              <w:rPr>
                <w:rFonts w:ascii="Arial" w:cs="Arial" w:eastAsia="Arial" w:hAnsi="Arial"/>
                <w:sz w:val="18"/>
                <w:szCs w:val="18"/>
                <w:color w:val="auto"/>
                <w:w w:val="94"/>
              </w:rPr>
              <w:t>Electronics Marketing</w:t>
            </w:r>
          </w:p>
        </w:tc>
        <w:tc>
          <w:tcPr>
            <w:tcW w:w="56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6,056,387</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5,890,871</w:t>
            </w:r>
          </w:p>
        </w:tc>
      </w:tr>
      <w:tr>
        <w:trPr>
          <w:trHeight w:val="216"/>
        </w:trPr>
        <w:tc>
          <w:tcPr>
            <w:tcW w:w="340" w:type="dxa"/>
            <w:vAlign w:val="bottom"/>
          </w:tcPr>
          <w:p>
            <w:pPr>
              <w:spacing w:after="0"/>
              <w:rPr>
                <w:sz w:val="18"/>
                <w:szCs w:val="18"/>
                <w:color w:val="auto"/>
              </w:rPr>
            </w:pPr>
          </w:p>
        </w:tc>
        <w:tc>
          <w:tcPr>
            <w:tcW w:w="18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4"/>
              </w:rPr>
              <w:t>Technology Solutions</w:t>
            </w:r>
          </w:p>
        </w:tc>
        <w:tc>
          <w:tcPr>
            <w:tcW w:w="5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3,569,598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3,765,157</w:t>
            </w:r>
          </w:p>
        </w:tc>
      </w:tr>
      <w:tr>
        <w:trPr>
          <w:trHeight w:val="216"/>
        </w:trPr>
        <w:tc>
          <w:tcPr>
            <w:tcW w:w="340" w:type="dxa"/>
            <w:vAlign w:val="bottom"/>
          </w:tcPr>
          <w:p>
            <w:pPr>
              <w:spacing w:after="0"/>
              <w:rPr>
                <w:sz w:val="18"/>
                <w:szCs w:val="18"/>
                <w:color w:val="auto"/>
              </w:rPr>
            </w:pPr>
          </w:p>
        </w:tc>
        <w:tc>
          <w:tcPr>
            <w:tcW w:w="1840" w:type="dxa"/>
            <w:vAlign w:val="bottom"/>
            <w:gridSpan w:val="3"/>
          </w:tcPr>
          <w:p>
            <w:pPr>
              <w:ind w:left="200"/>
              <w:spacing w:after="0"/>
              <w:rPr>
                <w:sz w:val="20"/>
                <w:szCs w:val="20"/>
                <w:color w:val="auto"/>
              </w:rPr>
            </w:pPr>
            <w:r>
              <w:rPr>
                <w:rFonts w:ascii="Arial" w:cs="Arial" w:eastAsia="Arial" w:hAnsi="Arial"/>
                <w:sz w:val="18"/>
                <w:szCs w:val="18"/>
                <w:color w:val="auto"/>
              </w:rPr>
              <w:t>Corporate</w:t>
            </w:r>
          </w:p>
        </w:tc>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156,569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249,541</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9,782,554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9,905,569</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480" w:type="dxa"/>
            <w:vAlign w:val="bottom"/>
            <w:gridSpan w:val="6"/>
          </w:tcPr>
          <w:p>
            <w:pPr>
              <w:spacing w:after="0"/>
              <w:rPr>
                <w:sz w:val="20"/>
                <w:szCs w:val="20"/>
                <w:color w:val="auto"/>
              </w:rPr>
            </w:pPr>
            <w:r>
              <w:rPr>
                <w:rFonts w:ascii="Arial" w:cs="Arial" w:eastAsia="Arial" w:hAnsi="Arial"/>
                <w:sz w:val="18"/>
                <w:szCs w:val="18"/>
                <w:color w:val="auto"/>
              </w:rPr>
              <w:t>Property, plant, and equipment, net, by geographic area</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8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15"/>
                <w:szCs w:val="15"/>
                <w:color w:val="auto"/>
              </w:rPr>
              <w:t>(4)</w:t>
            </w:r>
          </w:p>
        </w:tc>
        <w:tc>
          <w:tcPr>
            <w:tcW w:w="56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255,138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242,450</w:t>
            </w:r>
          </w:p>
        </w:tc>
      </w:tr>
      <w:tr>
        <w:trPr>
          <w:trHeight w:val="216"/>
        </w:trPr>
        <w:tc>
          <w:tcPr>
            <w:tcW w:w="340" w:type="dxa"/>
            <w:vAlign w:val="bottom"/>
          </w:tcPr>
          <w:p>
            <w:pPr>
              <w:spacing w:after="0"/>
              <w:rPr>
                <w:sz w:val="18"/>
                <w:szCs w:val="18"/>
                <w:color w:val="auto"/>
              </w:rPr>
            </w:pPr>
          </w:p>
        </w:tc>
        <w:tc>
          <w:tcPr>
            <w:tcW w:w="1840" w:type="dxa"/>
            <w:vAlign w:val="bottom"/>
            <w:gridSpan w:val="3"/>
          </w:tcPr>
          <w:p>
            <w:pPr>
              <w:ind w:left="20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15"/>
                <w:szCs w:val="15"/>
                <w:color w:val="auto"/>
              </w:rPr>
              <w:t>(5)</w:t>
            </w:r>
          </w:p>
        </w:tc>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150,654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150,601</w:t>
            </w:r>
          </w:p>
        </w:tc>
      </w:tr>
      <w:tr>
        <w:trPr>
          <w:trHeight w:val="216"/>
        </w:trPr>
        <w:tc>
          <w:tcPr>
            <w:tcW w:w="340" w:type="dxa"/>
            <w:vAlign w:val="bottom"/>
          </w:tcPr>
          <w:p>
            <w:pPr>
              <w:spacing w:after="0"/>
              <w:rPr>
                <w:sz w:val="18"/>
                <w:szCs w:val="18"/>
                <w:color w:val="auto"/>
              </w:rPr>
            </w:pPr>
          </w:p>
        </w:tc>
        <w:tc>
          <w:tcPr>
            <w:tcW w:w="18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Asia/Pacific</w:t>
            </w:r>
          </w:p>
        </w:tc>
        <w:tc>
          <w:tcPr>
            <w:tcW w:w="5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26,876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26,122</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432,668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419,173</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75" w:lineRule="exact"/>
        <w:rPr>
          <w:sz w:val="20"/>
          <w:szCs w:val="20"/>
          <w:color w:val="auto"/>
        </w:rPr>
      </w:pPr>
    </w:p>
    <w:p>
      <w:pPr>
        <w:ind w:left="720" w:right="179" w:hanging="388"/>
        <w:spacing w:after="0" w:line="277" w:lineRule="auto"/>
        <w:tabs>
          <w:tab w:leader="none" w:pos="720" w:val="left"/>
        </w:tabs>
        <w:numPr>
          <w:ilvl w:val="0"/>
          <w:numId w:val="3"/>
        </w:numPr>
        <w:rPr>
          <w:rFonts w:ascii="Arial" w:cs="Arial" w:eastAsia="Arial" w:hAnsi="Arial"/>
          <w:sz w:val="15"/>
          <w:szCs w:val="15"/>
          <w:color w:val="auto"/>
        </w:rPr>
      </w:pPr>
      <w:r>
        <w:rPr>
          <w:rFonts w:ascii="Arial" w:cs="Arial" w:eastAsia="Arial" w:hAnsi="Arial"/>
          <w:sz w:val="18"/>
          <w:szCs w:val="18"/>
          <w:color w:val="auto"/>
        </w:rPr>
        <w:t>Includes property, plant and equipment, net, of $244.1 million and $231.3 million as of October 1, 2011 and July 2, 2011, respectively, in the United States.</w:t>
      </w:r>
    </w:p>
    <w:p>
      <w:pPr>
        <w:spacing w:after="0" w:line="21" w:lineRule="exact"/>
        <w:rPr>
          <w:rFonts w:ascii="Arial" w:cs="Arial" w:eastAsia="Arial" w:hAnsi="Arial"/>
          <w:sz w:val="15"/>
          <w:szCs w:val="15"/>
          <w:color w:val="auto"/>
        </w:rPr>
      </w:pPr>
    </w:p>
    <w:p>
      <w:pPr>
        <w:jc w:val="both"/>
        <w:ind w:left="720" w:right="159" w:hanging="388"/>
        <w:spacing w:after="0" w:line="264" w:lineRule="auto"/>
        <w:tabs>
          <w:tab w:leader="none" w:pos="720" w:val="left"/>
        </w:tabs>
        <w:numPr>
          <w:ilvl w:val="0"/>
          <w:numId w:val="3"/>
        </w:numPr>
        <w:rPr>
          <w:rFonts w:ascii="Arial" w:cs="Arial" w:eastAsia="Arial" w:hAnsi="Arial"/>
          <w:sz w:val="15"/>
          <w:szCs w:val="15"/>
          <w:color w:val="auto"/>
        </w:rPr>
      </w:pPr>
      <w:r>
        <w:rPr>
          <w:rFonts w:ascii="Arial" w:cs="Arial" w:eastAsia="Arial" w:hAnsi="Arial"/>
          <w:sz w:val="18"/>
          <w:szCs w:val="18"/>
          <w:color w:val="auto"/>
        </w:rPr>
        <w:t>Includes property, plant and equipment, net, of $93.7 million, $23.0 million and $16.9 million in Germany, Belgium and the United Kingdom, respectively, as of October 1, 2011 and $92.8 million, $23.4 million and $16.4 million, respectively, as of July 2, 2011.</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Restructuring, integration and other charges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2011</w:t>
      </w:r>
    </w:p>
    <w:p>
      <w:pPr>
        <w:spacing w:after="0" w:line="19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During fiscal 2011, the Company incurred restructuring, integration and other charges related to acquisition and integration activities associated with acquired businesses. The following table presents the activity during the first three months of fiscal 2012 related to the remaining restructuring reserves established during fiscal 2011.</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6"/>
              </w:rPr>
              <w:t>Severance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Facility</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Reserves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Exit Costs</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2, 2011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8,294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19,135</w:t>
            </w: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Cash payments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(4,301)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(784)</w:t>
            </w:r>
          </w:p>
        </w:tc>
        <w:tc>
          <w:tcPr>
            <w:tcW w:w="2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(5,349)</w:t>
            </w:r>
          </w:p>
        </w:tc>
      </w:tr>
      <w:tr>
        <w:trPr>
          <w:trHeight w:val="216"/>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Other, principally foreign currency translation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(221)</w:t>
            </w:r>
          </w:p>
        </w:tc>
        <w:tc>
          <w:tcPr>
            <w:tcW w:w="2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(693)</w:t>
            </w:r>
          </w:p>
        </w:tc>
      </w:tr>
      <w:tr>
        <w:trPr>
          <w:trHeight w:val="27"/>
        </w:trPr>
        <w:tc>
          <w:tcPr>
            <w:tcW w:w="4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1, 2011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7,308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13,136</w:t>
            </w:r>
          </w:p>
        </w:tc>
      </w:tr>
      <w:tr>
        <w:trPr>
          <w:trHeight w:val="20"/>
        </w:trPr>
        <w:tc>
          <w:tcPr>
            <w:tcW w:w="4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As of October 1, 2011, management expects the majority of the remaining severance and other reserves to be utilized by the end of fiscal 2013 and the remaining facility exit cost reserves to be utilized by the end of fiscal 2016.</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2010</w:t>
      </w:r>
    </w:p>
    <w:p>
      <w:pPr>
        <w:spacing w:after="0" w:line="18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During fiscal 2010, the Company incurred restructuring, integration and other charges related to the remaining cost reduction actions announced in fiscal 2009, which were taken in response to market conditions, as well as integration costs associated with acquired businesses. The following table presents the activity during the first three months of fiscal 2012 related to the remaining restructuring reserves that were established during fiscal 2010.</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86"/>
              </w:rPr>
              <w:t>Severance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Facility</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Reserves</w:t>
            </w:r>
          </w:p>
        </w:tc>
        <w:tc>
          <w:tcPr>
            <w:tcW w:w="22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Exit Costs</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Other</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28"/>
        </w:trPr>
        <w:tc>
          <w:tcPr>
            <w:tcW w:w="4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4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2, 2011</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2,215</w:t>
            </w: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Cash payments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principally foreign currency translation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Balance at October 1, 2011</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3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As of October 1, 2011, management expects the majority of the remaining severance and other reserves to be utilized by the end of fiscal 2012 and the remaining facility exit cost reserves to be utilized by the end of fiscal 2014.</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2009</w:t>
      </w:r>
    </w:p>
    <w:p>
      <w:pPr>
        <w:spacing w:after="0" w:line="185"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During fiscal 2009, the Company incurred restructuring, integration and other charges related to cost reduction actions, costs for integration activity for acquired businesses and other items. The following table presents the activity during the first three months of fiscal 2012 related to the remaining restructuring reserves established during fiscal 2009.</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4"/>
              </w:rPr>
              <w:t>Severance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9"/>
              </w:rPr>
              <w:t>Facility</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7"/>
              </w:rPr>
              <w:t>Reserves</w:t>
            </w:r>
          </w:p>
        </w:tc>
        <w:tc>
          <w:tcPr>
            <w:tcW w:w="180" w:type="dxa"/>
            <w:vAlign w:val="bottom"/>
          </w:tcPr>
          <w:p>
            <w:pPr>
              <w:spacing w:after="0"/>
              <w:rPr>
                <w:sz w:val="20"/>
                <w:szCs w:val="20"/>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7"/>
              </w:rPr>
              <w:t>Exit Costs</w:t>
            </w:r>
          </w:p>
        </w:tc>
        <w:tc>
          <w:tcPr>
            <w:tcW w:w="18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28"/>
        </w:trPr>
        <w:tc>
          <w:tcPr>
            <w:tcW w:w="4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(Thousands)</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4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2, 2011</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5,898</w:t>
            </w:r>
          </w:p>
        </w:tc>
      </w:tr>
      <w:tr>
        <w:trPr>
          <w:trHeight w:val="216"/>
        </w:trPr>
        <w:tc>
          <w:tcPr>
            <w:tcW w:w="4720" w:type="dxa"/>
            <w:vAlign w:val="bottom"/>
          </w:tcPr>
          <w:p>
            <w:pPr>
              <w:ind w:left="200"/>
              <w:spacing w:after="0"/>
              <w:rPr>
                <w:sz w:val="20"/>
                <w:szCs w:val="20"/>
                <w:color w:val="auto"/>
              </w:rPr>
            </w:pPr>
            <w:r>
              <w:rPr>
                <w:rFonts w:ascii="Arial" w:cs="Arial" w:eastAsia="Arial" w:hAnsi="Arial"/>
                <w:sz w:val="18"/>
                <w:szCs w:val="18"/>
                <w:color w:val="auto"/>
              </w:rPr>
              <w:t>Cash payments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(1,785)</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(1,802)</w:t>
            </w:r>
          </w:p>
        </w:tc>
      </w:tr>
      <w:tr>
        <w:trPr>
          <w:trHeight w:val="216"/>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r>
      <w:tr>
        <w:trPr>
          <w:trHeight w:val="216"/>
        </w:trPr>
        <w:tc>
          <w:tcPr>
            <w:tcW w:w="4720" w:type="dxa"/>
            <w:vAlign w:val="bottom"/>
          </w:tcPr>
          <w:p>
            <w:pPr>
              <w:ind w:left="200"/>
              <w:spacing w:after="0"/>
              <w:rPr>
                <w:sz w:val="20"/>
                <w:szCs w:val="20"/>
                <w:color w:val="auto"/>
              </w:rPr>
            </w:pPr>
            <w:r>
              <w:rPr>
                <w:rFonts w:ascii="Arial" w:cs="Arial" w:eastAsia="Arial" w:hAnsi="Arial"/>
                <w:sz w:val="18"/>
                <w:szCs w:val="18"/>
                <w:color w:val="auto"/>
              </w:rPr>
              <w:t>Other, principally foreign currency translation</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7"/>
        </w:trPr>
        <w:tc>
          <w:tcPr>
            <w:tcW w:w="4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1, 2011</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3,948</w:t>
            </w:r>
          </w:p>
        </w:tc>
      </w:tr>
      <w:tr>
        <w:trPr>
          <w:trHeight w:val="20"/>
        </w:trPr>
        <w:tc>
          <w:tcPr>
            <w:tcW w:w="4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159" w:firstLine="389"/>
        <w:spacing w:after="0" w:line="277" w:lineRule="auto"/>
        <w:rPr>
          <w:sz w:val="20"/>
          <w:szCs w:val="20"/>
          <w:color w:val="auto"/>
        </w:rPr>
      </w:pPr>
      <w:r>
        <w:rPr>
          <w:rFonts w:ascii="Arial" w:cs="Arial" w:eastAsia="Arial" w:hAnsi="Arial"/>
          <w:sz w:val="18"/>
          <w:szCs w:val="18"/>
          <w:color w:val="auto"/>
        </w:rPr>
        <w:t>As of October 1, 2011, management expects the majority of the remaining severance reserves to be utilized by the end of fiscal 2013 and the remaining facility exit cost reserves to be utilized by the end of fiscal 2014.</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2008 and prior restructuring reserves</w:t>
      </w:r>
    </w:p>
    <w:p>
      <w:pPr>
        <w:spacing w:after="0" w:line="18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 fiscal 2008 and prior, the Company incurred restructuring charges under four separate restructuring plans of which two are remaining. As of October 1, 2011, the remaining reserves associated with these actions totaled $690,000 which are expected to be fully utilized by the end of fiscal 2016.</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02"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 xml:space="preserve">For a description of the Company’s critical accounting policies and an understanding of the significant factors that influenced the Company’s performance during the quarter ended October 1, 2011, this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Condition and Results of Operations </w:t>
      </w:r>
      <w:r>
        <w:rPr>
          <w:rFonts w:ascii="Arial" w:cs="Arial" w:eastAsia="Arial" w:hAnsi="Arial"/>
          <w:sz w:val="18"/>
          <w:szCs w:val="18"/>
          <w:color w:val="auto"/>
        </w:rPr>
        <w:t>(“MD&amp;A”) should be read in conjunction with the consolidated financial statements,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related notes, appearing in Item 1 of this Report, as well as the Company’s Annual Report on Form 10-K for the year ended July 2, 2011.</w:t>
      </w:r>
    </w:p>
    <w:p>
      <w:pPr>
        <w:spacing w:after="0" w:line="148"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There are references to the impact of foreign currency translation in the discussion of the Company’s results of operations. Over the past several years, the exchange rates between the US Dollar and many foreign currencies, especially the Euro, have fluctuated significantly. For example, the US Dollar has weakened against the Euro by approximately 10% when comparing the first quarter of fiscal 2012 with the first quarter of fiscal 2011; therefore, part of the fluctuation between the first quarter of fiscal 2012 results of operations and the prior year first quarter are a result of changes in foreign currency exchange rates. When the weaker US Dollar exchange rates of the current year are used to translate the results of operations of Avnet’s subsidiaries denominated in foreign currencies, the resulting impact is an increase in US Dollars of reported results. In the discussion that follows, this is referred to as the “translation impact of changes in foreign currency exchange rates” and is also referred to as “constant currency.”</w:t>
      </w:r>
    </w:p>
    <w:p>
      <w:pPr>
        <w:spacing w:after="0" w:line="126"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In addition to disclosing financial results that are determined in accordance with US generally accepted accounting principles (“GAAP”), the Company also discloses certain non-GAAP financial information, including:</w:t>
      </w:r>
    </w:p>
    <w:p>
      <w:pPr>
        <w:spacing w:after="0" w:line="143" w:lineRule="exact"/>
        <w:rPr>
          <w:sz w:val="20"/>
          <w:szCs w:val="20"/>
          <w:color w:val="auto"/>
        </w:rPr>
      </w:pPr>
    </w:p>
    <w:p>
      <w:pPr>
        <w:ind w:left="1480" w:right="159" w:hanging="378"/>
        <w:spacing w:after="0" w:line="277" w:lineRule="auto"/>
        <w:tabs>
          <w:tab w:leader="none" w:pos="14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Income or expense items as adjusted for the translation impact of changes in foreign currency exchange rates, as discussed above.</w:t>
      </w:r>
    </w:p>
    <w:p>
      <w:pPr>
        <w:spacing w:after="0" w:line="129" w:lineRule="exact"/>
        <w:rPr>
          <w:rFonts w:ascii="Arial" w:cs="Arial" w:eastAsia="Arial" w:hAnsi="Arial"/>
          <w:sz w:val="18"/>
          <w:szCs w:val="18"/>
          <w:b w:val="1"/>
          <w:bCs w:val="1"/>
          <w:color w:val="auto"/>
        </w:rPr>
      </w:pPr>
    </w:p>
    <w:p>
      <w:pPr>
        <w:jc w:val="both"/>
        <w:ind w:left="1480" w:right="159" w:hanging="378"/>
        <w:spacing w:after="0" w:line="291" w:lineRule="auto"/>
        <w:tabs>
          <w:tab w:leader="none" w:pos="148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Sales adjusted for certain items that impact the year-over-year analysis, which included (i) the impact of acquisitions by adjusting Avnet’s prior periods to include the sales of businesses acquired as if the acquisitions had occurred at the beginning of the period presented; (ii) the impact of a divestiture by adjusting Avnet’s prior periods to exclude the sales of the business divested as if the divestiture had occurred at the beginning of the period presented; and (iii) the impact of the transfer at the beginning of fiscal 2012 of the Latin America computing components business from TS Americas to EM Americas which is being managed as part of the EM embedded business. Sales taking into account the combination of these adjustments are referred to as “pro forma sales” or “organic sales.”</w:t>
      </w:r>
    </w:p>
    <w:p>
      <w:pPr>
        <w:spacing w:after="0" w:line="126" w:lineRule="exact"/>
        <w:rPr>
          <w:rFonts w:ascii="Arial" w:cs="Arial" w:eastAsia="Arial" w:hAnsi="Arial"/>
          <w:sz w:val="16"/>
          <w:szCs w:val="16"/>
          <w:b w:val="1"/>
          <w:bCs w:val="1"/>
          <w:color w:val="auto"/>
        </w:rPr>
      </w:pPr>
    </w:p>
    <w:p>
      <w:pPr>
        <w:jc w:val="both"/>
        <w:ind w:left="1480" w:right="179" w:hanging="378"/>
        <w:spacing w:after="0" w:line="264" w:lineRule="auto"/>
        <w:tabs>
          <w:tab w:leader="none" w:pos="14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Operating income excluding restructuring, integration and other charges incurred in the first quarter of fiscal 2011 (see </w:t>
      </w:r>
      <w:r>
        <w:rPr>
          <w:rFonts w:ascii="Arial" w:cs="Arial" w:eastAsia="Arial" w:hAnsi="Arial"/>
          <w:sz w:val="18"/>
          <w:szCs w:val="18"/>
          <w:i w:val="1"/>
          <w:iCs w:val="1"/>
          <w:color w:val="auto"/>
        </w:rPr>
        <w:t xml:space="preserve">Restructuring, Integration and Other Charges </w:t>
      </w:r>
      <w:r>
        <w:rPr>
          <w:rFonts w:ascii="Arial" w:cs="Arial" w:eastAsia="Arial" w:hAnsi="Arial"/>
          <w:sz w:val="18"/>
          <w:szCs w:val="18"/>
          <w:color w:val="auto"/>
        </w:rPr>
        <w:t>in this MD&amp;A). The reconciliation to GAAP is presented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table.</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ind w:left="140"/>
              <w:spacing w:after="0"/>
              <w:rPr>
                <w:sz w:val="20"/>
                <w:szCs w:val="20"/>
                <w:color w:val="auto"/>
              </w:rPr>
            </w:pPr>
            <w:r>
              <w:rPr>
                <w:rFonts w:ascii="Arial" w:cs="Arial" w:eastAsia="Arial" w:hAnsi="Arial"/>
                <w:sz w:val="18"/>
                <w:szCs w:val="18"/>
                <w:b w:val="1"/>
                <w:bCs w:val="1"/>
                <w:color w:val="auto"/>
              </w:rPr>
              <w:t>First Quarters Ended</w:t>
            </w:r>
          </w:p>
        </w:tc>
      </w:tr>
      <w:tr>
        <w:trPr>
          <w:trHeight w:val="191"/>
        </w:trPr>
        <w:tc>
          <w:tcPr>
            <w:tcW w:w="53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60" w:type="dxa"/>
            <w:vAlign w:val="bottom"/>
            <w:tcBorders>
              <w:top w:val="single" w:sz="8" w:color="auto"/>
            </w:tcBorders>
            <w:gridSpan w:val="3"/>
          </w:tcPr>
          <w:p>
            <w:pPr>
              <w:jc w:val="right"/>
              <w:ind w:right="460"/>
              <w:spacing w:after="0" w:line="191" w:lineRule="exact"/>
              <w:rPr>
                <w:sz w:val="20"/>
                <w:szCs w:val="20"/>
                <w:color w:val="auto"/>
              </w:rPr>
            </w:pPr>
            <w:r>
              <w:rPr>
                <w:rFonts w:ascii="Arial" w:cs="Arial" w:eastAsia="Arial" w:hAnsi="Arial"/>
                <w:sz w:val="18"/>
                <w:szCs w:val="18"/>
                <w:b w:val="1"/>
                <w:bCs w:val="1"/>
                <w:color w:val="auto"/>
                <w:w w:val="98"/>
              </w:rPr>
              <w:t>October 1,</w:t>
            </w:r>
          </w:p>
        </w:tc>
        <w:tc>
          <w:tcPr>
            <w:tcW w:w="96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October 2,</w:t>
            </w:r>
          </w:p>
        </w:tc>
        <w:tc>
          <w:tcPr>
            <w:tcW w:w="100" w:type="dxa"/>
            <w:vAlign w:val="bottom"/>
          </w:tcPr>
          <w:p>
            <w:pPr>
              <w:spacing w:after="0"/>
              <w:rPr>
                <w:sz w:val="16"/>
                <w:szCs w:val="16"/>
                <w:color w:val="auto"/>
              </w:rPr>
            </w:pPr>
          </w:p>
        </w:tc>
      </w:tr>
      <w:tr>
        <w:trPr>
          <w:trHeight w:val="234"/>
        </w:trPr>
        <w:tc>
          <w:tcPr>
            <w:tcW w:w="5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4"/>
              </w:rPr>
              <w:t>2010</w:t>
            </w: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income</w:t>
            </w:r>
          </w:p>
        </w:tc>
        <w:tc>
          <w:tcPr>
            <w:tcW w:w="2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223,064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194,462</w:t>
            </w:r>
          </w:p>
        </w:tc>
      </w:tr>
      <w:tr>
        <w:trPr>
          <w:trHeight w:val="216"/>
        </w:trPr>
        <w:tc>
          <w:tcPr>
            <w:tcW w:w="5320" w:type="dxa"/>
            <w:vAlign w:val="bottom"/>
          </w:tcPr>
          <w:p>
            <w:pPr>
              <w:ind w:left="200"/>
              <w:spacing w:after="0"/>
              <w:rPr>
                <w:sz w:val="20"/>
                <w:szCs w:val="20"/>
                <w:color w:val="auto"/>
              </w:rPr>
            </w:pPr>
            <w:r>
              <w:rPr>
                <w:rFonts w:ascii="Arial" w:cs="Arial" w:eastAsia="Arial" w:hAnsi="Arial"/>
                <w:sz w:val="18"/>
                <w:szCs w:val="18"/>
                <w:color w:val="auto"/>
              </w:rPr>
              <w:t>Restructuring, integration and other charges</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28,067</w:t>
            </w:r>
          </w:p>
        </w:tc>
      </w:tr>
      <w:tr>
        <w:trPr>
          <w:trHeight w:val="27"/>
        </w:trPr>
        <w:tc>
          <w:tcPr>
            <w:tcW w:w="5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2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223,064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222,529</w:t>
            </w:r>
          </w:p>
        </w:tc>
      </w:tr>
      <w:tr>
        <w:trPr>
          <w:trHeight w:val="20"/>
        </w:trPr>
        <w:tc>
          <w:tcPr>
            <w:tcW w:w="5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Management believes that providing this additional information is useful to the reader to better assess and understand operating performance, especially when comparing results with previous periods or forecasting performance for future periods, primarily because management typically monitors the business both including and excluding these adjustments to GAAP results. Management also uses these non-GAAP measures to establish operational goals and, in some cases, for measuring performance for compensation purposes. However, analysis of results on a non-GAAP basis should be used as a complement to, and in conjunction with, data presented in accordance with GAAP.</w:t>
      </w: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Organization</w:t>
      </w:r>
    </w:p>
    <w:p>
      <w:pPr>
        <w:spacing w:after="0" w:line="185"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Avnet, Inc., incorporated in New York in 1955, together with its consolidated subsidiaries (the “Company” or “Avnet”), is one of the world’s largest industrial distributors, based on sales, of electronic components, enterprise computer and storage products and embedded subsystems. Avnet creates a vital link in the technology supply chain that connects more than 300 of the world’s leading electronic component and computer product manufacturers and software developers with a global customer base of more than 100,000 original equipment manufacturers (“OEMs”), electronic manufacturing services (“EMS”) providers, original design manufacturers (“ODMs”), and value-added resellers (“VARs”). Avnet distributes electronic components, computer products and software as received from its suppliers or with assembly or other value added by Avnet. Additionally, Avnet provides engineering design, materials management and logistics services, system integration and configuration, and supply chain services that can be customized to meet the requirements of both customers and suppliers.</w:t>
      </w:r>
    </w:p>
    <w:p>
      <w:pPr>
        <w:spacing w:after="0" w:line="14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Avnet has two primary operating groups — Electronics Marketing (“EM”) and Technology Solutions (“TS”). Both operating groups have operations in each of the three major economic regions of the world: the Americas; Europe, the Middle East and Africa (“EMEA”); and Asia/Pacific, consisting of Asia, Australia and New Zealand (“Asia” or “Asia/Pac”). A brief summary of each operating group is provided below:</w:t>
      </w:r>
    </w:p>
    <w:p>
      <w:pPr>
        <w:spacing w:after="0" w:line="160" w:lineRule="exact"/>
        <w:rPr>
          <w:sz w:val="20"/>
          <w:szCs w:val="20"/>
          <w:color w:val="auto"/>
        </w:rPr>
      </w:pPr>
    </w:p>
    <w:p>
      <w:pPr>
        <w:jc w:val="both"/>
        <w:ind w:left="1080" w:right="159" w:hanging="370"/>
        <w:spacing w:after="0" w:line="271" w:lineRule="auto"/>
        <w:tabs>
          <w:tab w:leader="none" w:pos="108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EM markets and sells semiconductors and interconnect, passive and electromechanical devices (“IP&amp;E”) and embedded products for more than 300 of the world’s leading electronic component manufacturers. EM markets and sells its products and services to a diverse customer base serving many end-markets including automotive, communications, computer hardware and peripheral, industrial and manufacturing, medical equipment, military and aerospace. EM also offers an array of value-added services that help customers evaluate, design-in and procure electronic components throughout the lifecycle of their technology products and systems. By working with EM from the design phase throughout new product introduction and through the product lifecycle, customers and suppliers can accelerate their time to market and realize cost efficiencies in both the design and manufacturing process.</w:t>
      </w:r>
    </w:p>
    <w:p>
      <w:pPr>
        <w:spacing w:after="0" w:line="138" w:lineRule="exact"/>
        <w:rPr>
          <w:rFonts w:ascii="Arial" w:cs="Arial" w:eastAsia="Arial" w:hAnsi="Arial"/>
          <w:sz w:val="17"/>
          <w:szCs w:val="17"/>
          <w:b w:val="1"/>
          <w:bCs w:val="1"/>
          <w:color w:val="auto"/>
        </w:rPr>
      </w:pPr>
    </w:p>
    <w:p>
      <w:pPr>
        <w:jc w:val="both"/>
        <w:ind w:left="1080" w:right="159" w:hanging="370"/>
        <w:spacing w:after="0" w:line="254"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As a global IT solutions distributor, TS collaborates with its customers and suppliers to create and deliver services, software and hardware solutions that address the business needs of end-user customers locally and around the world. TS focuses on the global value-added distribution of enterprise computing servers and systems, software, storage, services and complex solutions from the world’s foremost technology manufacturers, marketing and selling them to and through the VAR channel. TS also serves the worldwide OEM market for computing technology, system integrators and non-PC OEMs that require embedded systems and solutions including engineering, product prototyping, integration and other value-added services. The operating group has sales and marketing divisions dedicated to these customer segments as well as independent software vendors.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85"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6"/>
          <w:szCs w:val="16"/>
          <w:color w:val="auto"/>
        </w:rPr>
        <w:t>Revenue for the first quarter of fiscal 2012 was $6.43 billion, an increase of 3.9% from the first quarter of fiscal 2011 revenue of $6.18 billion. Organic revenue growth was 3.6% year over year. After seven consecutive quarters of strong year-over-year revenue growth, business decelerated during the first quarter of fiscal 2012 as organic revenue was roughly flat year over year excluding the translation impact of changes in foreign currency exchange rates. While the September quarter is typically the Company’s weakest revenue quarter, the sequential revenue decline in the first quarter of fiscal 2012 was more than normal seasonality due primarily to the double-digit sequential declines experienced in the EMEA region at both operating groups. EM sales increased 5.4% over the prior year first quarter and organic revenue on a sequential basis was down 7.1% which was below the expected seasonality range of up 1% to down 3% primarily due to the combination of the impact of the current supply chain correction and a sequential revenue decline in the EMEA region, which was coming off an exceptionally strong performance in the June quarter. While EMEA was the weakest region for EM, there was slightly lower revenue than expected in the Americas and Asia regions. TS sales increased 1.9% over the prior year first quarter while its organic sales increased 9.7% year over year and increased 6.3% excluding the translation impact of foreign currency exchange rate. On a product level, software grew greater than 40% year over year, while hardware grew more than 30% led by industry standard servers and storage. The growth in organic sales was driven primarily by double-digit growth in the Americas and Asia, partially offset by a decline in EMEA.</w:t>
      </w:r>
    </w:p>
    <w:p>
      <w:pPr>
        <w:spacing w:after="0" w:line="200" w:lineRule="exact"/>
        <w:rPr>
          <w:sz w:val="20"/>
          <w:szCs w:val="20"/>
          <w:color w:val="auto"/>
        </w:rPr>
      </w:pPr>
    </w:p>
    <w:p>
      <w:pPr>
        <w:spacing w:after="0" w:line="33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360" w:firstLine="389"/>
        <w:spacing w:after="0" w:line="293" w:lineRule="auto"/>
        <w:rPr>
          <w:sz w:val="20"/>
          <w:szCs w:val="20"/>
          <w:color w:val="auto"/>
        </w:rPr>
      </w:pPr>
      <w:r>
        <w:rPr>
          <w:rFonts w:ascii="Arial" w:cs="Arial" w:eastAsia="Arial" w:hAnsi="Arial"/>
          <w:sz w:val="16"/>
          <w:szCs w:val="16"/>
          <w:color w:val="auto"/>
        </w:rPr>
        <w:t>Gross profit margin of 11.7% was essentially flat over the prior year first quarter and declined 21 basis points sequentially. EM gross profit margin was down 27 basis points year over year primarily driven by the Americas region as a result of the Latin America computing components business transferred from TS, which is a lower gross profit margin business. EM gross profit margin was down 107 basis points sequentially, primarily due to (i) the double-digit decline in revenue in the higher gross profit margin EMEA region and (ii) the impact of the transfer of the Latin America computing components business noted above. TS gross profit margin was up 38 basis points year over year driven by EMEA, which improved significantly over the prior year first quarter.</w:t>
      </w:r>
    </w:p>
    <w:p>
      <w:pPr>
        <w:spacing w:after="0" w:line="138" w:lineRule="exact"/>
        <w:rPr>
          <w:sz w:val="20"/>
          <w:szCs w:val="20"/>
          <w:color w:val="auto"/>
        </w:rPr>
      </w:pPr>
    </w:p>
    <w:p>
      <w:pPr>
        <w:jc w:val="both"/>
        <w:ind w:left="340" w:right="1360" w:firstLine="389"/>
        <w:spacing w:after="0" w:line="259" w:lineRule="auto"/>
        <w:rPr>
          <w:sz w:val="20"/>
          <w:szCs w:val="20"/>
          <w:color w:val="auto"/>
        </w:rPr>
      </w:pPr>
      <w:r>
        <w:rPr>
          <w:rFonts w:ascii="Arial" w:cs="Arial" w:eastAsia="Arial" w:hAnsi="Arial"/>
          <w:sz w:val="18"/>
          <w:szCs w:val="18"/>
          <w:color w:val="auto"/>
        </w:rPr>
        <w:t>Consolidated operating income margin was 3.5% as compared with 3.2% in the prior year first quarter. EM operating income margin declined 30 basis points year over year to 5.0% which remained within management’s target range for the seventh consecutive quarter. TS operating income margin increased 28 basis points to 2.5% with all three regions contributing to the improvement, somewhat benefited by the transfer of the computing components business to EM.</w:t>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Sales</w:t>
      </w:r>
    </w:p>
    <w:p>
      <w:pPr>
        <w:spacing w:after="0" w:line="185" w:lineRule="exact"/>
        <w:rPr>
          <w:sz w:val="20"/>
          <w:szCs w:val="20"/>
          <w:color w:val="auto"/>
        </w:rPr>
      </w:pPr>
    </w:p>
    <w:p>
      <w:pPr>
        <w:jc w:val="both"/>
        <w:ind w:left="340" w:right="1360" w:firstLine="389"/>
        <w:spacing w:after="0" w:line="253" w:lineRule="auto"/>
        <w:rPr>
          <w:sz w:val="20"/>
          <w:szCs w:val="20"/>
          <w:color w:val="auto"/>
        </w:rPr>
      </w:pPr>
      <w:r>
        <w:rPr>
          <w:rFonts w:ascii="Arial" w:cs="Arial" w:eastAsia="Arial" w:hAnsi="Arial"/>
          <w:sz w:val="18"/>
          <w:szCs w:val="18"/>
          <w:color w:val="auto"/>
        </w:rPr>
        <w:t>The table below provides the comparison of first quarter fiscal 2012 and 2011 sales for the Company and its operating groups. In addition, there were several items that impacted the comparison of first quarter sales to sales in the prior year first quarter; therefore, the table below also provides pro forma (or organic) sales which represents sales adjusted for (i) the impact of acquisitions by adjusting Avnet’s prior periods to include the sales of businesses acquired as if the acquisitions had occurred at the beginning of the period presented; (ii) the impact of a divestiture by adjusting Avnet’s prior periods to exclude the sales of the business divested as if the divestiture had occurred at the beginning of the period presented; and (iii) the impact of the transfer at the beginning of fiscal 2012 of the Latin America computing components business from TS Americas to EM Americas which is being managed as part of the EM embedded business. Sales taking into account the combination of these adjustments are referred to as “pro forma sales” or “organic sales.”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Pro forma</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2"/>
              </w:rPr>
              <w:t>Year-Year</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Pro forma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Pro forma</w:t>
            </w: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Year-Year</w:t>
            </w:r>
          </w:p>
        </w:tc>
        <w:tc>
          <w:tcPr>
            <w:tcW w:w="13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Q1-Fiscal ’12</w:t>
            </w:r>
          </w:p>
        </w:tc>
        <w:tc>
          <w:tcPr>
            <w:tcW w:w="1220" w:type="dxa"/>
            <w:vAlign w:val="bottom"/>
            <w:gridSpan w:val="4"/>
          </w:tcPr>
          <w:p>
            <w:pPr>
              <w:ind w:left="140"/>
              <w:spacing w:after="0"/>
              <w:rPr>
                <w:sz w:val="20"/>
                <w:szCs w:val="20"/>
                <w:color w:val="auto"/>
              </w:rPr>
            </w:pPr>
            <w:r>
              <w:rPr>
                <w:rFonts w:ascii="Arial" w:cs="Arial" w:eastAsia="Arial" w:hAnsi="Arial"/>
                <w:sz w:val="18"/>
                <w:szCs w:val="18"/>
                <w:b w:val="1"/>
                <w:bCs w:val="1"/>
                <w:color w:val="auto"/>
                <w:w w:val="95"/>
              </w:rPr>
              <w:t>Q1-Fiscal ’11</w:t>
            </w:r>
          </w:p>
        </w:tc>
        <w:tc>
          <w:tcPr>
            <w:tcW w:w="220" w:type="dxa"/>
            <w:vAlign w:val="bottom"/>
          </w:tcPr>
          <w:p>
            <w:pPr>
              <w:spacing w:after="0"/>
              <w:rPr>
                <w:sz w:val="20"/>
                <w:szCs w:val="20"/>
                <w:color w:val="auto"/>
              </w:rPr>
            </w:pPr>
          </w:p>
        </w:tc>
        <w:tc>
          <w:tcPr>
            <w:tcW w:w="124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1"/>
              </w:rPr>
              <w:t>% Change</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Q1-Fiscal ’12</w:t>
            </w:r>
          </w:p>
        </w:tc>
        <w:tc>
          <w:tcPr>
            <w:tcW w:w="1420" w:type="dxa"/>
            <w:vAlign w:val="bottom"/>
            <w:gridSpan w:val="4"/>
          </w:tcPr>
          <w:p>
            <w:pPr>
              <w:ind w:left="120"/>
              <w:spacing w:after="0"/>
              <w:rPr>
                <w:sz w:val="20"/>
                <w:szCs w:val="20"/>
                <w:color w:val="auto"/>
              </w:rPr>
            </w:pPr>
            <w:r>
              <w:rPr>
                <w:rFonts w:ascii="Arial" w:cs="Arial" w:eastAsia="Arial" w:hAnsi="Arial"/>
                <w:sz w:val="18"/>
                <w:szCs w:val="18"/>
                <w:b w:val="1"/>
                <w:bCs w:val="1"/>
                <w:color w:val="auto"/>
              </w:rPr>
              <w:t>Q1-Fiscal ’11</w:t>
            </w: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w:t>
            </w:r>
          </w:p>
        </w:tc>
        <w:tc>
          <w:tcPr>
            <w:tcW w:w="420" w:type="dxa"/>
            <w:vAlign w:val="bottom"/>
          </w:tcPr>
          <w:p>
            <w:pPr>
              <w:jc w:val="right"/>
              <w:ind w:right="170"/>
              <w:spacing w:after="0"/>
              <w:rPr>
                <w:sz w:val="20"/>
                <w:szCs w:val="20"/>
                <w:color w:val="auto"/>
              </w:rPr>
            </w:pPr>
            <w:r>
              <w:rPr>
                <w:rFonts w:ascii="Arial" w:cs="Arial" w:eastAsia="Arial" w:hAnsi="Arial"/>
                <w:sz w:val="18"/>
                <w:szCs w:val="18"/>
                <w:b w:val="1"/>
                <w:bCs w:val="1"/>
                <w:color w:val="auto"/>
                <w:w w:val="87"/>
              </w:rPr>
              <w:t>in</w:t>
            </w: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Avnet, Inc.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6,426,006</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6,182,388</w:t>
            </w:r>
          </w:p>
        </w:tc>
        <w:tc>
          <w:tcPr>
            <w:tcW w:w="146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6,445,283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6,219,544</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EM</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3,816,266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3,620,604</w:t>
            </w:r>
          </w:p>
        </w:tc>
        <w:tc>
          <w:tcPr>
            <w:tcW w:w="1460" w:type="dxa"/>
            <w:vAlign w:val="bottom"/>
            <w:gridSpan w:val="3"/>
          </w:tcPr>
          <w:p>
            <w:pPr>
              <w:jc w:val="right"/>
              <w:ind w:right="3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3,835,543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3,840,619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2,609,740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2,561,784</w:t>
            </w:r>
          </w:p>
        </w:tc>
        <w:tc>
          <w:tcPr>
            <w:tcW w:w="146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2,378,925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b w:val="1"/>
                <w:bCs w:val="1"/>
                <w:color w:val="auto"/>
              </w:rPr>
              <w:t>EM</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Americas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1,383,216</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1,259,731</w:t>
            </w:r>
          </w:p>
        </w:tc>
        <w:tc>
          <w:tcPr>
            <w:tcW w:w="146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1,379,066</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EMEA</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1,123,767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1,079,704</w:t>
            </w:r>
          </w:p>
        </w:tc>
        <w:tc>
          <w:tcPr>
            <w:tcW w:w="1460" w:type="dxa"/>
            <w:vAlign w:val="bottom"/>
            <w:gridSpan w:val="3"/>
          </w:tcPr>
          <w:p>
            <w:pPr>
              <w:jc w:val="right"/>
              <w:ind w:right="3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Asia</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1,309,283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1,281,169</w:t>
            </w:r>
          </w:p>
        </w:tc>
        <w:tc>
          <w:tcPr>
            <w:tcW w:w="146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1,328,560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1,381,849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b w:val="1"/>
                <w:bCs w:val="1"/>
                <w:color w:val="auto"/>
              </w:rPr>
              <w:t>TS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Americas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1,388,389</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1,461,483</w:t>
            </w:r>
          </w:p>
        </w:tc>
        <w:tc>
          <w:tcPr>
            <w:tcW w:w="1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1,225,308</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EMEA</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778,509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807,800</w:t>
            </w:r>
          </w:p>
        </w:tc>
        <w:tc>
          <w:tcPr>
            <w:tcW w:w="1460" w:type="dxa"/>
            <w:vAlign w:val="bottom"/>
            <w:gridSpan w:val="3"/>
          </w:tcPr>
          <w:p>
            <w:pPr>
              <w:jc w:val="right"/>
              <w:ind w:right="27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826,958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Asia</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442,842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292,501</w:t>
            </w:r>
          </w:p>
        </w:tc>
        <w:tc>
          <w:tcPr>
            <w:tcW w:w="146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326,659</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b w:val="1"/>
                <w:bCs w:val="1"/>
                <w:color w:val="auto"/>
              </w:rPr>
              <w:t>Totals by Region</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Americas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2,771,605</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2,721,214</w:t>
            </w:r>
          </w:p>
        </w:tc>
        <w:tc>
          <w:tcPr>
            <w:tcW w:w="146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2,604,374</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EMEA</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1,902,276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1,887,504</w:t>
            </w:r>
          </w:p>
        </w:tc>
        <w:tc>
          <w:tcPr>
            <w:tcW w:w="1460" w:type="dxa"/>
            <w:vAlign w:val="bottom"/>
            <w:gridSpan w:val="3"/>
          </w:tcPr>
          <w:p>
            <w:pPr>
              <w:jc w:val="right"/>
              <w:ind w:right="3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1,906,662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Asia</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1,752,125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1,573,670</w:t>
            </w:r>
          </w:p>
        </w:tc>
        <w:tc>
          <w:tcPr>
            <w:tcW w:w="146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1,771,402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1,708,508</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360" w:type="dxa"/>
            <w:vAlign w:val="bottom"/>
          </w:tcPr>
          <w:p>
            <w:pPr>
              <w:spacing w:after="0"/>
              <w:rPr>
                <w:sz w:val="18"/>
                <w:szCs w:val="18"/>
                <w:color w:val="auto"/>
              </w:rPr>
            </w:pPr>
          </w:p>
        </w:tc>
      </w:tr>
      <w:tr>
        <w:trPr>
          <w:trHeight w:val="797"/>
        </w:trPr>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jc w:val="right"/>
              <w:ind w:right="710"/>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tables present the reconciliation of the reported sales to pro forma sales for first quarter of fiscal 2012 and 2011.</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As</w:t>
            </w:r>
          </w:p>
        </w:tc>
        <w:tc>
          <w:tcPr>
            <w:tcW w:w="220" w:type="dxa"/>
            <w:vAlign w:val="bottom"/>
          </w:tcPr>
          <w:p>
            <w:pPr>
              <w:spacing w:after="0"/>
              <w:rPr>
                <w:sz w:val="18"/>
                <w:szCs w:val="18"/>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9"/>
              </w:rPr>
              <w:t>Acquisition</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Pro forma</w:t>
            </w:r>
          </w:p>
        </w:tc>
      </w:tr>
      <w:tr>
        <w:trPr>
          <w:trHeight w:val="234"/>
        </w:trPr>
        <w:tc>
          <w:tcPr>
            <w:tcW w:w="3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Reported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5"/>
              </w:rPr>
              <w:t>Sales</w:t>
            </w:r>
            <w:r>
              <w:rPr>
                <w:rFonts w:ascii="Arial" w:cs="Arial" w:eastAsia="Arial" w:hAnsi="Arial"/>
                <w:sz w:val="15"/>
                <w:szCs w:val="15"/>
                <w:b w:val="1"/>
                <w:bCs w:val="1"/>
                <w:color w:val="auto"/>
                <w:w w:val="85"/>
              </w:rPr>
              <w:t>(1)</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Sales</w:t>
            </w:r>
          </w:p>
        </w:tc>
      </w:tr>
      <w:tr>
        <w:trPr>
          <w:trHeight w:val="210"/>
        </w:trPr>
        <w:tc>
          <w:tcPr>
            <w:tcW w:w="3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(Thousands)</w:t>
            </w:r>
          </w:p>
        </w:tc>
        <w:tc>
          <w:tcPr>
            <w:tcW w:w="3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Q1 Fiscal 2012</w:t>
            </w:r>
          </w:p>
        </w:tc>
        <w:tc>
          <w:tcPr>
            <w:tcW w:w="2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ind w:left="200"/>
              <w:spacing w:after="0"/>
              <w:rPr>
                <w:sz w:val="20"/>
                <w:szCs w:val="20"/>
                <w:color w:val="auto"/>
              </w:rPr>
            </w:pPr>
            <w:r>
              <w:rPr>
                <w:rFonts w:ascii="Arial" w:cs="Arial" w:eastAsia="Arial" w:hAnsi="Arial"/>
                <w:sz w:val="18"/>
                <w:szCs w:val="18"/>
                <w:color w:val="auto"/>
              </w:rPr>
              <w:t>Avnet, Inc.</w:t>
            </w:r>
          </w:p>
        </w:tc>
        <w:tc>
          <w:tcPr>
            <w:tcW w:w="3580" w:type="dxa"/>
            <w:vAlign w:val="bottom"/>
            <w:gridSpan w:val="3"/>
          </w:tcPr>
          <w:p>
            <w:pPr>
              <w:jc w:val="right"/>
              <w:ind w:right="180"/>
              <w:spacing w:after="0"/>
              <w:rPr>
                <w:sz w:val="20"/>
                <w:szCs w:val="20"/>
                <w:color w:val="auto"/>
              </w:rPr>
            </w:pPr>
            <w:r>
              <w:rPr>
                <w:rFonts w:ascii="Arial" w:cs="Arial" w:eastAsia="Arial" w:hAnsi="Arial"/>
                <w:sz w:val="18"/>
                <w:szCs w:val="18"/>
                <w:color w:val="auto"/>
              </w:rPr>
              <w:t>$  6,426,006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19,277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6,445,283</w:t>
            </w:r>
          </w:p>
        </w:tc>
      </w:tr>
      <w:tr>
        <w:trPr>
          <w:trHeight w:val="216"/>
        </w:trPr>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w:t>
            </w:r>
          </w:p>
        </w:tc>
        <w:tc>
          <w:tcPr>
            <w:tcW w:w="3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3,816,266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19,277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3,835,543</w:t>
            </w:r>
          </w:p>
        </w:tc>
      </w:tr>
      <w:tr>
        <w:trPr>
          <w:trHeight w:val="230"/>
        </w:trPr>
        <w:tc>
          <w:tcPr>
            <w:tcW w:w="3520" w:type="dxa"/>
            <w:vAlign w:val="bottom"/>
          </w:tcPr>
          <w:p>
            <w:pPr>
              <w:ind w:left="200"/>
              <w:spacing w:after="0"/>
              <w:rPr>
                <w:sz w:val="20"/>
                <w:szCs w:val="20"/>
                <w:color w:val="auto"/>
              </w:rPr>
            </w:pPr>
            <w:r>
              <w:rPr>
                <w:rFonts w:ascii="Arial" w:cs="Arial" w:eastAsia="Arial" w:hAnsi="Arial"/>
                <w:sz w:val="18"/>
                <w:szCs w:val="18"/>
                <w:color w:val="auto"/>
              </w:rPr>
              <w:t>EM Asia</w:t>
            </w:r>
          </w:p>
        </w:tc>
        <w:tc>
          <w:tcPr>
            <w:tcW w:w="3580" w:type="dxa"/>
            <w:vAlign w:val="bottom"/>
            <w:gridSpan w:val="3"/>
          </w:tcPr>
          <w:p>
            <w:pPr>
              <w:jc w:val="right"/>
              <w:ind w:right="180"/>
              <w:spacing w:after="0"/>
              <w:rPr>
                <w:sz w:val="20"/>
                <w:szCs w:val="20"/>
                <w:color w:val="auto"/>
              </w:rPr>
            </w:pPr>
            <w:r>
              <w:rPr>
                <w:rFonts w:ascii="Arial" w:cs="Arial" w:eastAsia="Arial" w:hAnsi="Arial"/>
                <w:sz w:val="18"/>
                <w:szCs w:val="18"/>
                <w:color w:val="auto"/>
              </w:rPr>
              <w:t>1,309,283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19,277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1,328,560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111125</wp:posOffset>
            </wp:positionV>
            <wp:extent cx="11150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343" w:lineRule="exact"/>
        <w:rPr>
          <w:sz w:val="20"/>
          <w:szCs w:val="20"/>
          <w:color w:val="auto"/>
        </w:rPr>
      </w:pPr>
    </w:p>
    <w:p>
      <w:pPr>
        <w:ind w:left="720" w:hanging="388"/>
        <w:spacing w:after="0"/>
        <w:tabs>
          <w:tab w:leader="none" w:pos="72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businesses acquired in August 2011 in the EM Asia region (see table below).</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5"/>
              </w:rPr>
              <w:t>Transfer of</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b w:val="1"/>
                <w:bCs w:val="1"/>
                <w:color w:val="auto"/>
              </w:rPr>
              <w:t>As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93"/>
              </w:rPr>
              <w:t>Acquisition/</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TS Business</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Reported</w:t>
            </w:r>
          </w:p>
        </w:tc>
        <w:tc>
          <w:tcPr>
            <w:tcW w:w="180" w:type="dxa"/>
            <w:vAlign w:val="bottom"/>
          </w:tcPr>
          <w:p>
            <w:pPr>
              <w:spacing w:after="0"/>
              <w:rPr>
                <w:sz w:val="20"/>
                <w:szCs w:val="20"/>
                <w:color w:val="auto"/>
              </w:rPr>
            </w:pPr>
          </w:p>
        </w:tc>
        <w:tc>
          <w:tcPr>
            <w:tcW w:w="1840" w:type="dxa"/>
            <w:vAlign w:val="bottom"/>
            <w:gridSpan w:val="4"/>
          </w:tcPr>
          <w:p>
            <w:pPr>
              <w:ind w:left="200"/>
              <w:spacing w:after="0"/>
              <w:rPr>
                <w:sz w:val="20"/>
                <w:szCs w:val="20"/>
                <w:color w:val="auto"/>
              </w:rPr>
            </w:pPr>
            <w:r>
              <w:rPr>
                <w:rFonts w:ascii="Arial" w:cs="Arial" w:eastAsia="Arial" w:hAnsi="Arial"/>
                <w:sz w:val="18"/>
                <w:szCs w:val="18"/>
                <w:b w:val="1"/>
                <w:bCs w:val="1"/>
                <w:color w:val="auto"/>
              </w:rPr>
              <w:t>Divested Sales</w:t>
            </w:r>
            <w:r>
              <w:rPr>
                <w:rFonts w:ascii="Arial" w:cs="Arial" w:eastAsia="Arial" w:hAnsi="Arial"/>
                <w:sz w:val="15"/>
                <w:szCs w:val="15"/>
                <w:b w:val="1"/>
                <w:bCs w:val="1"/>
                <w:color w:val="auto"/>
              </w:rPr>
              <w:t>(1)</w:t>
            </w:r>
          </w:p>
        </w:tc>
        <w:tc>
          <w:tcPr>
            <w:tcW w:w="160" w:type="dxa"/>
            <w:vAlign w:val="bottom"/>
          </w:tcPr>
          <w:p>
            <w:pPr>
              <w:spacing w:after="0"/>
              <w:rPr>
                <w:sz w:val="20"/>
                <w:szCs w:val="20"/>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 EM</w:t>
            </w:r>
          </w:p>
        </w:tc>
        <w:tc>
          <w:tcPr>
            <w:tcW w:w="16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Sales</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(Dollars in</w:t>
            </w:r>
          </w:p>
        </w:tc>
        <w:tc>
          <w:tcPr>
            <w:tcW w:w="134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0"/>
              </w:rPr>
              <w:t>thousands)</w:t>
            </w:r>
          </w:p>
        </w:tc>
        <w:tc>
          <w:tcPr>
            <w:tcW w:w="3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Q1 Fiscal 2011</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b w:val="1"/>
                <w:bCs w:val="1"/>
                <w:color w:val="auto"/>
              </w:rPr>
              <w:t>Avnet, Inc.</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6,182,388</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90"/>
              <w:spacing w:after="0"/>
              <w:rPr>
                <w:sz w:val="20"/>
                <w:szCs w:val="20"/>
                <w:color w:val="auto"/>
              </w:rPr>
            </w:pPr>
            <w:r>
              <w:rPr>
                <w:rFonts w:ascii="Arial" w:cs="Arial" w:eastAsia="Arial" w:hAnsi="Arial"/>
                <w:sz w:val="18"/>
                <w:szCs w:val="18"/>
                <w:color w:val="auto"/>
              </w:rPr>
              <w:t>37,156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6,219,544</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3,620,604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103,823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116,192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3,840,619</w:t>
            </w:r>
          </w:p>
        </w:tc>
        <w:tc>
          <w:tcPr>
            <w:tcW w:w="0" w:type="dxa"/>
            <w:vAlign w:val="bottom"/>
          </w:tcPr>
          <w:p>
            <w:pPr>
              <w:spacing w:after="0"/>
              <w:rPr>
                <w:sz w:val="1"/>
                <w:szCs w:val="1"/>
                <w:color w:val="auto"/>
              </w:rPr>
            </w:pPr>
          </w:p>
        </w:tc>
      </w:tr>
      <w:tr>
        <w:trPr>
          <w:trHeight w:val="216"/>
        </w:trPr>
        <w:tc>
          <w:tcPr>
            <w:tcW w:w="2720" w:type="dxa"/>
            <w:vAlign w:val="bottom"/>
          </w:tcPr>
          <w:p>
            <w:pPr>
              <w:ind w:left="200"/>
              <w:spacing w:after="0"/>
              <w:rPr>
                <w:sz w:val="20"/>
                <w:szCs w:val="20"/>
                <w:color w:val="auto"/>
              </w:rPr>
            </w:pPr>
            <w:r>
              <w:rPr>
                <w:rFonts w:ascii="Arial" w:cs="Arial" w:eastAsia="Arial" w:hAnsi="Arial"/>
                <w:sz w:val="18"/>
                <w:szCs w:val="18"/>
                <w:color w:val="auto"/>
              </w:rPr>
              <w:t>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2,561,784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30"/>
              <w:spacing w:after="0"/>
              <w:rPr>
                <w:sz w:val="20"/>
                <w:szCs w:val="20"/>
                <w:color w:val="auto"/>
              </w:rPr>
            </w:pPr>
            <w:r>
              <w:rPr>
                <w:rFonts w:ascii="Arial" w:cs="Arial" w:eastAsia="Arial" w:hAnsi="Arial"/>
                <w:sz w:val="18"/>
                <w:szCs w:val="18"/>
                <w:color w:val="auto"/>
              </w:rPr>
              <w:t>(66,667)</w:t>
            </w: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(116,192)</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2,378,925</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EM</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200"/>
              <w:spacing w:after="0"/>
              <w:rPr>
                <w:sz w:val="20"/>
                <w:szCs w:val="20"/>
                <w:color w:val="auto"/>
              </w:rPr>
            </w:pPr>
            <w:r>
              <w:rPr>
                <w:rFonts w:ascii="Arial" w:cs="Arial" w:eastAsia="Arial" w:hAnsi="Arial"/>
                <w:sz w:val="18"/>
                <w:szCs w:val="18"/>
                <w:color w:val="auto"/>
              </w:rPr>
              <w:t>Americas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1,259,731</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90"/>
              <w:spacing w:after="0"/>
              <w:rPr>
                <w:sz w:val="20"/>
                <w:szCs w:val="20"/>
                <w:color w:val="auto"/>
              </w:rPr>
            </w:pPr>
            <w:r>
              <w:rPr>
                <w:rFonts w:ascii="Arial" w:cs="Arial" w:eastAsia="Arial" w:hAnsi="Arial"/>
                <w:sz w:val="18"/>
                <w:szCs w:val="18"/>
                <w:color w:val="auto"/>
              </w:rPr>
              <w:t>3,143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116,192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1,379,066</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EMEA</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1,079,704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1,079,704</w:t>
            </w:r>
          </w:p>
        </w:tc>
        <w:tc>
          <w:tcPr>
            <w:tcW w:w="0" w:type="dxa"/>
            <w:vAlign w:val="bottom"/>
          </w:tcPr>
          <w:p>
            <w:pPr>
              <w:spacing w:after="0"/>
              <w:rPr>
                <w:sz w:val="1"/>
                <w:szCs w:val="1"/>
                <w:color w:val="auto"/>
              </w:rPr>
            </w:pPr>
          </w:p>
        </w:tc>
      </w:tr>
      <w:tr>
        <w:trPr>
          <w:trHeight w:val="216"/>
        </w:trPr>
        <w:tc>
          <w:tcPr>
            <w:tcW w:w="2720" w:type="dxa"/>
            <w:vAlign w:val="bottom"/>
          </w:tcPr>
          <w:p>
            <w:pPr>
              <w:ind w:left="200"/>
              <w:spacing w:after="0"/>
              <w:rPr>
                <w:sz w:val="20"/>
                <w:szCs w:val="20"/>
                <w:color w:val="auto"/>
              </w:rPr>
            </w:pPr>
            <w:r>
              <w:rPr>
                <w:rFonts w:ascii="Arial" w:cs="Arial" w:eastAsia="Arial" w:hAnsi="Arial"/>
                <w:sz w:val="18"/>
                <w:szCs w:val="18"/>
                <w:color w:val="auto"/>
              </w:rPr>
              <w:t>Asia</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1,281,169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90"/>
              <w:spacing w:after="0"/>
              <w:rPr>
                <w:sz w:val="20"/>
                <w:szCs w:val="20"/>
                <w:color w:val="auto"/>
              </w:rPr>
            </w:pPr>
            <w:r>
              <w:rPr>
                <w:rFonts w:ascii="Arial" w:cs="Arial" w:eastAsia="Arial" w:hAnsi="Arial"/>
                <w:sz w:val="18"/>
                <w:szCs w:val="18"/>
                <w:color w:val="auto"/>
              </w:rPr>
              <w:t>100,680</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1,381,849</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200"/>
              <w:spacing w:after="0"/>
              <w:rPr>
                <w:sz w:val="20"/>
                <w:szCs w:val="20"/>
                <w:color w:val="auto"/>
              </w:rPr>
            </w:pPr>
            <w:r>
              <w:rPr>
                <w:rFonts w:ascii="Arial" w:cs="Arial" w:eastAsia="Arial" w:hAnsi="Arial"/>
                <w:sz w:val="18"/>
                <w:szCs w:val="18"/>
                <w:color w:val="auto"/>
              </w:rPr>
              <w:t>Americas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1,461,483</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30"/>
              <w:spacing w:after="0"/>
              <w:rPr>
                <w:sz w:val="20"/>
                <w:szCs w:val="20"/>
                <w:color w:val="auto"/>
              </w:rPr>
            </w:pPr>
            <w:r>
              <w:rPr>
                <w:rFonts w:ascii="Arial" w:cs="Arial" w:eastAsia="Arial" w:hAnsi="Arial"/>
                <w:sz w:val="18"/>
                <w:szCs w:val="18"/>
                <w:color w:val="auto"/>
              </w:rPr>
              <w:t>(119,983)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(116,192)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1,225,308</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EMEA</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807,800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19,158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826,958</w:t>
            </w: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Arial" w:cs="Arial" w:eastAsia="Arial" w:hAnsi="Arial"/>
                <w:sz w:val="18"/>
                <w:szCs w:val="18"/>
                <w:color w:val="auto"/>
              </w:rPr>
              <w:t>Asia</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292,501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290"/>
              <w:spacing w:after="0"/>
              <w:rPr>
                <w:sz w:val="20"/>
                <w:szCs w:val="20"/>
                <w:color w:val="auto"/>
              </w:rPr>
            </w:pPr>
            <w:r>
              <w:rPr>
                <w:rFonts w:ascii="Arial" w:cs="Arial" w:eastAsia="Arial" w:hAnsi="Arial"/>
                <w:sz w:val="18"/>
                <w:szCs w:val="18"/>
                <w:color w:val="auto"/>
              </w:rPr>
              <w:t>34,158</w:t>
            </w: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326,659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102235</wp:posOffset>
            </wp:positionV>
            <wp:extent cx="11150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329" w:lineRule="exact"/>
        <w:rPr>
          <w:sz w:val="20"/>
          <w:szCs w:val="20"/>
          <w:color w:val="auto"/>
        </w:rPr>
      </w:pPr>
    </w:p>
    <w:p>
      <w:pPr>
        <w:ind w:left="720" w:hanging="388"/>
        <w:spacing w:after="0"/>
        <w:tabs>
          <w:tab w:leader="none" w:pos="72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the following acquisitions:</w:t>
      </w:r>
    </w:p>
    <w:p>
      <w:pPr>
        <w:spacing w:after="0" w:line="76" w:lineRule="exact"/>
        <w:rPr>
          <w:rFonts w:ascii="Arial" w:cs="Arial" w:eastAsia="Arial" w:hAnsi="Arial"/>
          <w:sz w:val="15"/>
          <w:szCs w:val="15"/>
          <w:color w:val="auto"/>
        </w:rPr>
      </w:pPr>
    </w:p>
    <w:p>
      <w:pPr>
        <w:ind w:left="720" w:right="2459"/>
        <w:spacing w:after="0" w:line="328" w:lineRule="auto"/>
        <w:rPr>
          <w:rFonts w:ascii="Arial" w:cs="Arial" w:eastAsia="Arial" w:hAnsi="Arial"/>
          <w:sz w:val="15"/>
          <w:szCs w:val="15"/>
          <w:color w:val="auto"/>
        </w:rPr>
      </w:pPr>
      <w:r>
        <w:rPr>
          <w:rFonts w:ascii="Arial" w:cs="Arial" w:eastAsia="Arial" w:hAnsi="Arial"/>
          <w:sz w:val="18"/>
          <w:szCs w:val="18"/>
          <w:color w:val="auto"/>
        </w:rPr>
        <w:t>Bell Microproducts acquired July 2010 in the EM Americas, TS Americas and TS EMEA regions Tallard Technologies acquired July 2010 in the TS Americas region</w:t>
      </w:r>
    </w:p>
    <w:p>
      <w:pPr>
        <w:spacing w:after="0" w:line="1" w:lineRule="exact"/>
        <w:rPr>
          <w:rFonts w:ascii="Arial" w:cs="Arial" w:eastAsia="Arial" w:hAnsi="Arial"/>
          <w:sz w:val="15"/>
          <w:szCs w:val="15"/>
          <w:color w:val="auto"/>
        </w:rPr>
      </w:pPr>
    </w:p>
    <w:p>
      <w:pPr>
        <w:ind w:left="720"/>
        <w:spacing w:after="0"/>
        <w:rPr>
          <w:rFonts w:ascii="Arial" w:cs="Arial" w:eastAsia="Arial" w:hAnsi="Arial"/>
          <w:sz w:val="15"/>
          <w:szCs w:val="15"/>
          <w:color w:val="auto"/>
        </w:rPr>
      </w:pPr>
      <w:r>
        <w:rPr>
          <w:rFonts w:ascii="Arial" w:cs="Arial" w:eastAsia="Arial" w:hAnsi="Arial"/>
          <w:sz w:val="18"/>
          <w:szCs w:val="18"/>
          <w:color w:val="auto"/>
        </w:rPr>
        <w:t>Unidux acquired July 2010 in the EM Asia region</w:t>
      </w:r>
    </w:p>
    <w:p>
      <w:pPr>
        <w:spacing w:after="0" w:line="76" w:lineRule="exact"/>
        <w:rPr>
          <w:rFonts w:ascii="Arial" w:cs="Arial" w:eastAsia="Arial" w:hAnsi="Arial"/>
          <w:sz w:val="15"/>
          <w:szCs w:val="15"/>
          <w:color w:val="auto"/>
        </w:rPr>
      </w:pPr>
    </w:p>
    <w:p>
      <w:pPr>
        <w:ind w:left="720" w:right="4799"/>
        <w:spacing w:after="0" w:line="348" w:lineRule="auto"/>
        <w:rPr>
          <w:rFonts w:ascii="Arial" w:cs="Arial" w:eastAsia="Arial" w:hAnsi="Arial"/>
          <w:sz w:val="15"/>
          <w:szCs w:val="15"/>
          <w:color w:val="auto"/>
        </w:rPr>
      </w:pPr>
      <w:r>
        <w:rPr>
          <w:rFonts w:ascii="Arial" w:cs="Arial" w:eastAsia="Arial" w:hAnsi="Arial"/>
          <w:sz w:val="17"/>
          <w:szCs w:val="17"/>
          <w:color w:val="auto"/>
        </w:rPr>
        <w:t>Broadband acquired October 2010 in the EM Americas region Eurotone acquired October 2010 in the EM Asia region Center Cell acquired November 2010 in the EM Americas region itX Technologies acquired January 2011 in the TS Asia region Amosdec acquired in July 2011 in the TS EMEA region</w:t>
      </w:r>
    </w:p>
    <w:p>
      <w:pPr>
        <w:ind w:left="720"/>
        <w:spacing w:after="0"/>
        <w:rPr>
          <w:rFonts w:ascii="Arial" w:cs="Arial" w:eastAsia="Arial" w:hAnsi="Arial"/>
          <w:sz w:val="15"/>
          <w:szCs w:val="15"/>
          <w:color w:val="auto"/>
        </w:rPr>
      </w:pPr>
      <w:r>
        <w:rPr>
          <w:rFonts w:ascii="Arial" w:cs="Arial" w:eastAsia="Arial" w:hAnsi="Arial"/>
          <w:sz w:val="18"/>
          <w:szCs w:val="18"/>
          <w:color w:val="auto"/>
        </w:rPr>
        <w:t>Prospect Technology acquired in August 2011 in the EM Asia region</w:t>
      </w:r>
    </w:p>
    <w:p>
      <w:pPr>
        <w:spacing w:after="0" w:line="76" w:lineRule="exact"/>
        <w:rPr>
          <w:rFonts w:ascii="Arial" w:cs="Arial" w:eastAsia="Arial" w:hAnsi="Arial"/>
          <w:sz w:val="15"/>
          <w:szCs w:val="15"/>
          <w:color w:val="auto"/>
        </w:rPr>
      </w:pPr>
    </w:p>
    <w:p>
      <w:pPr>
        <w:ind w:left="720" w:right="3479"/>
        <w:spacing w:after="0" w:line="356" w:lineRule="auto"/>
        <w:rPr>
          <w:rFonts w:ascii="Arial" w:cs="Arial" w:eastAsia="Arial" w:hAnsi="Arial"/>
          <w:sz w:val="15"/>
          <w:szCs w:val="15"/>
          <w:color w:val="auto"/>
        </w:rPr>
      </w:pPr>
      <w:r>
        <w:rPr>
          <w:rFonts w:ascii="Arial" w:cs="Arial" w:eastAsia="Arial" w:hAnsi="Arial"/>
          <w:sz w:val="18"/>
          <w:szCs w:val="18"/>
          <w:color w:val="auto"/>
        </w:rPr>
        <w:t>JC Tally Trading Co and subsidiary acquired in August 2011 in the EM Asia region Also reflects the divesture of New Prosys in January 2011</w:t>
      </w:r>
    </w:p>
    <w:p>
      <w:pPr>
        <w:spacing w:after="0" w:line="61"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Consolidated sales for the first quarter of fiscal 2012 were $6.43 billion, an increase of 3.9%, or $244 million, from the prior year first quarter consolidated sales of $6.18 billion. Organic sales (as defined earlier in this MD&amp;A) increased 3.6% and were essentially flat excluding the translation impact of foreign currency exchange rates.</w:t>
      </w:r>
    </w:p>
    <w:p>
      <w:pPr>
        <w:spacing w:after="0" w:line="154"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EM sales of $3.82 billion in the first quarter of fiscal 2012 increased 5.4% over the prior year first quarter sales of $3.62 billion. The comparison to prior year was impacted by the transfer of the Latin America computing components business from TS Americas to EM Americas as well as acquisitions in Asia and changes in foreign currency exchange rates. Excluding the impact of these items, organic revenue in constant currency was down 3% year over year. Organic revenue on a sequential basis was down 7.1%, which was below the expected seasonality of up 1% to down 3%, which was primarily due to the combination of (i) the impact of the current supply chain correction as customers continue to adjust inventory levels as a result of decelerating growth and shorter product lead times, and (ii) a sequential revenue decline in the EMEA region, which was coming off exceptionally strong performance in the June quarter. While the EMEA region was the weakest, the Americas and Asia regions experienced slightly lower revenue than expected.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TS sales of $2.61 billion in the first quarter of fiscal 2012 increased 1.9% over the prior year first quarter sales of $2.56 billion. The year-over-year growth was due primarily to Asia which grew 51%, partially offset by declines in the Americas and EMEA of 5.0% and 3.6%, respectively. The comparison to prior year was impacted by the transfer of the Latin America computing components business from TS Americas to EM Americas as well as acquisitions and changes in foreign currency exchange rates. Organic sales increased 9.7% year over year and 6.3% excluding the translation impact of foreign currency exchange rates. The year-over-year organic sales growth was driven by double-digit growth in the Americas and Asia, which was partially offset by a decline in EMEA of 5.9% and 12.5% excluding the translation impact of changes in foreign currency exchange rates.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189"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Consolidated gross profit for the first quarter of fiscal 2012 was $753.6 million, an increase of $30.5 million, or 4.2%, from the prior year first quarter. Gross profit margin of 11.7% was essentially flat over the prior year first quarter and declined 21 basis points sequentially. EM gross profit margin was down 27 basis points year over year primarily driven by the Americas region as a result of the transfer from TS of the lower gross profit margin Latin America computing components business. EM gross profit margin was down 107 basis points sequentially, primarily due to the impact of the transfer of the business noted above and the double-digit decline in revenue in the higher gross profit margin EMEA region. TS gross profit margin was up 38 basis points year over year and up 76 basis points sequentially. Even though all three regions contributed to the improvement, EMEA in particular had significant year-over-year improvement in its gross profit margin.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02"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Selling, general and administrative expenses (“SG&amp;A expenses”) were $530.5 million in the first quarter of fiscal 2012, which was an increase of $29.9 million, or 6.0%, from the prior year first quarter. Of the $29.9 million increase, approximately $20 million was due to the translation impact of changes in foreign currency exchange rates and approximately $3.2 million was associated with acquisitions. Metrics that management monitors with respect to its operating expenses are SG&amp;A expenses as a percentage of sales and as a percentage of gross profit. In the first quarter of fiscal 2012, SG&amp;A expenses were 8.3% of sales and 70.4% of gross profit as compared with 8.1% and 69.2%, respectively, in the first quarter of fiscal 2011. SG&amp;A expenses as a percentage of gross profit at TS decreased 200 basis points year over year with all three regions contributing to this improvement.</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Integration and Other Charges</w:t>
      </w:r>
    </w:p>
    <w:p>
      <w:pPr>
        <w:spacing w:after="0" w:line="189" w:lineRule="exact"/>
        <w:rPr>
          <w:sz w:val="20"/>
          <w:szCs w:val="20"/>
          <w:color w:val="auto"/>
        </w:rPr>
      </w:pPr>
    </w:p>
    <w:p>
      <w:pPr>
        <w:jc w:val="both"/>
        <w:ind w:left="340" w:right="159" w:firstLine="389"/>
        <w:spacing w:after="0" w:line="287" w:lineRule="auto"/>
        <w:rPr>
          <w:sz w:val="20"/>
          <w:szCs w:val="20"/>
          <w:color w:val="auto"/>
        </w:rPr>
      </w:pPr>
      <w:r>
        <w:rPr>
          <w:rFonts w:ascii="Arial" w:cs="Arial" w:eastAsia="Arial" w:hAnsi="Arial"/>
          <w:sz w:val="16"/>
          <w:szCs w:val="16"/>
          <w:color w:val="auto"/>
        </w:rPr>
        <w:t>In the first quarter of fiscal 2011, restructuring, integration and other charges amounted to $28.1 million pre-tax, $20.2 million after tax and $0.13 per share on a diluted basis. Restructuring costs included $8.3 million pre-tax for severance and $2.4 million pre-tax for facility exit costs for lease liabilities and fixed asset write downs associated with vacated facilities. Transaction costs of $10.8 million pre-tax consisted primarily of professional fees for brokering the deals, due diligence work and other legal costs. Integration costs of $7.3 million pre-tax included professional fees associated with legal and IT consulting, facility moving costs, travel, meeting, marketing and communication costs that were incrementally incurred as a result of the integration activity. Also included in integration costs are incremental salary and employee benefits costs, primarily of the acquired businesses’ personnel who where retained by Avnet for extended periods following the close of the acquisitions solely to assist in the integration of the acquired businesses’ IT systems and administrative and logistics operations into those of Avnet. These identified personnel have no other meaningful day-to-day operational responsibilities outside of the integration effort. The Company also recorded a reversal of $0.7 million to adjust reserves related to prior year restructuring activity which were no longer required.</w:t>
      </w:r>
    </w:p>
    <w:p>
      <w:pPr>
        <w:spacing w:after="0" w:line="200" w:lineRule="exact"/>
        <w:rPr>
          <w:sz w:val="20"/>
          <w:szCs w:val="20"/>
          <w:color w:val="auto"/>
        </w:rPr>
      </w:pPr>
    </w:p>
    <w:p>
      <w:pPr>
        <w:spacing w:after="0" w:line="33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Income</w:t>
      </w:r>
    </w:p>
    <w:p>
      <w:pPr>
        <w:spacing w:after="0" w:line="202"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During the first quarter of fiscal 2012, the Company generated operating income of $223.1 million, up 14.7% as compared with $194.5 million in the prior year first quarter. Consolidated operating income margin was 3.5% as compared with 3.2% in the prior year first quarter, which included restructuring, integration and other charges of $28.1 million pre-tax, $20.2 million after tax and $0.13 per share on a diluted basis. Excluding these charges, operating income was $222.5 million and operating income margin was 3.6% in the prior year first quarter. EM operating income of $191.2 million was essentially flat year over year and its operating income margin declined 30 basis points year over year to 5.0% which remained within management’s target range for the seventh consecutive quarter. The year-over-year decline at EM was driven by the lower than expected seasonal revenue decline and the impact of the transfer of the Latin America computing components business from TS noted above. TS operating income of $65.0 million increased 14.7% year over year and operating income margin increased 28 basis points to 2.5% driven primarily by the Americas, which benefited somewhat from the transfer of the Latin America computing components business to EM, and to a lesser extent, by the improvement in Europe and Asia. Corporate operating expenses were $33.1 million in the first quarter of fiscal 2012 as compared with $26.2 million in the first quarter of fiscal 2011, which was an increase of $6.9 million primarily due to the increase in stock-based compensation expense over the year ago quarter.</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 and Other (Expense) Income, Net</w:t>
      </w:r>
    </w:p>
    <w:p>
      <w:pPr>
        <w:spacing w:after="0" w:line="189" w:lineRule="exact"/>
        <w:rPr>
          <w:sz w:val="20"/>
          <w:szCs w:val="20"/>
          <w:color w:val="auto"/>
        </w:rPr>
      </w:pPr>
    </w:p>
    <w:p>
      <w:pPr>
        <w:jc w:val="both"/>
        <w:ind w:left="340" w:right="159" w:firstLine="389"/>
        <w:spacing w:after="0" w:line="342" w:lineRule="auto"/>
        <w:rPr>
          <w:sz w:val="20"/>
          <w:szCs w:val="20"/>
          <w:color w:val="auto"/>
        </w:rPr>
      </w:pPr>
      <w:r>
        <w:rPr>
          <w:rFonts w:ascii="Arial" w:cs="Arial" w:eastAsia="Arial" w:hAnsi="Arial"/>
          <w:sz w:val="16"/>
          <w:szCs w:val="16"/>
          <w:color w:val="auto"/>
        </w:rPr>
        <w:t xml:space="preserve">Interest expense for the first quarter of fiscal 2012 was $21.9 million, essentially flat as compared with interest expense of $22.0 million in the first quarter of fiscal 2011. See </w:t>
      </w:r>
      <w:r>
        <w:rPr>
          <w:rFonts w:ascii="Arial" w:cs="Arial" w:eastAsia="Arial" w:hAnsi="Arial"/>
          <w:sz w:val="16"/>
          <w:szCs w:val="16"/>
          <w:i w:val="1"/>
          <w:iCs w:val="1"/>
          <w:color w:val="auto"/>
        </w:rPr>
        <w:t>Financing Transactions</w:t>
      </w:r>
      <w:r>
        <w:rPr>
          <w:rFonts w:ascii="Arial" w:cs="Arial" w:eastAsia="Arial" w:hAnsi="Arial"/>
          <w:sz w:val="16"/>
          <w:szCs w:val="16"/>
          <w:color w:val="auto"/>
        </w:rPr>
        <w:t xml:space="preserve"> for further discussion of the Company’s outstanding debt.</w:t>
      </w:r>
    </w:p>
    <w:p>
      <w:pPr>
        <w:spacing w:after="0" w:line="97" w:lineRule="exact"/>
        <w:rPr>
          <w:sz w:val="20"/>
          <w:szCs w:val="20"/>
          <w:color w:val="auto"/>
        </w:rPr>
      </w:pPr>
    </w:p>
    <w:p>
      <w:pPr>
        <w:jc w:val="both"/>
        <w:ind w:left="340" w:right="179" w:firstLine="389"/>
        <w:spacing w:after="0" w:line="308" w:lineRule="auto"/>
        <w:rPr>
          <w:sz w:val="20"/>
          <w:szCs w:val="20"/>
          <w:color w:val="auto"/>
        </w:rPr>
      </w:pPr>
      <w:r>
        <w:rPr>
          <w:rFonts w:ascii="Arial" w:cs="Arial" w:eastAsia="Arial" w:hAnsi="Arial"/>
          <w:sz w:val="17"/>
          <w:szCs w:val="17"/>
          <w:color w:val="auto"/>
        </w:rPr>
        <w:t>During the first quarter of fiscal 2012, the Company recognized $5.4 million of other expense, primarily due to foreign exchange losses, as compared with $3.3 million of other income in prior year which included foreign currency exchange gains.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Gain on Bargain Purchase and Other</w:t>
      </w:r>
    </w:p>
    <w:p>
      <w:pPr>
        <w:spacing w:after="0" w:line="189"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During the first quarter of fiscal 2011, the Company acquired Unidux, a Japanese publicly traded company, through a tender offer in which the Company obtained over 95% of the controlling interest. After reassessing all assets acquired and liabilities assumed, the consideration paid was below the fair value of the acquired net assets and, as a result, the Company recognized a gain on bargain purchase of $31.0 million pre- and after tax and $0.20 per share on a diluted basis. In addition, the Company recognized other charges of $2.0 million pre-tax primarily related to an impairment of buildings in EMEA.</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Provision</w:t>
      </w:r>
    </w:p>
    <w:p>
      <w:pPr>
        <w:spacing w:after="0" w:line="189"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The Company’s effective tax rate on its income before income taxes was 29.0% in the first quarter of fiscal 2012 as compared with 32.5% in the first quarter of fiscal 2011. During the first quarter of fiscal 2011, the Company recognized an income tax adjustment of $13.9 million primarily related to the non-cash write-off of a deferred tax asset associated with the integration of an acquisition which was partially offset by the non-taxable gain on bargain purchase as mentioned above.</w:t>
      </w:r>
    </w:p>
    <w:p>
      <w:pPr>
        <w:spacing w:after="0" w:line="131"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tax rate is impacted primarily by the statutory tax rates of the countries in which the Company operates and the related levels of income in those jurisdictions as well as assessment of tax risks that are common to multinational enterprises and assessments of realizability of deferred tax assets and the associated establishment or release of tax valuation allowances.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Income</w:t>
      </w:r>
    </w:p>
    <w:p>
      <w:pPr>
        <w:spacing w:after="0" w:line="189"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consolidated net income for the first quarter of fiscal 2012 was $139.0 million, or $0.90 per share on a diluted basis, as compared with $138.2 million, or $0.90 per share on a diluted basis, in the prior year first quarter.</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85"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6"/>
          <w:szCs w:val="16"/>
          <w:color w:val="auto"/>
        </w:rPr>
        <w:t>The Company used $204.1 million of cash and cash equivalents for its operating activities during the first quarter of fiscal 2012, as compared with a use of $112.3 million in the first quarter of fiscal 2011. These results are comprised of: (1) cash flow generated from net income excluding non-cash and other reconciling items, which includes the add-back of depreciation and amortization, deferred income taxes, stock-based compensation and other non-cash items (primarily the provision for doubtful accounts and periodic pension costs) and (2) cash flow used for working capital, excluding cash and cash equivalents. Cash used for working capital during the first quarter of fiscal 2012 was driven by a reduction in payables of $373.8 million with both EM and TS contributing to the reduction. In addition, inventory increased $89.0 million, primarily attributable to EM, which was partially offset by a reduction in accounts receivable of $125.4 million. The Company used more cash for operations than expected as the slowdown in business had the short-term impact of increasing working capital. As business began to decelerate during the quarter, orders to suppliers were reduced and, as a result, accounts payable declined significantly. Net days outstanding increased 5 days since fiscal year end, however, receivable days continue to be at or near pre-recession levels as there have not been any significant change in terms provided to customers. Comparatively, cash used for working capital during the first quarter of fiscal 2011 consisted of accounts receivable growth of $110.9 million, inventory growth of $269.8 million, partially offset by growth in payables of $130.7 million.</w:t>
      </w:r>
    </w:p>
    <w:p>
      <w:pPr>
        <w:spacing w:after="0" w:line="148"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Cash Flow from Financing Activities</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 xml:space="preserve">The Company received net proceeds of $389.0 million primarily from borrowings under the accounts receivable securitization program and bank credit facilities during the first quarter of fiscal 2012. In addition, the Company used $81.9 million of cash to repurchase common stock under the $500 million share repurchase program authorized by the Board in August 2011 (see </w:t>
      </w:r>
      <w:r>
        <w:rPr>
          <w:rFonts w:ascii="Arial" w:cs="Arial" w:eastAsia="Arial" w:hAnsi="Arial"/>
          <w:sz w:val="18"/>
          <w:szCs w:val="18"/>
          <w:i w:val="1"/>
          <w:iCs w:val="1"/>
          <w:color w:val="auto"/>
        </w:rPr>
        <w:t>Item 2</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Unregistered Sales of Equity Securities and Use of Proceeds </w:t>
      </w:r>
      <w:r>
        <w:rPr>
          <w:rFonts w:ascii="Arial" w:cs="Arial" w:eastAsia="Arial" w:hAnsi="Arial"/>
          <w:sz w:val="18"/>
          <w:szCs w:val="18"/>
          <w:color w:val="auto"/>
        </w:rPr>
        <w:t>in this Form 10-Q). During the first quarter of fiscal 2011,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proceeds of $261.5 million from bank credit facilities and other debt.</w:t>
      </w:r>
    </w:p>
    <w:p>
      <w:pPr>
        <w:spacing w:after="0" w:line="148"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Cash Flow from Investing Activities</w:t>
      </w:r>
    </w:p>
    <w:p>
      <w:pPr>
        <w:spacing w:after="0" w:line="198"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The Company used $103.2 million of cash for acquisitions, net of cash acquired, and $39.7 million for capital expenditures primarily related to system development costs and computer hardware and software expenditures. During the first quarter of fiscal 2011, the Company used $574.8 million of cash for acquisitions, net of cash acquired, and $31.5 million for capital expenditures related to building and leasehold improvements, system development costs, computer hardware and software.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Structure and Contractual Obligations</w:t>
      </w:r>
    </w:p>
    <w:p>
      <w:pPr>
        <w:spacing w:after="0" w:line="189"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following table summarizes the Company’s capital structure as of the end of the first quarter of fiscal 2012 with a comparison to fiscal 2011 year-end: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8"/>
              </w:rPr>
              <w:t>October 1,</w:t>
            </w:r>
          </w:p>
        </w:tc>
        <w:tc>
          <w:tcPr>
            <w:tcW w:w="146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5"/>
              </w:rPr>
              <w:t>% of Total</w:t>
            </w:r>
          </w:p>
        </w:tc>
        <w:tc>
          <w:tcPr>
            <w:tcW w:w="16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July 2,</w:t>
            </w:r>
          </w:p>
        </w:tc>
        <w:tc>
          <w:tcPr>
            <w:tcW w:w="38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 of Total</w:t>
            </w:r>
          </w:p>
        </w:tc>
      </w:tr>
      <w:tr>
        <w:trPr>
          <w:trHeight w:val="234"/>
        </w:trPr>
        <w:tc>
          <w:tcPr>
            <w:tcW w:w="4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146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3"/>
              </w:rPr>
              <w:t>Capitalization</w:t>
            </w:r>
          </w:p>
        </w:tc>
        <w:tc>
          <w:tcPr>
            <w:tcW w:w="16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Capitalization</w:t>
            </w:r>
          </w:p>
        </w:tc>
      </w:tr>
      <w:tr>
        <w:trPr>
          <w:trHeight w:val="210"/>
        </w:trPr>
        <w:tc>
          <w:tcPr>
            <w:tcW w:w="4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w:t>
            </w:r>
          </w:p>
        </w:tc>
        <w:tc>
          <w:tcPr>
            <w:tcW w:w="380" w:type="dxa"/>
            <w:vAlign w:val="bottom"/>
          </w:tcPr>
          <w:p>
            <w:pPr>
              <w:spacing w:after="0"/>
              <w:rPr>
                <w:sz w:val="20"/>
                <w:szCs w:val="20"/>
                <w:color w:val="auto"/>
              </w:rPr>
            </w:pPr>
            <w:r>
              <w:rPr>
                <w:rFonts w:ascii="Arial" w:cs="Arial" w:eastAsia="Arial" w:hAnsi="Arial"/>
                <w:sz w:val="18"/>
                <w:szCs w:val="18"/>
                <w:b w:val="1"/>
                <w:bCs w:val="1"/>
                <w:color w:val="auto"/>
              </w:rPr>
              <w:t>in</w:t>
            </w: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thousands)</w:t>
            </w:r>
          </w:p>
        </w:tc>
        <w:tc>
          <w:tcPr>
            <w:tcW w:w="3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756,947</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243,079</w:t>
            </w:r>
          </w:p>
        </w:tc>
        <w:tc>
          <w:tcPr>
            <w:tcW w:w="1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1,150,773</w:t>
            </w:r>
          </w:p>
        </w:tc>
        <w:tc>
          <w:tcPr>
            <w:tcW w:w="38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19.7</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1,273,509</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1,907,720</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32.7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1,516,588</w:t>
            </w:r>
          </w:p>
        </w:tc>
        <w:tc>
          <w:tcPr>
            <w:tcW w:w="1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3,931,017</w:t>
            </w:r>
          </w:p>
        </w:tc>
        <w:tc>
          <w:tcPr>
            <w:tcW w:w="38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67.3</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4,056,070</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capitalization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5,838,737</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5,572,658</w:t>
            </w:r>
          </w:p>
        </w:tc>
        <w:tc>
          <w:tcPr>
            <w:tcW w:w="1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 xml:space="preserve">For a description of the Company’s long-term debt and lease commitments for the next five years and thereafter, see </w:t>
      </w:r>
      <w:r>
        <w:rPr>
          <w:rFonts w:ascii="Arial" w:cs="Arial" w:eastAsia="Arial" w:hAnsi="Arial"/>
          <w:sz w:val="18"/>
          <w:szCs w:val="18"/>
          <w:i w:val="1"/>
          <w:iCs w:val="1"/>
          <w:color w:val="auto"/>
        </w:rPr>
        <w:t>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appearing in Item 7 of the Company’s Annual Report on Form 10-K for the year ended July 2, 2011.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 of the Company’s debt transactions discussed herein, there are no material changes to this information outside of normal lease payments.</w:t>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does not currently have any material commitments for capital expenditures.</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Financing Transactions</w:t>
      </w:r>
    </w:p>
    <w:p>
      <w:pPr>
        <w:spacing w:after="0" w:line="202"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The Company has a five-year $500.0 million unsecured revolving credit facility (the “Credit Agreement”) with a syndicate of banks that expires in September 2012. Under the Credit Agreement, the Company may elect from various interest rate options, currencies and maturities. As of the end of the first quarter of fiscal 2012, there were $61.5 million in borrowings outstanding under the Credit Agreement included in “short-term debt” in the consolidated financial statements. In addition, there were $17.1 million in letters of credit issued under the Credit Agreement which represent a utilization of Credit Agreement capacity but are not recorded in the consolidated balance sheet as the letters of credit are not debt. As of July 2, 2011, there were $122.1 million in borrowings outstanding included in “long-term debt” in the consolidated financial statements and $16.6 million in letters of credit issued under the Credit Agreement.</w:t>
      </w:r>
    </w:p>
    <w:p>
      <w:pPr>
        <w:spacing w:after="0" w:line="152"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During the first quarter of fiscal 2012, the Company amended its accounts receivable securitization program (the “Program”) with a group of financial institutions to allow the Company to sell, on a revolving basis, an undivided interest of up to $750.0 million ($600.0 million prior to the amendment) in eligible receivables while retaining a subordinated interest in a portion of the receivables. The Program does not qualify for sale treatment and, as a result, any borrowings under the Program are recorded as debt on the consolidated balance sheet. The Program contains certain covenants, all of which the Company was in compliance with as of October 1, 2011. The Program has a one year term that expires in August 2012. There were $485.0 million in borrowings outstanding under the Program at October 1, 2011 and $160.0 million outstanding at July 2, 2011.</w:t>
      </w:r>
    </w:p>
    <w:p>
      <w:pPr>
        <w:spacing w:after="0" w:line="13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Notes outstanding at October 1, 2011 consisted of:</w:t>
      </w:r>
    </w:p>
    <w:p>
      <w:pPr>
        <w:spacing w:after="0" w:line="198" w:lineRule="exact"/>
        <w:rPr>
          <w:sz w:val="20"/>
          <w:szCs w:val="20"/>
          <w:color w:val="auto"/>
        </w:rPr>
      </w:pPr>
    </w:p>
    <w:p>
      <w:pPr>
        <w:ind w:left="1480" w:hanging="378"/>
        <w:spacing w:after="0"/>
        <w:tabs>
          <w:tab w:leader="none" w:pos="14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$300.0 million of 5.875% Notes due March 15, 2014</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$250.0 million of 6.00% Notes due September 1, 2015</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$300.0 million of 6.625% Notes due September 15, 2016</w:t>
      </w:r>
    </w:p>
    <w:p>
      <w:pPr>
        <w:spacing w:after="0" w:line="198" w:lineRule="exact"/>
        <w:rPr>
          <w:rFonts w:ascii="Arial" w:cs="Arial" w:eastAsia="Arial" w:hAnsi="Arial"/>
          <w:sz w:val="18"/>
          <w:szCs w:val="18"/>
          <w:b w:val="1"/>
          <w:bCs w:val="1"/>
          <w:color w:val="auto"/>
        </w:rPr>
      </w:pPr>
    </w:p>
    <w:p>
      <w:pPr>
        <w:ind w:left="1480" w:hanging="378"/>
        <w:spacing w:after="0"/>
        <w:tabs>
          <w:tab w:leader="none" w:pos="14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$300.0 million of 5.875% Notes due June 15, 2020</w:t>
      </w:r>
    </w:p>
    <w:p>
      <w:pPr>
        <w:spacing w:after="0" w:line="18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 addition to its primary financing arrangements, the Company has several small lines of credit in various locations to fund the short-term working capital, foreign exchange, overdraft and letter of credit needs of its wholly owned subsidiaries in Europe, Asia and Canada. Avnet generally guarantees its subsidiaries’ obligations under these facilities.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Covenants and Conditions</w:t>
      </w:r>
    </w:p>
    <w:p>
      <w:pPr>
        <w:spacing w:after="0" w:line="202"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The Credit Agreement contains certain covenants with various limitations on debt incurrence, dividends, investments and capital expenditures and also includes financial covenants requiring the Company to maintain minimum interest coverage and leverage ratios. Management does not believe that the covenants in the Credit Agreement limit the Company’s ability to pursue its intended business strategy or future financing needs. The Company was in compliance with all covenants of the Credit Agreement as of October 1, 2011.</w:t>
      </w:r>
    </w:p>
    <w:p>
      <w:pPr>
        <w:spacing w:after="0" w:line="114"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The Securitization Program requires the Company to maintain certain minimum interest coverage and leverage ratios as defined in the Credit Agreement in order to continue utilizing the Securitization Program. The Securitization Program also contains certain covenants relating to the quality of the receivables sold. If these conditions are not met, the Company may not be able to borrow any additional funds and the financial institutions may consider this an amortization event, as defined in the agreement, which would permit the financial institutions to liquidate the accounts receivables sold to cover any outstanding borrowings. Circumstances that could affect the Company’s ability to meet the required covenants and conditions of the Securitization Program include the Company’s ongoing profitability and various other economic, market and industry factors. Management does not believe that the covenants under the Securitization Program limit the Company’s ability to pursue its intended business strategy or future financing needs. The Company was in compliance with all covenants of the Securitization Program as of October 1, 2011.</w:t>
      </w:r>
    </w:p>
    <w:p>
      <w:pPr>
        <w:spacing w:after="0" w:line="12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w:t>
      </w:r>
      <w:r>
        <w:rPr>
          <w:rFonts w:ascii="Arial" w:cs="Arial" w:eastAsia="Arial" w:hAnsi="Arial"/>
          <w:sz w:val="18"/>
          <w:szCs w:val="18"/>
          <w:color w:val="auto"/>
        </w:rPr>
        <w:t xml:space="preserve"> below for further discussion of the Company’s availability under these various facilities.</w:t>
      </w:r>
    </w:p>
    <w:p>
      <w:pPr>
        <w:spacing w:after="0" w:line="200" w:lineRule="exact"/>
        <w:rPr>
          <w:sz w:val="20"/>
          <w:szCs w:val="20"/>
          <w:color w:val="auto"/>
        </w:rPr>
      </w:pPr>
    </w:p>
    <w:p>
      <w:pPr>
        <w:spacing w:after="0" w:line="39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w:t>
      </w:r>
    </w:p>
    <w:p>
      <w:pPr>
        <w:spacing w:after="0" w:line="202"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Company had total borrowing capacity of $1.25 billion at October 1, 2011 under the Credit Agreement and the Securitization Program. There were $61.5 million in borrowings outstanding and $17.1 million in letters of credit issued under the Credit Agreement and $485.0 million outstanding under the Securitization Program, resulting in $686.4 million of net availability at the end of the first quarter. As mentioned previously, the Company amended its Securitization Program in August 2011 to increase the borrowing capacity from $600.0 million to $750.0 million. During the first quarter of fiscal 2012, the Company had an average daily balance outstanding of approximately $30 million under the Credit Agreement and approximately $430 million under the Securitization Program. During the first quarter of fiscal 2011, the Company had an average daily balance outstanding of approximately $90 million under the Credit Agreement and approximately $220 million under the Securitization Program.</w:t>
      </w:r>
    </w:p>
    <w:p>
      <w:pPr>
        <w:spacing w:after="0" w:line="138"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Company had cash and cash equivalents of $622.4 million as of October 1, 2011, of which $555.1 million was held outside the U.S. As of July 2, 2011, the Company had cash and cash equivalents of $675.3 billion, of which $613.2 million was held outside of the U.S. Liquidity is subject to many factors, such as normal business operations as well as general economic, financial, competitive, legislative, and regulatory factors that are beyond the Company’s control. Cash balances generated and held in foreign locations are used for on-going working capital, capital expenditure needs and to support acquisitions. These balances are currently expected to be permanently reinvested outside the U.S. If these funds were needed for general corporate use in the U.S., the Company would incur significant income taxes to repatriate cash held in foreign locations but only to the extent they are in excess of outstanding intercompany loans due to Avnet, Inc. from the foreign subsidiaries.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spacing w:after="0" w:line="137"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During the first three months of fiscal 2012, the Company utilized $103.2 million of cash, net of cash acquired, for acquisitions. The Company has been making and expects to continue to make strategic investments through acquisition activity to the extent the investments strengthen Avnet’s competitive position and meet management’s return on capital thresholds.</w:t>
      </w:r>
    </w:p>
    <w:p>
      <w:pPr>
        <w:spacing w:after="0" w:line="139"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In addition to continuing to make investments in acquisitions, the Company may repurchase up to an aggregate of $500 million of shares of the Company’s common stock through a share repurchase program approved by the Board of Directors in August 2011. The Company plans to repurchase stock from time to time at the discretion of management, subject to strategic considerations, market conditions and other factors. The Company may terminate or limit the stock repurchase program at any time without prior notice. The timing and actual number of shares purchased will depend on a variety of factors such as price, corporate and regulatory requirements, and prevailing market conditions. Since inception of the program in August through the end of the first quarter of fiscal 2012, the Company repurchased 3.45 million shares under this program with an average market price of $26.32 per share at the dates of repurchase for a total cost of $90.9 million. This amount differs from the cash used for repurchases of common stock on the consolidated statement of cash flows to the extent repurchases were not settled at the end of the quarter. Shares repurchased were retired.</w:t>
      </w:r>
    </w:p>
    <w:p>
      <w:pPr>
        <w:spacing w:after="0" w:line="154"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During periods of weakening demand in the electronic component and enterprise computer solutions industry, the Company typically generates cash from operating activities. Conversely, the Company is also more likely to use operating cash flows for working capital requirements during periods of higher growth. However, even though sales declined sequentially in the first three months of fiscal 2012, the Company utilized $204.1 million of cash for operations but has generated $186.3 million of cash from operations over the trailing twelve month period. Management believes that Avnet’s borrowing capacity, its current cash availability and the Company’s expected ability to generate operating cash flows in the future are sufficient to meet its projected financing needs.</w:t>
      </w:r>
    </w:p>
    <w:p>
      <w:pPr>
        <w:spacing w:after="0" w:line="200" w:lineRule="exact"/>
        <w:rPr>
          <w:sz w:val="20"/>
          <w:szCs w:val="20"/>
          <w:color w:val="auto"/>
        </w:rPr>
      </w:pPr>
    </w:p>
    <w:p>
      <w:pPr>
        <w:spacing w:after="0" w:line="33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COMPARATIVE ANALYSIS — LIQUIDITY</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(Dollars in millions)</w:t>
      </w:r>
    </w:p>
    <w:p>
      <w:pPr>
        <w:spacing w:after="0" w:line="184" w:lineRule="exact"/>
        <w:rPr>
          <w:sz w:val="20"/>
          <w:szCs w:val="20"/>
          <w:color w:val="auto"/>
        </w:rPr>
      </w:pPr>
    </w:p>
    <w:p>
      <w:pPr>
        <w:ind w:left="340" w:right="159" w:firstLine="389"/>
        <w:spacing w:after="0" w:line="277" w:lineRule="auto"/>
        <w:rPr>
          <w:sz w:val="20"/>
          <w:szCs w:val="20"/>
          <w:color w:val="auto"/>
        </w:rPr>
      </w:pPr>
      <w:r>
        <w:rPr>
          <w:rFonts w:ascii="Arial" w:cs="Arial" w:eastAsia="Arial" w:hAnsi="Arial"/>
          <w:sz w:val="18"/>
          <w:szCs w:val="18"/>
          <w:color w:val="auto"/>
        </w:rPr>
        <w:t>The following table highlights the Company’s liquidity and related ratios as of the end of the first quarter of fiscal 2012 with a comparison to the fiscal 2011 year-end: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w w:val="96"/>
              </w:rPr>
              <w:t>October 1,</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99"/>
              </w:rPr>
              <w:t>July 2,</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Percentage</w:t>
            </w:r>
          </w:p>
        </w:tc>
      </w:tr>
      <w:tr>
        <w:trPr>
          <w:trHeight w:val="234"/>
        </w:trPr>
        <w:tc>
          <w:tcPr>
            <w:tcW w:w="4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20"/>
                <w:szCs w:val="20"/>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8,066.9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8,227.2</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Quick Assets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5,215.9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5,439.6</w:t>
            </w:r>
          </w:p>
        </w:tc>
        <w:tc>
          <w:tcPr>
            <w:tcW w:w="440" w:type="dxa"/>
            <w:vAlign w:val="bottom"/>
          </w:tcPr>
          <w:p>
            <w:pPr>
              <w:spacing w:after="0"/>
              <w:rPr>
                <w:sz w:val="18"/>
                <w:szCs w:val="18"/>
                <w:color w:val="auto"/>
              </w:rPr>
            </w:pP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1"/>
              </w:rPr>
              <w:t>(4.1)</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4,592.9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4,477.7</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2.6</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Working Capital (1)</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3,474.0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3,749.5</w:t>
            </w:r>
          </w:p>
        </w:tc>
        <w:tc>
          <w:tcPr>
            <w:tcW w:w="440" w:type="dxa"/>
            <w:vAlign w:val="bottom"/>
          </w:tcPr>
          <w:p>
            <w:pPr>
              <w:spacing w:after="0"/>
              <w:rPr>
                <w:sz w:val="18"/>
                <w:szCs w:val="18"/>
                <w:color w:val="auto"/>
              </w:rPr>
            </w:pP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1"/>
              </w:rPr>
              <w:t>(7.3)</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1,907.7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1,516.6</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5"/>
              </w:rPr>
              <w:t>25.8</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Total Capital (total debt plus total shareholders’ equity)</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5,838.7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5,572.7</w:t>
            </w:r>
          </w:p>
        </w:tc>
        <w:tc>
          <w:tcPr>
            <w:tcW w:w="440" w:type="dxa"/>
            <w:vAlign w:val="bottom"/>
          </w:tcPr>
          <w:p>
            <w:pPr>
              <w:spacing w:after="0"/>
              <w:rPr>
                <w:sz w:val="18"/>
                <w:szCs w:val="18"/>
                <w:color w:val="auto"/>
              </w:rPr>
            </w:pP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87"/>
              </w:rPr>
              <w:t>4.8</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Quick Ratio</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1.2:1</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Working Capital Ratio</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1.8:1</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Debt to Total Capital</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calculation of working capital is defined as current assets less current liabilities.</w:t>
      </w:r>
    </w:p>
    <w:p>
      <w:pPr>
        <w:spacing w:after="0" w:line="185"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Company’s quick assets (consisting of cash and cash equivalents and receivables) decreased 4.1% from July 2, 2011 to October 1, 2011 due primarily to the decrease in receivables and cash since prior fiscal year end and the impact of the change in foreign currency exchange spot rates at October 1, 2011 as compared with July 2, 2011. Current assets decreased 1.9% due to a decrease in receivables offset by an increase in inventory and the impact of the change in foreign currency exchange spot rates. Current liabilities increased 2.6% primarily due to an increase in short-term borrowings partially offset by a decrease in accounts payables. As a result of the factors noted above, total working capital decreased by 7.3% during the first three months of fiscal 2012. Total debt increased by 25.8% primarily due to the increase in short-term borrowings, total capital increased 4.8% and the debt to capital ratio increased as compared with July 2, 2011 to 32.7%.</w:t>
      </w:r>
    </w:p>
    <w:p>
      <w:pPr>
        <w:spacing w:after="0" w:line="13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 Quantitative and Qualitative Disclosures About Market Risk</w:t>
      </w:r>
    </w:p>
    <w:p>
      <w:pPr>
        <w:spacing w:after="0" w:line="189"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interest rates and foreign currency exchange rates by entering into financial arrangements, from time to time, which are intended to provide a hedge against all or a portion of the risks associated with such volatility. The Company continues to have exposure to such risks to the extent they are not hedged.</w:t>
      </w:r>
    </w:p>
    <w:p>
      <w:pPr>
        <w:spacing w:after="0" w:line="160"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 xml:space="preserve">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 the Company’s Annual Report on Form 10-K for the year ended July 2, 2011 for further discussion of market risks associated with interest rates and foreign currency exchange. Avnet’s exposure to foreign exchange risks have not changed materially since July 2, 2011 as the Company continues to hedge the majority of its foreign exchange exposures. Thus, any increase or decrease in fair value of the Company’s foreign exchange contracts is generally offset by an opposite effect on the related hedged position.</w:t>
      </w:r>
    </w:p>
    <w:p>
      <w:pPr>
        <w:spacing w:after="0" w:line="148"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 and Capital Resources — Financing Transactions</w:t>
      </w:r>
      <w:r>
        <w:rPr>
          <w:rFonts w:ascii="Arial" w:cs="Arial" w:eastAsia="Arial" w:hAnsi="Arial"/>
          <w:sz w:val="18"/>
          <w:szCs w:val="18"/>
          <w:color w:val="auto"/>
        </w:rPr>
        <w:t xml:space="preserve"> appearing in Item 2 of this Form 10-Q for further discussion of the Company’s financing facilities and capital structure. As of October 1, 2011, 60% of the Company’s debt bears interest at a fixed rate and 40% of the Company’s debt bears interest at variable rates. Therefore, a hypothetical 1.0% (100 basis points) increase in interest rates would result in a $1.9 million impact on income before income taxes in the Company’s consolidated statement of operations for the quarter ended October 1, 2011.</w:t>
      </w: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02"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41"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During the first quarter of fiscal 2012, there were no changes to the Company’s internal control over financial reporting (as defined in Rule 13a-15(f) of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OTHER INFORMATION</w:t>
      </w:r>
    </w:p>
    <w:p>
      <w:pPr>
        <w:spacing w:after="0" w:line="19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89"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cleanup at such sites are allocated among potentially responsible parties based upon each party’s relative contribution to the contamination, and other factors.</w:t>
      </w:r>
    </w:p>
    <w:p>
      <w:pPr>
        <w:spacing w:after="0" w:line="152"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Pursuant to SEC regulations, including but not limited to Item 103 of Regulation S-K, the Company regularly assesses the status of and developments in pending environmental legal proceedings to determine whether any such proceedings should be identified specifically in this discussion of legal proceedings, and has concluded that no particular pending environmental legal proceeding requires public disclosure. Based on the information known to date, management believes that the Company has appropriately accrued in its consolidated financial statements for its share of the estimated costs associated with the environmental clean up of sites in which the Company is participating.</w:t>
      </w:r>
    </w:p>
    <w:p>
      <w:pPr>
        <w:spacing w:after="0" w:line="16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and/or its subsidiaries are also parties to various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cash flow or results of operations.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89"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and Section 21E of the Securities Exchange Act of 1934, as amended, with respect to the financial condition, results of operations and business of the Company. You can find many of these statements by looking for words like “believes,” “plans,” “expects,” “anticipates,” “should,” “will,” “may,” “estimates” or similar expressions in this Report or in documents incorporated by reference in this Report. These forward-looking statements are subject to numerous assumptions, risks and uncertainties. You should understand that the following important factors, in addition to those discussed elsewhere in this Quarterly Report and in the Company’s Annual Report on Form 10-K for the fiscal year ended July 2, 2011, could affect the Company’s future results, and could cause those results or other outcomes to differ materially from those expressed or implied in the forward-looking statements:</w:t>
      </w:r>
    </w:p>
    <w:p>
      <w:pPr>
        <w:spacing w:after="0" w:line="139" w:lineRule="exact"/>
        <w:rPr>
          <w:sz w:val="20"/>
          <w:szCs w:val="20"/>
          <w:color w:val="auto"/>
        </w:rPr>
      </w:pPr>
    </w:p>
    <w:p>
      <w:pPr>
        <w:ind w:left="1080" w:hanging="370"/>
        <w:spacing w:after="0"/>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effect of global economic conditions, including the current global economic downturn;</w:t>
      </w:r>
    </w:p>
    <w:p>
      <w:pPr>
        <w:spacing w:after="0" w:line="184" w:lineRule="exact"/>
        <w:rPr>
          <w:rFonts w:ascii="Arial" w:cs="Arial" w:eastAsia="Arial" w:hAnsi="Arial"/>
          <w:sz w:val="18"/>
          <w:szCs w:val="18"/>
          <w:b w:val="1"/>
          <w:bCs w:val="1"/>
          <w:color w:val="auto"/>
        </w:rPr>
      </w:pPr>
    </w:p>
    <w:p>
      <w:pPr>
        <w:ind w:left="1080" w:right="159" w:hanging="370"/>
        <w:spacing w:after="0" w:line="277" w:lineRule="auto"/>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general economic and business conditions (domestic and foreign) affecting Avnet’s financial performance and, indirectly, Avnet’s credit ratings, debt covenant compliance, and liquidity and access to financing;</w:t>
      </w:r>
    </w:p>
    <w:p>
      <w:pPr>
        <w:spacing w:after="0" w:line="129" w:lineRule="exact"/>
        <w:rPr>
          <w:rFonts w:ascii="Arial" w:cs="Arial" w:eastAsia="Arial" w:hAnsi="Arial"/>
          <w:sz w:val="18"/>
          <w:szCs w:val="18"/>
          <w:b w:val="1"/>
          <w:bCs w:val="1"/>
          <w:color w:val="auto"/>
        </w:rPr>
      </w:pPr>
    </w:p>
    <w:p>
      <w:pPr>
        <w:ind w:left="1080" w:right="179" w:hanging="370"/>
        <w:spacing w:after="0" w:line="277" w:lineRule="auto"/>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competitive pressures among distributors of electronic components and computer products resulting in increased competition for existing customers or otherwise;</w:t>
      </w:r>
    </w:p>
    <w:p>
      <w:pPr>
        <w:spacing w:after="0" w:line="143" w:lineRule="exact"/>
        <w:rPr>
          <w:rFonts w:ascii="Arial" w:cs="Arial" w:eastAsia="Arial" w:hAnsi="Arial"/>
          <w:sz w:val="18"/>
          <w:szCs w:val="18"/>
          <w:b w:val="1"/>
          <w:bCs w:val="1"/>
          <w:color w:val="auto"/>
        </w:rPr>
      </w:pPr>
    </w:p>
    <w:p>
      <w:pPr>
        <w:ind w:left="1080" w:right="159" w:hanging="370"/>
        <w:spacing w:after="0" w:line="277" w:lineRule="auto"/>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adverse effects on our supply chain, shipping costs, customers and suppliers, including as a result of issues caused by natural and weather-related disasters;</w:t>
      </w:r>
    </w:p>
    <w:p>
      <w:pPr>
        <w:spacing w:after="0" w:line="129" w:lineRule="exact"/>
        <w:rPr>
          <w:rFonts w:ascii="Arial" w:cs="Arial" w:eastAsia="Arial" w:hAnsi="Arial"/>
          <w:sz w:val="18"/>
          <w:szCs w:val="18"/>
          <w:b w:val="1"/>
          <w:bCs w:val="1"/>
          <w:color w:val="auto"/>
        </w:rPr>
      </w:pPr>
    </w:p>
    <w:p>
      <w:pPr>
        <w:jc w:val="both"/>
        <w:ind w:left="1080" w:right="179" w:hanging="370"/>
        <w:spacing w:after="0" w:line="264" w:lineRule="auto"/>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risks relating to our international sales and operations, including risks relating to the ability to repatriate funds, foreign currency fluctuations, duties and taxes, and compliance with international and U.S. laws that apply to our international operations;</w:t>
      </w:r>
    </w:p>
    <w:p>
      <w:pPr>
        <w:spacing w:after="0" w:line="140"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cyclicality in the technology industry, particularly in the semiconductor sector;</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allocation of products by suppliers; and</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legislative or regulatory changes affecting Avnet’s businesses.</w:t>
      </w:r>
    </w:p>
    <w:p>
      <w:pPr>
        <w:spacing w:after="0" w:line="18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54"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The discussion of Avnet’s business and operations should be read together with the risk factors contained in Item 1A of its 2011 Annual Report on Form 10-K, filed with the Securities and Exchange Commission, which describe various risks and uncertainties to which the Company is or may become subject. These risks and uncertainties have the potential to affect Avnet’s business, financial condition, results of operations, cash flows, strategies or prospects in a material and adverse manner. As of October 1, 2011, there have been no material changes to the risk factors set forth in the Company’s 2011 Annual Report on Form 10-K.</w:t>
      </w:r>
    </w:p>
    <w:p>
      <w:pPr>
        <w:sectPr>
          <w:pgSz w:w="11900" w:h="16838" w:orient="portrait"/>
          <w:cols w:equalWidth="0" w:num="1">
            <w:col w:w="10219"/>
          </w:cols>
          <w:pgMar w:left="240" w:top="419" w:right="1440" w:bottom="46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46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02"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In August 2011, the Company’s Board of Directors approved the repurchase of up to $500 million of the Company’s common stock through a share repurchase program. The following table includes the Company’s monthly purchases of common stock during the first quarter ended October 1, 2011 under the share repurchase program, which is part of a publicly announced plan and purchases of Avnet common stock made on the open market to obtain shares for purchase under the Company’s Employee Stock Purchase Plan (“ESPP”), which is not part of a publicly announced plan:</w:t>
      </w:r>
    </w:p>
    <w:p>
      <w:pPr>
        <w:spacing w:after="0" w:line="40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Total Number of</w:t>
            </w:r>
          </w:p>
        </w:tc>
        <w:tc>
          <w:tcPr>
            <w:tcW w:w="80" w:type="dxa"/>
            <w:vAlign w:val="bottom"/>
          </w:tcPr>
          <w:p>
            <w:pPr>
              <w:spacing w:after="0"/>
              <w:rPr>
                <w:sz w:val="18"/>
                <w:szCs w:val="18"/>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Shares Purchased</w:t>
            </w:r>
          </w:p>
        </w:tc>
        <w:tc>
          <w:tcPr>
            <w:tcW w:w="18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Total Number</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as Part of Publicly</w:t>
            </w:r>
          </w:p>
        </w:tc>
        <w:tc>
          <w:tcPr>
            <w:tcW w:w="18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May Yet Be Purchased</w:t>
            </w:r>
          </w:p>
        </w:tc>
      </w:tr>
      <w:tr>
        <w:trPr>
          <w:trHeight w:val="220"/>
        </w:trPr>
        <w:tc>
          <w:tcPr>
            <w:tcW w:w="1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of Shares</w:t>
            </w:r>
          </w:p>
        </w:tc>
        <w:tc>
          <w:tcPr>
            <w:tcW w:w="120" w:type="dxa"/>
            <w:vAlign w:val="bottom"/>
          </w:tcPr>
          <w:p>
            <w:pPr>
              <w:spacing w:after="0"/>
              <w:rPr>
                <w:sz w:val="19"/>
                <w:szCs w:val="19"/>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Average Price</w:t>
            </w:r>
          </w:p>
        </w:tc>
        <w:tc>
          <w:tcPr>
            <w:tcW w:w="19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Announced Plans or</w:t>
            </w:r>
          </w:p>
        </w:tc>
        <w:tc>
          <w:tcPr>
            <w:tcW w:w="80" w:type="dxa"/>
            <w:vAlign w:val="bottom"/>
          </w:tcPr>
          <w:p>
            <w:pPr>
              <w:spacing w:after="0"/>
              <w:rPr>
                <w:sz w:val="19"/>
                <w:szCs w:val="19"/>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Under the Plans or</w:t>
            </w:r>
          </w:p>
        </w:tc>
      </w:tr>
      <w:tr>
        <w:trPr>
          <w:trHeight w:val="271"/>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280" w:type="dxa"/>
            <w:vAlign w:val="bottom"/>
          </w:tcPr>
          <w:p>
            <w:pPr>
              <w:spacing w:after="0"/>
              <w:rPr>
                <w:sz w:val="23"/>
                <w:szCs w:val="23"/>
                <w:color w:val="auto"/>
              </w:rPr>
            </w:pPr>
          </w:p>
        </w:tc>
        <w:tc>
          <w:tcPr>
            <w:tcW w:w="1780" w:type="dxa"/>
            <w:vAlign w:val="bottom"/>
            <w:gridSpan w:val="2"/>
          </w:tcPr>
          <w:p>
            <w:pPr>
              <w:jc w:val="center"/>
              <w:ind w:right="360"/>
              <w:spacing w:after="0" w:line="271" w:lineRule="exact"/>
              <w:rPr>
                <w:sz w:val="20"/>
                <w:szCs w:val="20"/>
                <w:color w:val="auto"/>
              </w:rPr>
            </w:pPr>
            <w:r>
              <w:rPr>
                <w:rFonts w:ascii="Arial" w:cs="Arial" w:eastAsia="Arial" w:hAnsi="Arial"/>
                <w:sz w:val="18"/>
                <w:szCs w:val="18"/>
                <w:b w:val="1"/>
                <w:bCs w:val="1"/>
                <w:color w:val="auto"/>
                <w:w w:val="83"/>
              </w:rPr>
              <w:t xml:space="preserve">Purchased </w:t>
            </w:r>
            <w:r>
              <w:rPr>
                <w:rFonts w:ascii="Arial" w:cs="Arial" w:eastAsia="Arial" w:hAnsi="Arial"/>
                <w:sz w:val="30"/>
                <w:szCs w:val="30"/>
                <w:b w:val="1"/>
                <w:bCs w:val="1"/>
                <w:color w:val="auto"/>
                <w:w w:val="83"/>
                <w:vertAlign w:val="superscript"/>
              </w:rPr>
              <w:t>(1)</w:t>
            </w:r>
          </w:p>
        </w:tc>
        <w:tc>
          <w:tcPr>
            <w:tcW w:w="120" w:type="dxa"/>
            <w:vAlign w:val="bottom"/>
          </w:tcPr>
          <w:p>
            <w:pPr>
              <w:spacing w:after="0"/>
              <w:rPr>
                <w:sz w:val="23"/>
                <w:szCs w:val="23"/>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Paid per Share</w:t>
            </w:r>
          </w:p>
        </w:tc>
        <w:tc>
          <w:tcPr>
            <w:tcW w:w="19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Programs</w:t>
            </w:r>
          </w:p>
        </w:tc>
        <w:tc>
          <w:tcPr>
            <w:tcW w:w="80" w:type="dxa"/>
            <w:vAlign w:val="bottom"/>
          </w:tcPr>
          <w:p>
            <w:pPr>
              <w:spacing w:after="0"/>
              <w:rPr>
                <w:sz w:val="23"/>
                <w:szCs w:val="23"/>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Programs</w:t>
            </w:r>
          </w:p>
        </w:tc>
      </w:tr>
      <w:tr>
        <w:trPr>
          <w:trHeight w:val="210"/>
        </w:trPr>
        <w:tc>
          <w:tcPr>
            <w:tcW w:w="1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w:t>
            </w:r>
          </w:p>
        </w:tc>
        <w:tc>
          <w:tcPr>
            <w:tcW w:w="2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28.58</w:t>
            </w:r>
          </w:p>
        </w:tc>
        <w:tc>
          <w:tcPr>
            <w:tcW w:w="1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August</w:t>
            </w:r>
          </w:p>
        </w:tc>
        <w:tc>
          <w:tcPr>
            <w:tcW w:w="2060" w:type="dxa"/>
            <w:vAlign w:val="bottom"/>
            <w:gridSpan w:val="3"/>
          </w:tcPr>
          <w:p>
            <w:pPr>
              <w:jc w:val="right"/>
              <w:ind w:right="360"/>
              <w:spacing w:after="0"/>
              <w:rPr>
                <w:sz w:val="20"/>
                <w:szCs w:val="20"/>
                <w:color w:val="auto"/>
              </w:rPr>
            </w:pPr>
            <w:r>
              <w:rPr>
                <w:rFonts w:ascii="Arial" w:cs="Arial" w:eastAsia="Arial" w:hAnsi="Arial"/>
                <w:sz w:val="18"/>
                <w:szCs w:val="18"/>
                <w:color w:val="auto"/>
              </w:rPr>
              <w:t>856,100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26.22</w:t>
            </w:r>
          </w:p>
        </w:tc>
        <w:tc>
          <w:tcPr>
            <w:tcW w:w="1920" w:type="dxa"/>
            <w:vAlign w:val="bottom"/>
            <w:gridSpan w:val="2"/>
          </w:tcPr>
          <w:p>
            <w:pPr>
              <w:jc w:val="right"/>
              <w:ind w:right="380"/>
              <w:spacing w:after="0"/>
              <w:rPr>
                <w:sz w:val="20"/>
                <w:szCs w:val="20"/>
                <w:color w:val="auto"/>
              </w:rPr>
            </w:pPr>
            <w:r>
              <w:rPr>
                <w:rFonts w:ascii="Arial" w:cs="Arial" w:eastAsia="Arial" w:hAnsi="Arial"/>
                <w:sz w:val="18"/>
                <w:szCs w:val="18"/>
                <w:color w:val="auto"/>
              </w:rPr>
              <w:t>850,000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477,703,619</w:t>
            </w: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w:t>
            </w:r>
          </w:p>
        </w:tc>
        <w:tc>
          <w:tcPr>
            <w:tcW w:w="2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2,605,700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26.35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409,139,892</w:t>
            </w:r>
          </w:p>
        </w:tc>
      </w:tr>
      <w:tr>
        <w:trPr>
          <w:trHeight w:val="176"/>
        </w:trPr>
        <w:tc>
          <w:tcPr>
            <w:tcW w:w="17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75" w:lineRule="exact"/>
        <w:rPr>
          <w:sz w:val="20"/>
          <w:szCs w:val="20"/>
          <w:color w:val="auto"/>
        </w:rPr>
      </w:pPr>
    </w:p>
    <w:p>
      <w:pPr>
        <w:ind w:left="720" w:right="159" w:hanging="388"/>
        <w:spacing w:after="0" w:line="277" w:lineRule="auto"/>
        <w:tabs>
          <w:tab w:leader="none" w:pos="7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Includes purchases of Avnet’s common stock associated with the Company’s ESPP as follows: 4,500 shares in July, 6,100 shares in August and 5,700 shares in September.</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6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 xml:space="preserve">Item 6.   </w:t>
            </w:r>
            <w:r>
              <w:rPr>
                <w:rFonts w:ascii="Arial" w:cs="Arial" w:eastAsia="Arial" w:hAnsi="Arial"/>
                <w:sz w:val="18"/>
                <w:szCs w:val="18"/>
                <w:b w:val="1"/>
                <w:bCs w:val="1"/>
                <w:i w:val="1"/>
                <w:iCs w:val="1"/>
                <w:color w:val="auto"/>
                <w:w w:val="95"/>
              </w:rPr>
              <w:t>Exhibits</w:t>
            </w:r>
          </w:p>
        </w:tc>
        <w:tc>
          <w:tcPr>
            <w:tcW w:w="28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Exhibit</w:t>
            </w:r>
          </w:p>
        </w:tc>
        <w:tc>
          <w:tcPr>
            <w:tcW w:w="28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Number</w:t>
            </w:r>
          </w:p>
        </w:tc>
        <w:tc>
          <w:tcPr>
            <w:tcW w:w="814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w:t>
            </w:r>
          </w:p>
        </w:tc>
      </w:tr>
      <w:tr>
        <w:trPr>
          <w:trHeight w:val="20"/>
        </w:trPr>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60" w:type="dxa"/>
            <w:vAlign w:val="bottom"/>
            <w:shd w:val="clear" w:color="auto" w:fill="000000"/>
          </w:tcPr>
          <w:p>
            <w:pPr>
              <w:spacing w:after="0" w:line="20" w:lineRule="exact"/>
              <w:rPr>
                <w:sz w:val="1"/>
                <w:szCs w:val="1"/>
                <w:color w:val="auto"/>
              </w:rPr>
            </w:pPr>
          </w:p>
        </w:tc>
      </w:tr>
      <w:tr>
        <w:trPr>
          <w:trHeight w:val="411"/>
        </w:trPr>
        <w:tc>
          <w:tcPr>
            <w:tcW w:w="340" w:type="dxa"/>
            <w:vAlign w:val="bottom"/>
          </w:tcPr>
          <w:p>
            <w:pPr>
              <w:spacing w:after="0"/>
              <w:rPr>
                <w:sz w:val="24"/>
                <w:szCs w:val="24"/>
                <w:color w:val="auto"/>
              </w:rPr>
            </w:pPr>
          </w:p>
        </w:tc>
        <w:tc>
          <w:tcPr>
            <w:tcW w:w="1580" w:type="dxa"/>
            <w:vAlign w:val="bottom"/>
            <w:gridSpan w:val="2"/>
          </w:tcPr>
          <w:p>
            <w:pPr>
              <w:ind w:left="800"/>
              <w:spacing w:after="0"/>
              <w:rPr>
                <w:sz w:val="20"/>
                <w:szCs w:val="20"/>
                <w:color w:val="auto"/>
              </w:rPr>
            </w:pPr>
            <w:r>
              <w:rPr>
                <w:rFonts w:ascii="Arial" w:cs="Arial" w:eastAsia="Arial" w:hAnsi="Arial"/>
                <w:sz w:val="18"/>
                <w:szCs w:val="18"/>
                <w:color w:val="auto"/>
              </w:rPr>
              <w:t>10.1</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w w:val="89"/>
              </w:rPr>
              <w:t>Amendment No. 2, dated as of August 25, 2011, to the Second Amended and Restated Receivables Purchase</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w w:val="97"/>
              </w:rPr>
              <w:t>Agreement (incorporated herein by reference to the Company’s Current Report on Form 8-K dated</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August 26, 2011, Exhibit 10.1)</w:t>
            </w:r>
          </w:p>
        </w:tc>
      </w:tr>
      <w:tr>
        <w:trPr>
          <w:trHeight w:val="432"/>
        </w:trPr>
        <w:tc>
          <w:tcPr>
            <w:tcW w:w="1920" w:type="dxa"/>
            <w:vAlign w:val="bottom"/>
            <w:gridSpan w:val="3"/>
          </w:tcPr>
          <w:p>
            <w:pPr>
              <w:ind w:left="1140"/>
              <w:spacing w:after="0"/>
              <w:rPr>
                <w:sz w:val="20"/>
                <w:szCs w:val="20"/>
                <w:color w:val="auto"/>
              </w:rPr>
            </w:pPr>
            <w:r>
              <w:rPr>
                <w:rFonts w:ascii="Arial" w:cs="Arial" w:eastAsia="Arial" w:hAnsi="Arial"/>
                <w:sz w:val="18"/>
                <w:szCs w:val="18"/>
                <w:color w:val="auto"/>
              </w:rPr>
              <w:t>31.1*</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432"/>
        </w:trPr>
        <w:tc>
          <w:tcPr>
            <w:tcW w:w="1920" w:type="dxa"/>
            <w:vAlign w:val="bottom"/>
            <w:gridSpan w:val="3"/>
          </w:tcPr>
          <w:p>
            <w:pPr>
              <w:ind w:left="1140"/>
              <w:spacing w:after="0"/>
              <w:rPr>
                <w:sz w:val="20"/>
                <w:szCs w:val="20"/>
                <w:color w:val="auto"/>
              </w:rPr>
            </w:pPr>
            <w:r>
              <w:rPr>
                <w:rFonts w:ascii="Arial" w:cs="Arial" w:eastAsia="Arial" w:hAnsi="Arial"/>
                <w:sz w:val="18"/>
                <w:szCs w:val="18"/>
                <w:color w:val="auto"/>
              </w:rPr>
              <w:t>31.2*</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432"/>
        </w:trPr>
        <w:tc>
          <w:tcPr>
            <w:tcW w:w="1920" w:type="dxa"/>
            <w:vAlign w:val="bottom"/>
            <w:gridSpan w:val="3"/>
          </w:tcPr>
          <w:p>
            <w:pPr>
              <w:ind w:left="1140"/>
              <w:spacing w:after="0"/>
              <w:rPr>
                <w:sz w:val="20"/>
                <w:szCs w:val="20"/>
                <w:color w:val="auto"/>
              </w:rPr>
            </w:pPr>
            <w:r>
              <w:rPr>
                <w:rFonts w:ascii="Arial" w:cs="Arial" w:eastAsia="Arial" w:hAnsi="Arial"/>
                <w:sz w:val="18"/>
                <w:szCs w:val="18"/>
                <w:color w:val="auto"/>
              </w:rPr>
              <w:t>32.1**</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432"/>
        </w:trPr>
        <w:tc>
          <w:tcPr>
            <w:tcW w:w="1920" w:type="dxa"/>
            <w:vAlign w:val="bottom"/>
            <w:gridSpan w:val="3"/>
          </w:tcPr>
          <w:p>
            <w:pPr>
              <w:ind w:left="1140"/>
              <w:spacing w:after="0"/>
              <w:rPr>
                <w:sz w:val="20"/>
                <w:szCs w:val="20"/>
                <w:color w:val="auto"/>
              </w:rPr>
            </w:pPr>
            <w:r>
              <w:rPr>
                <w:rFonts w:ascii="Arial" w:cs="Arial" w:eastAsia="Arial" w:hAnsi="Arial"/>
                <w:sz w:val="18"/>
                <w:szCs w:val="18"/>
                <w:color w:val="auto"/>
              </w:rPr>
              <w:t>32.2**</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432"/>
        </w:trPr>
        <w:tc>
          <w:tcPr>
            <w:tcW w:w="340" w:type="dxa"/>
            <w:vAlign w:val="bottom"/>
          </w:tcPr>
          <w:p>
            <w:pPr>
              <w:spacing w:after="0"/>
              <w:rPr>
                <w:sz w:val="24"/>
                <w:szCs w:val="24"/>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101.INS**</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XBRL Instance Document.</w:t>
            </w:r>
          </w:p>
        </w:tc>
      </w:tr>
      <w:tr>
        <w:trPr>
          <w:trHeight w:val="432"/>
        </w:trPr>
        <w:tc>
          <w:tcPr>
            <w:tcW w:w="340" w:type="dxa"/>
            <w:vAlign w:val="bottom"/>
          </w:tcPr>
          <w:p>
            <w:pPr>
              <w:spacing w:after="0"/>
              <w:rPr>
                <w:sz w:val="24"/>
                <w:szCs w:val="24"/>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101.SCH**</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340" w:type="dxa"/>
            <w:vAlign w:val="bottom"/>
          </w:tcPr>
          <w:p>
            <w:pPr>
              <w:spacing w:after="0"/>
              <w:rPr>
                <w:sz w:val="24"/>
                <w:szCs w:val="24"/>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101.CAL**</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340" w:type="dxa"/>
            <w:vAlign w:val="bottom"/>
          </w:tcPr>
          <w:p>
            <w:pPr>
              <w:spacing w:after="0"/>
              <w:rPr>
                <w:sz w:val="24"/>
                <w:szCs w:val="24"/>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101.LAB**</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340" w:type="dxa"/>
            <w:vAlign w:val="bottom"/>
          </w:tcPr>
          <w:p>
            <w:pPr>
              <w:spacing w:after="0"/>
              <w:rPr>
                <w:sz w:val="24"/>
                <w:szCs w:val="24"/>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101.PRE**</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120015</wp:posOffset>
            </wp:positionV>
            <wp:extent cx="11150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357" w:lineRule="exact"/>
        <w:rPr>
          <w:sz w:val="20"/>
          <w:szCs w:val="20"/>
          <w:color w:val="auto"/>
        </w:rPr>
      </w:pPr>
    </w:p>
    <w:p>
      <w:pPr>
        <w:ind w:left="720" w:hanging="388"/>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jc w:val="both"/>
        <w:ind w:left="720" w:right="159" w:hanging="388"/>
        <w:spacing w:after="0" w:line="259"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as amended, except as expressly set forth by specific reference in such filing.</w:t>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left="340" w:right="159"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By: /s/ RAYMOND SADOWSKI</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-130810</wp:posOffset>
            </wp:positionV>
            <wp:extent cx="21780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Chief Financial Officer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October 28, 2011</w:t>
      </w:r>
    </w:p>
    <w:p>
      <w:pPr>
        <w:spacing w:after="0" w:line="200" w:lineRule="exact"/>
        <w:rPr>
          <w:sz w:val="20"/>
          <w:szCs w:val="20"/>
          <w:color w:val="auto"/>
        </w:rPr>
      </w:pPr>
    </w:p>
    <w:p>
      <w:pPr>
        <w:spacing w:after="0" w:line="39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19"/>
          </w:cols>
          <w:pgMar w:left="240" w:top="419" w:right="1440" w:bottom="1440" w:gutter="0" w:footer="0" w:header="0"/>
        </w:sectPr>
      </w:pPr>
    </w:p>
    <w:bookmarkStart w:id="29" w:name="page30"/>
    <w:bookmarkEnd w:id="29"/>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Richard Hamada, certify that:</w:t>
      </w:r>
    </w:p>
    <w:p>
      <w:pPr>
        <w:spacing w:after="0" w:line="185" w:lineRule="exact"/>
        <w:rPr>
          <w:sz w:val="20"/>
          <w:szCs w:val="20"/>
          <w:color w:val="auto"/>
        </w:rPr>
      </w:pPr>
    </w:p>
    <w:p>
      <w:pPr>
        <w:ind w:left="740" w:hanging="370"/>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84" w:lineRule="exact"/>
        <w:rPr>
          <w:rFonts w:ascii="Arial" w:cs="Arial" w:eastAsia="Arial" w:hAnsi="Arial"/>
          <w:sz w:val="18"/>
          <w:szCs w:val="18"/>
          <w:color w:val="auto"/>
        </w:rPr>
      </w:pPr>
    </w:p>
    <w:p>
      <w:pPr>
        <w:ind w:left="740" w:right="279" w:hanging="370"/>
        <w:spacing w:after="0" w:line="264"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40" w:right="299" w:hanging="370"/>
        <w:spacing w:after="0" w:line="264"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740" w:right="519" w:hanging="370"/>
        <w:spacing w:after="0" w:line="286"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7"/>
          <w:szCs w:val="17"/>
          <w:color w:val="auto"/>
        </w:rPr>
      </w:pPr>
    </w:p>
    <w:p>
      <w:pPr>
        <w:ind w:left="1540" w:right="379" w:hanging="386"/>
        <w:spacing w:after="0" w:line="259" w:lineRule="auto"/>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540" w:right="179" w:hanging="386"/>
        <w:spacing w:after="0" w:line="259" w:lineRule="auto"/>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1540" w:right="219" w:hanging="386"/>
        <w:spacing w:after="0" w:line="264" w:lineRule="auto"/>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left="1540" w:right="459" w:hanging="386"/>
        <w:spacing w:after="0" w:line="259" w:lineRule="auto"/>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ind w:left="740" w:right="239" w:hanging="370"/>
        <w:spacing w:after="0" w:line="264"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40" w:lineRule="exact"/>
        <w:rPr>
          <w:rFonts w:ascii="Arial" w:cs="Arial" w:eastAsia="Arial" w:hAnsi="Arial"/>
          <w:sz w:val="18"/>
          <w:szCs w:val="18"/>
          <w:color w:val="auto"/>
        </w:rPr>
      </w:pPr>
    </w:p>
    <w:p>
      <w:pPr>
        <w:ind w:left="1540" w:right="159" w:hanging="386"/>
        <w:spacing w:after="0" w:line="264" w:lineRule="auto"/>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1540" w:right="299" w:hanging="386"/>
        <w:spacing w:after="0" w:line="277" w:lineRule="auto"/>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2011</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RICHARD HAMADA</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Richard Hamada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-130810</wp:posOffset>
            </wp:positionV>
            <wp:extent cx="22809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9879"/>
          </w:cols>
          <w:pgMar w:left="580" w:top="121" w:right="1440" w:bottom="1440" w:gutter="0" w:footer="0" w:header="0"/>
        </w:sectPr>
      </w:pPr>
    </w:p>
    <w:bookmarkStart w:id="30" w:name="page31"/>
    <w:bookmarkEnd w:id="30"/>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Raymond Sadowski, certify that:</w:t>
      </w:r>
    </w:p>
    <w:p>
      <w:pPr>
        <w:spacing w:after="0" w:line="185" w:lineRule="exact"/>
        <w:rPr>
          <w:sz w:val="20"/>
          <w:szCs w:val="20"/>
          <w:color w:val="auto"/>
        </w:rPr>
      </w:pPr>
    </w:p>
    <w:p>
      <w:pPr>
        <w:ind w:left="740" w:hanging="370"/>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84" w:lineRule="exact"/>
        <w:rPr>
          <w:rFonts w:ascii="Arial" w:cs="Arial" w:eastAsia="Arial" w:hAnsi="Arial"/>
          <w:sz w:val="18"/>
          <w:szCs w:val="18"/>
          <w:color w:val="auto"/>
        </w:rPr>
      </w:pPr>
    </w:p>
    <w:p>
      <w:pPr>
        <w:ind w:left="740" w:right="279" w:hanging="370"/>
        <w:spacing w:after="0" w:line="264"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40" w:right="299" w:hanging="370"/>
        <w:spacing w:after="0" w:line="264"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740" w:right="519" w:hanging="370"/>
        <w:spacing w:after="0" w:line="286" w:lineRule="auto"/>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7"/>
          <w:szCs w:val="17"/>
          <w:color w:val="auto"/>
        </w:rPr>
      </w:pPr>
    </w:p>
    <w:p>
      <w:pPr>
        <w:ind w:left="1540" w:right="379" w:hanging="386"/>
        <w:spacing w:after="0" w:line="259" w:lineRule="auto"/>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540" w:right="179" w:hanging="386"/>
        <w:spacing w:after="0" w:line="259" w:lineRule="auto"/>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1540" w:right="219" w:hanging="386"/>
        <w:spacing w:after="0" w:line="264" w:lineRule="auto"/>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left="1540" w:right="459" w:hanging="386"/>
        <w:spacing w:after="0" w:line="259" w:lineRule="auto"/>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ind w:left="740" w:right="239" w:hanging="370"/>
        <w:spacing w:after="0" w:line="264"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40" w:lineRule="exact"/>
        <w:rPr>
          <w:rFonts w:ascii="Arial" w:cs="Arial" w:eastAsia="Arial" w:hAnsi="Arial"/>
          <w:sz w:val="18"/>
          <w:szCs w:val="18"/>
          <w:color w:val="auto"/>
        </w:rPr>
      </w:pPr>
    </w:p>
    <w:p>
      <w:pPr>
        <w:ind w:left="1540" w:right="159" w:hanging="386"/>
        <w:spacing w:after="0" w:line="264" w:lineRule="auto"/>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1540" w:right="299" w:hanging="386"/>
        <w:spacing w:after="0" w:line="277" w:lineRule="auto"/>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2011</w:t>
      </w:r>
    </w:p>
    <w:p>
      <w:pPr>
        <w:spacing w:after="0" w:line="200" w:lineRule="exact"/>
        <w:rPr>
          <w:sz w:val="20"/>
          <w:szCs w:val="20"/>
          <w:color w:val="auto"/>
        </w:rPr>
      </w:pPr>
    </w:p>
    <w:p>
      <w:pPr>
        <w:spacing w:after="0" w:line="24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RAYMOND SADOWSKI</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-130810</wp:posOffset>
            </wp:positionV>
            <wp:extent cx="22809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9879"/>
          </w:cols>
          <w:pgMar w:left="580" w:top="121" w:right="1440" w:bottom="1440" w:gutter="0" w:footer="0" w:header="0"/>
        </w:sectPr>
      </w:pPr>
    </w:p>
    <w:bookmarkStart w:id="31" w:name="page32"/>
    <w:bookmarkEnd w:id="31"/>
    <w:p>
      <w:pPr>
        <w:jc w:val="right"/>
        <w:ind w:right="1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ERTIFICATION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URSUANT TO</w:t>
      </w:r>
      <w:r>
        <w:rPr>
          <w:rFonts w:ascii="Arial" w:cs="Arial" w:eastAsia="Arial" w:hAnsi="Arial"/>
          <w:sz w:val="18"/>
          <w:szCs w:val="18"/>
          <w:b w:val="1"/>
          <w:bCs w:val="1"/>
          <w:color w:val="auto"/>
        </w:rPr>
        <w:t xml:space="preserve"> 18 U.S.C.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1350</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2"/>
          <w:szCs w:val="12"/>
          <w:b w:val="1"/>
          <w:bCs w:val="1"/>
          <w:color w:val="auto"/>
        </w:rPr>
        <w:t>AS ADOPTED PURSUANT 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906 </w:t>
      </w:r>
      <w:r>
        <w:rPr>
          <w:rFonts w:ascii="Arial" w:cs="Arial" w:eastAsia="Arial" w:hAnsi="Arial"/>
          <w:sz w:val="12"/>
          <w:szCs w:val="12"/>
          <w:b w:val="1"/>
          <w:bCs w:val="1"/>
          <w:color w:val="auto"/>
        </w:rPr>
        <w:t>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ARBANES</w:t>
      </w:r>
      <w:r>
        <w:rPr>
          <w:rFonts w:ascii="Arial" w:cs="Arial" w:eastAsia="Arial" w:hAnsi="Arial"/>
          <w:sz w:val="18"/>
          <w:szCs w:val="18"/>
          <w:b w:val="1"/>
          <w:bCs w:val="1"/>
          <w:color w:val="auto"/>
        </w:rPr>
        <w:t>-O</w:t>
      </w:r>
      <w:r>
        <w:rPr>
          <w:rFonts w:ascii="Arial" w:cs="Arial" w:eastAsia="Arial" w:hAnsi="Arial"/>
          <w:sz w:val="12"/>
          <w:szCs w:val="12"/>
          <w:b w:val="1"/>
          <w:bCs w:val="1"/>
          <w:color w:val="auto"/>
        </w:rPr>
        <w:t>XLEY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 OF</w:t>
      </w:r>
      <w:r>
        <w:rPr>
          <w:rFonts w:ascii="Arial" w:cs="Arial" w:eastAsia="Arial" w:hAnsi="Arial"/>
          <w:sz w:val="18"/>
          <w:szCs w:val="18"/>
          <w:b w:val="1"/>
          <w:bCs w:val="1"/>
          <w:color w:val="auto"/>
        </w:rPr>
        <w:t xml:space="preserve"> 2002)</w:t>
      </w:r>
    </w:p>
    <w:p>
      <w:pPr>
        <w:spacing w:after="0" w:line="184"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October 1, 2011 (the “Report”), I, Richard Hamada, Chief Executive Officer of Avnet, Inc., (the “Company”) hereby certify that:</w:t>
      </w:r>
    </w:p>
    <w:p>
      <w:pPr>
        <w:spacing w:after="0" w:line="130" w:lineRule="exact"/>
        <w:rPr>
          <w:sz w:val="20"/>
          <w:szCs w:val="20"/>
          <w:color w:val="auto"/>
        </w:rPr>
      </w:pPr>
    </w:p>
    <w:p>
      <w:pPr>
        <w:ind w:left="740" w:right="159" w:hanging="370"/>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left="740" w:right="159" w:hanging="370"/>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2011</w:t>
      </w:r>
    </w:p>
    <w:p>
      <w:pPr>
        <w:spacing w:after="0" w:line="200" w:lineRule="exact"/>
        <w:rPr>
          <w:sz w:val="20"/>
          <w:szCs w:val="20"/>
          <w:color w:val="auto"/>
        </w:rPr>
      </w:pPr>
    </w:p>
    <w:p>
      <w:pPr>
        <w:spacing w:after="0" w:line="24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RICHARD HAMADA</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Richard Hamada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-130810</wp:posOffset>
            </wp:positionV>
            <wp:extent cx="22809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9879"/>
          </w:cols>
          <w:pgMar w:left="580" w:top="121" w:right="1440" w:bottom="1440" w:gutter="0" w:footer="0" w:header="0"/>
        </w:sectPr>
      </w:pPr>
    </w:p>
    <w:bookmarkStart w:id="32" w:name="page33"/>
    <w:bookmarkEnd w:id="32"/>
    <w:p>
      <w:pPr>
        <w:jc w:val="right"/>
        <w:ind w:right="1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ERTIFICATION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URSUANT TO</w:t>
      </w:r>
      <w:r>
        <w:rPr>
          <w:rFonts w:ascii="Arial" w:cs="Arial" w:eastAsia="Arial" w:hAnsi="Arial"/>
          <w:sz w:val="18"/>
          <w:szCs w:val="18"/>
          <w:b w:val="1"/>
          <w:bCs w:val="1"/>
          <w:color w:val="auto"/>
        </w:rPr>
        <w:t xml:space="preserve"> 18 U.S.C.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1350</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2"/>
          <w:szCs w:val="12"/>
          <w:b w:val="1"/>
          <w:bCs w:val="1"/>
          <w:color w:val="auto"/>
        </w:rPr>
        <w:t>AS ADOPTED PURSUANT 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906 </w:t>
      </w:r>
      <w:r>
        <w:rPr>
          <w:rFonts w:ascii="Arial" w:cs="Arial" w:eastAsia="Arial" w:hAnsi="Arial"/>
          <w:sz w:val="12"/>
          <w:szCs w:val="12"/>
          <w:b w:val="1"/>
          <w:bCs w:val="1"/>
          <w:color w:val="auto"/>
        </w:rPr>
        <w:t>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ARBANES</w:t>
      </w:r>
      <w:r>
        <w:rPr>
          <w:rFonts w:ascii="Arial" w:cs="Arial" w:eastAsia="Arial" w:hAnsi="Arial"/>
          <w:sz w:val="18"/>
          <w:szCs w:val="18"/>
          <w:b w:val="1"/>
          <w:bCs w:val="1"/>
          <w:color w:val="auto"/>
        </w:rPr>
        <w:t>-O</w:t>
      </w:r>
      <w:r>
        <w:rPr>
          <w:rFonts w:ascii="Arial" w:cs="Arial" w:eastAsia="Arial" w:hAnsi="Arial"/>
          <w:sz w:val="12"/>
          <w:szCs w:val="12"/>
          <w:b w:val="1"/>
          <w:bCs w:val="1"/>
          <w:color w:val="auto"/>
        </w:rPr>
        <w:t>XLEY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 OF</w:t>
      </w:r>
      <w:r>
        <w:rPr>
          <w:rFonts w:ascii="Arial" w:cs="Arial" w:eastAsia="Arial" w:hAnsi="Arial"/>
          <w:sz w:val="18"/>
          <w:szCs w:val="18"/>
          <w:b w:val="1"/>
          <w:bCs w:val="1"/>
          <w:color w:val="auto"/>
        </w:rPr>
        <w:t xml:space="preserve"> 2002)</w:t>
      </w:r>
    </w:p>
    <w:p>
      <w:pPr>
        <w:spacing w:after="0" w:line="184"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October 1, 2011 (the “Report”), I, Raymond Sadowski, Chief Financial Officer of Avnet, Inc., (the “Company”) hereby certify that:</w:t>
      </w:r>
    </w:p>
    <w:p>
      <w:pPr>
        <w:spacing w:after="0" w:line="130" w:lineRule="exact"/>
        <w:rPr>
          <w:sz w:val="20"/>
          <w:szCs w:val="20"/>
          <w:color w:val="auto"/>
        </w:rPr>
      </w:pPr>
    </w:p>
    <w:p>
      <w:pPr>
        <w:ind w:left="740" w:right="159" w:hanging="370"/>
        <w:spacing w:after="0" w:line="277"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left="740" w:right="159" w:hanging="370"/>
        <w:spacing w:after="0" w:line="277"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2011</w:t>
      </w:r>
    </w:p>
    <w:p>
      <w:pPr>
        <w:spacing w:after="0" w:line="200" w:lineRule="exact"/>
        <w:rPr>
          <w:sz w:val="20"/>
          <w:szCs w:val="20"/>
          <w:color w:val="auto"/>
        </w:rPr>
      </w:pPr>
    </w:p>
    <w:p>
      <w:pPr>
        <w:spacing w:after="0" w:line="24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RAYMOND SADOWSKI</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-130810</wp:posOffset>
            </wp:positionV>
            <wp:extent cx="22809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6"/>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4"/>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2019-12-09T21:47:36Z</dcterms:created>
  <dcterms:modified xsi:type="dcterms:W3CDTF">2019-12-09T21:47:36Z</dcterms:modified>
</cp:coreProperties>
</file>