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343535</wp:posOffset>
            </wp:positionV>
            <wp:extent cx="57575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75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368300</wp:posOffset>
            </wp:positionV>
            <wp:extent cx="5757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75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2160270</wp:posOffset>
            </wp:positionH>
            <wp:positionV relativeFrom="paragraph">
              <wp:posOffset>152400</wp:posOffset>
            </wp:positionV>
            <wp:extent cx="1437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7640" cy="8255"/>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2160270</wp:posOffset>
            </wp:positionH>
            <wp:positionV relativeFrom="paragraph">
              <wp:posOffset>86995</wp:posOffset>
            </wp:positionV>
            <wp:extent cx="14376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7640" cy="1651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PURSUANT TO SECTION 13 OR 15(d) OF THE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EXCHANGE ACT OF 1934</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For the quarterly period ended September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2160270</wp:posOffset>
            </wp:positionH>
            <wp:positionV relativeFrom="paragraph">
              <wp:posOffset>84455</wp:posOffset>
            </wp:positionV>
            <wp:extent cx="1437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7640" cy="8255"/>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#1-4224</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AVNET, INC.</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Incorporated in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2160270</wp:posOffset>
            </wp:positionH>
            <wp:positionV relativeFrom="paragraph">
              <wp:posOffset>80645</wp:posOffset>
            </wp:positionV>
            <wp:extent cx="1437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7640" cy="8255"/>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IRS Employer Identification No. 11-1890605</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2211 South 47</w:t>
      </w:r>
      <w:r>
        <w:rPr>
          <w:rFonts w:ascii="Arial" w:cs="Arial" w:eastAsia="Arial" w:hAnsi="Arial"/>
          <w:sz w:val="8"/>
          <w:szCs w:val="8"/>
          <w:color w:val="auto"/>
        </w:rPr>
        <w:t>th</w:t>
      </w:r>
      <w:r>
        <w:rPr>
          <w:rFonts w:ascii="Arial" w:cs="Arial" w:eastAsia="Arial" w:hAnsi="Arial"/>
          <w:sz w:val="17"/>
          <w:szCs w:val="17"/>
          <w:color w:val="auto"/>
        </w:rPr>
        <w:t xml:space="preserve"> Street, Phoenix, Arizona 85034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(480) 643-2000</w:t>
      </w:r>
    </w:p>
    <w:p>
      <w:pPr>
        <w:spacing w:after="0" w:line="63" w:lineRule="exact"/>
        <w:rPr>
          <w:sz w:val="24"/>
          <w:szCs w:val="24"/>
          <w:color w:val="auto"/>
        </w:rPr>
      </w:pPr>
    </w:p>
    <w:p>
      <w:pPr>
        <w:jc w:val="both"/>
        <w:ind w:firstLine="410"/>
        <w:spacing w:after="0" w:line="21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jc w:val="both"/>
        <w:ind w:firstLine="414"/>
        <w:spacing w:after="0" w:line="262"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47" w:lineRule="exact"/>
        <w:rPr>
          <w:sz w:val="24"/>
          <w:szCs w:val="24"/>
          <w:color w:val="auto"/>
        </w:rPr>
      </w:pPr>
    </w:p>
    <w:p>
      <w:pPr>
        <w:jc w:val="both"/>
        <w:ind w:firstLine="410"/>
        <w:spacing w:after="0" w:line="26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60"/>
          </w:cols>
          <w:pgMar w:left="1420" w:top="231" w:right="1419" w:bottom="1440" w:gutter="0" w:footer="0" w:header="0"/>
        </w:sectPr>
      </w:pPr>
    </w:p>
    <w:p>
      <w:pPr>
        <w:spacing w:after="0" w:line="37" w:lineRule="exact"/>
        <w:rPr>
          <w:sz w:val="24"/>
          <w:szCs w:val="24"/>
          <w:color w:val="auto"/>
        </w:rPr>
      </w:pPr>
    </w:p>
    <w:p>
      <w:pPr>
        <w:ind w:left="6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98" w:lineRule="exact"/>
        <w:rPr>
          <w:sz w:val="24"/>
          <w:szCs w:val="24"/>
          <w:color w:val="auto"/>
        </w:rPr>
      </w:pPr>
    </w:p>
    <w:p>
      <w:pPr>
        <w:sectPr>
          <w:pgSz w:w="11900" w:h="16838" w:orient="portrait"/>
          <w:cols w:equalWidth="0" w:num="2">
            <w:col w:w="5180" w:space="720"/>
            <w:col w:w="3160"/>
          </w:cols>
          <w:pgMar w:left="1420" w:top="231" w:right="1419" w:bottom="1440" w:gutter="0" w:footer="0" w:header="0"/>
          <w:type w:val="continuous"/>
        </w:sectPr>
      </w:pPr>
    </w:p>
    <w:p>
      <w:pPr>
        <w:ind w:left="60" w:right="160"/>
        <w:spacing w:after="0" w:line="220"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a smaller reporting company) 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288" w:lineRule="exact"/>
        <w:rPr>
          <w:sz w:val="24"/>
          <w:szCs w:val="24"/>
          <w:color w:val="auto"/>
        </w:rPr>
      </w:pPr>
    </w:p>
    <w:p>
      <w:pPr>
        <w:sectPr>
          <w:pgSz w:w="11900" w:h="16838" w:orient="portrait"/>
          <w:cols w:equalWidth="0" w:num="2">
            <w:col w:w="5180" w:space="720"/>
            <w:col w:w="3160"/>
          </w:cols>
          <w:pgMar w:left="1420" w:top="231" w:right="1419" w:bottom="1440" w:gutter="0" w:footer="0" w:header="0"/>
          <w:type w:val="continuous"/>
        </w:sectPr>
      </w:pPr>
    </w:p>
    <w:p>
      <w:pPr>
        <w:ind w:firstLine="410"/>
        <w:spacing w:after="0" w:line="22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ind w:left="42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63" w:lineRule="exact"/>
        <w:rPr>
          <w:sz w:val="24"/>
          <w:szCs w:val="24"/>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81" w:lineRule="exact"/>
        <w:rPr>
          <w:sz w:val="24"/>
          <w:szCs w:val="24"/>
          <w:color w:val="auto"/>
        </w:rPr>
      </w:pPr>
    </w:p>
    <w:p>
      <w:pPr>
        <w:ind w:firstLine="410"/>
        <w:spacing w:after="0" w:line="283" w:lineRule="auto"/>
        <w:rPr>
          <w:sz w:val="20"/>
          <w:szCs w:val="20"/>
          <w:color w:val="auto"/>
        </w:rPr>
      </w:pPr>
      <w:r>
        <w:rPr>
          <w:rFonts w:ascii="Arial" w:cs="Arial" w:eastAsia="Arial" w:hAnsi="Arial"/>
          <w:sz w:val="17"/>
          <w:szCs w:val="17"/>
          <w:color w:val="auto"/>
        </w:rPr>
        <w:t>As of October 19, 2017, the total number of shares outstanding of the registrant’s Common Stock was 120,927,437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57575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75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167005</wp:posOffset>
            </wp:positionV>
            <wp:extent cx="5757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75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897890</wp:posOffset>
            </wp:positionV>
            <wp:extent cx="5757545"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0"/>
          </w:cols>
          <w:pgMar w:left="1420" w:top="231" w:right="1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8140" w:type="dxa"/>
            <w:vAlign w:val="bottom"/>
            <w:gridSpan w:val="23"/>
          </w:tcPr>
          <w:p>
            <w:pPr>
              <w:spacing w:after="0"/>
              <w:rPr>
                <w:rFonts w:ascii="Arial" w:cs="Arial" w:eastAsia="Arial" w:hAnsi="Arial"/>
                <w:sz w:val="17"/>
                <w:szCs w:val="17"/>
                <w:color w:val="0563C1"/>
              </w:rPr>
            </w:pPr>
            <w:hyperlink w:anchor="page2">
              <w:r>
                <w:rPr>
                  <w:rFonts w:ascii="Arial" w:cs="Arial" w:eastAsia="Arial" w:hAnsi="Arial"/>
                  <w:sz w:val="17"/>
                  <w:szCs w:val="17"/>
                  <w:color w:val="0563C1"/>
                </w:rPr>
                <w:t>Table of Contents</w:t>
              </w:r>
            </w:hyperlink>
          </w:p>
        </w:tc>
        <w:tc>
          <w:tcPr>
            <w:tcW w:w="920" w:type="dxa"/>
            <w:vAlign w:val="bottom"/>
          </w:tcPr>
          <w:p>
            <w:pPr>
              <w:spacing w:after="0"/>
              <w:rPr>
                <w:sz w:val="16"/>
                <w:szCs w:val="16"/>
                <w:color w:val="auto"/>
              </w:rPr>
            </w:pPr>
          </w:p>
        </w:tc>
      </w:tr>
      <w:tr>
        <w:trPr>
          <w:trHeight w:val="414"/>
        </w:trPr>
        <w:tc>
          <w:tcPr>
            <w:tcW w:w="6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60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20" w:type="dxa"/>
            <w:vAlign w:val="bottom"/>
            <w:gridSpan w:val="11"/>
          </w:tcPr>
          <w:p>
            <w:pPr>
              <w:jc w:val="center"/>
              <w:ind w:right="1900"/>
              <w:spacing w:after="0"/>
              <w:rPr>
                <w:sz w:val="20"/>
                <w:szCs w:val="20"/>
                <w:color w:val="auto"/>
              </w:rPr>
            </w:pPr>
            <w:r>
              <w:rPr>
                <w:rFonts w:ascii="Arial" w:cs="Arial" w:eastAsia="Arial" w:hAnsi="Arial"/>
                <w:sz w:val="17"/>
                <w:szCs w:val="17"/>
                <w:b w:val="1"/>
                <w:bCs w:val="1"/>
                <w:color w:val="auto"/>
              </w:rPr>
              <w:t>AVNET, INC. AND SUBSIDIARIES</w:t>
            </w:r>
          </w:p>
        </w:tc>
        <w:tc>
          <w:tcPr>
            <w:tcW w:w="920" w:type="dxa"/>
            <w:vAlign w:val="bottom"/>
          </w:tcPr>
          <w:p>
            <w:pPr>
              <w:spacing w:after="0"/>
              <w:rPr>
                <w:sz w:val="24"/>
                <w:szCs w:val="24"/>
                <w:color w:val="auto"/>
              </w:rPr>
            </w:pPr>
          </w:p>
        </w:tc>
      </w:tr>
      <w:tr>
        <w:trPr>
          <w:trHeight w:val="226"/>
        </w:trPr>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60" w:type="dxa"/>
            <w:vAlign w:val="bottom"/>
            <w:gridSpan w:val="10"/>
          </w:tcPr>
          <w:p>
            <w:pPr>
              <w:jc w:val="center"/>
              <w:ind w:right="2440"/>
              <w:spacing w:after="0"/>
              <w:rPr>
                <w:sz w:val="20"/>
                <w:szCs w:val="20"/>
                <w:color w:val="auto"/>
              </w:rPr>
            </w:pPr>
            <w:r>
              <w:rPr>
                <w:rFonts w:ascii="Arial" w:cs="Arial" w:eastAsia="Arial" w:hAnsi="Arial"/>
                <w:sz w:val="17"/>
                <w:szCs w:val="17"/>
                <w:b w:val="1"/>
                <w:bCs w:val="1"/>
                <w:color w:val="auto"/>
              </w:rPr>
              <w:t>INDEX</w:t>
            </w:r>
          </w:p>
        </w:tc>
        <w:tc>
          <w:tcPr>
            <w:tcW w:w="920" w:type="dxa"/>
            <w:vAlign w:val="bottom"/>
          </w:tcPr>
          <w:p>
            <w:pPr>
              <w:spacing w:after="0"/>
              <w:rPr>
                <w:sz w:val="19"/>
                <w:szCs w:val="19"/>
                <w:color w:val="auto"/>
              </w:rPr>
            </w:pPr>
          </w:p>
        </w:tc>
      </w:tr>
      <w:tr>
        <w:trPr>
          <w:trHeight w:val="414"/>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Page No.</w:t>
            </w:r>
          </w:p>
        </w:tc>
      </w:tr>
      <w:tr>
        <w:trPr>
          <w:trHeight w:val="161"/>
        </w:trPr>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60" w:type="dxa"/>
            <w:vAlign w:val="bottom"/>
            <w:gridSpan w:val="13"/>
          </w:tcPr>
          <w:p>
            <w:pPr>
              <w:jc w:val="center"/>
              <w:ind w:right="2300"/>
              <w:spacing w:after="0" w:line="161" w:lineRule="exact"/>
              <w:rPr>
                <w:rFonts w:ascii="Arial" w:cs="Arial" w:eastAsia="Arial" w:hAnsi="Arial"/>
                <w:sz w:val="17"/>
                <w:szCs w:val="17"/>
                <w:color w:val="0000EE"/>
                <w:w w:val="99"/>
              </w:rPr>
            </w:pPr>
            <w:hyperlink w:anchor="page3">
              <w:r>
                <w:rPr>
                  <w:rFonts w:ascii="Arial" w:cs="Arial" w:eastAsia="Arial" w:hAnsi="Arial"/>
                  <w:sz w:val="17"/>
                  <w:szCs w:val="17"/>
                  <w:color w:val="0000EE"/>
                  <w:w w:val="99"/>
                </w:rPr>
                <w:t>PART I. FINANCIAL INFORMATION</w:t>
              </w:r>
            </w:hyperlink>
          </w:p>
        </w:tc>
        <w:tc>
          <w:tcPr>
            <w:tcW w:w="920" w:type="dxa"/>
            <w:vAlign w:val="bottom"/>
          </w:tcPr>
          <w:p>
            <w:pPr>
              <w:spacing w:after="0"/>
              <w:rPr>
                <w:sz w:val="14"/>
                <w:szCs w:val="14"/>
                <w:color w:val="auto"/>
              </w:rPr>
            </w:pPr>
          </w:p>
        </w:tc>
      </w:tr>
      <w:tr>
        <w:trPr>
          <w:trHeight w:val="394"/>
        </w:trPr>
        <w:tc>
          <w:tcPr>
            <w:tcW w:w="60" w:type="dxa"/>
            <w:vAlign w:val="bottom"/>
          </w:tcPr>
          <w:p>
            <w:pPr>
              <w:spacing w:after="0"/>
              <w:rPr>
                <w:sz w:val="24"/>
                <w:szCs w:val="24"/>
                <w:color w:val="auto"/>
              </w:rPr>
            </w:pPr>
          </w:p>
        </w:tc>
        <w:tc>
          <w:tcPr>
            <w:tcW w:w="2620" w:type="dxa"/>
            <w:vAlign w:val="bottom"/>
            <w:gridSpan w:val="10"/>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Item 1. Financial Statements</w:t>
              </w:r>
            </w:hyperlink>
          </w:p>
        </w:tc>
        <w:tc>
          <w:tcPr>
            <w:tcW w:w="2760" w:type="dxa"/>
            <w:vAlign w:val="bottom"/>
            <w:tcBorders>
              <w:top w:val="single" w:sz="8" w:color="0000EE"/>
            </w:tcBorders>
            <w:gridSpan w:val="7"/>
          </w:tcPr>
          <w:p>
            <w:pPr>
              <w:spacing w:after="0"/>
              <w:rPr>
                <w:sz w:val="24"/>
                <w:szCs w:val="24"/>
                <w:color w:val="auto"/>
              </w:rPr>
            </w:pPr>
          </w:p>
        </w:tc>
        <w:tc>
          <w:tcPr>
            <w:tcW w:w="2700" w:type="dxa"/>
            <w:vAlign w:val="bottom"/>
            <w:gridSpan w:val="5"/>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94"/>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80" w:type="dxa"/>
            <w:vAlign w:val="bottom"/>
            <w:gridSpan w:val="21"/>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Consolidated Balance Sheets at September 30, 2017 and July 1, 201</w:t>
              </w:r>
            </w:hyperlink>
            <w:r>
              <w:rPr>
                <w:rFonts w:ascii="Arial" w:cs="Arial" w:eastAsia="Arial" w:hAnsi="Arial"/>
                <w:sz w:val="17"/>
                <w:szCs w:val="17"/>
                <w:color w:val="000000"/>
              </w:rPr>
              <w:t>7</w:t>
            </w:r>
          </w:p>
        </w:tc>
        <w:tc>
          <w:tcPr>
            <w:tcW w:w="9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
        </w:trPr>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94"/>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80" w:type="dxa"/>
            <w:vAlign w:val="bottom"/>
            <w:gridSpan w:val="21"/>
          </w:tcPr>
          <w:p>
            <w:pPr>
              <w:spacing w:after="0"/>
              <w:rPr>
                <w:rFonts w:ascii="Arial" w:cs="Arial" w:eastAsia="Arial" w:hAnsi="Arial"/>
                <w:sz w:val="17"/>
                <w:szCs w:val="17"/>
                <w:color w:val="0000EE"/>
                <w:w w:val="94"/>
              </w:rPr>
            </w:pPr>
            <w:hyperlink w:anchor="page4">
              <w:r>
                <w:rPr>
                  <w:rFonts w:ascii="Arial" w:cs="Arial" w:eastAsia="Arial" w:hAnsi="Arial"/>
                  <w:sz w:val="17"/>
                  <w:szCs w:val="17"/>
                  <w:color w:val="0000EE"/>
                  <w:w w:val="94"/>
                </w:rPr>
                <w:t>Consolidated Statements of Operations for the first quarters ended September 30, 2017 and October 1, 2016</w:t>
              </w:r>
            </w:hyperlink>
          </w:p>
        </w:tc>
        <w:tc>
          <w:tcPr>
            <w:tcW w:w="9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407"/>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80" w:type="dxa"/>
            <w:vAlign w:val="bottom"/>
            <w:tcBorders>
              <w:top w:val="single" w:sz="8" w:color="0000EE"/>
              <w:bottom w:val="single" w:sz="8" w:color="0000EE"/>
            </w:tcBorders>
            <w:gridSpan w:val="18"/>
          </w:tcPr>
          <w:p>
            <w:pPr>
              <w:spacing w:after="0"/>
              <w:rPr>
                <w:rFonts w:ascii="Arial" w:cs="Arial" w:eastAsia="Arial" w:hAnsi="Arial"/>
                <w:sz w:val="17"/>
                <w:szCs w:val="17"/>
                <w:color w:val="0000EE"/>
                <w:w w:val="90"/>
              </w:rPr>
            </w:pPr>
            <w:hyperlink w:anchor="page5">
              <w:r>
                <w:rPr>
                  <w:rFonts w:ascii="Arial" w:cs="Arial" w:eastAsia="Arial" w:hAnsi="Arial"/>
                  <w:sz w:val="17"/>
                  <w:szCs w:val="17"/>
                  <w:color w:val="0000EE"/>
                  <w:w w:val="90"/>
                </w:rPr>
                <w:t>Consolidated Statements of Comprehensive Income for the first quarters ended September 30, 2017 and</w:t>
              </w:r>
            </w:hyperlink>
          </w:p>
        </w:tc>
        <w:tc>
          <w:tcPr>
            <w:tcW w:w="260" w:type="dxa"/>
            <w:vAlign w:val="bottom"/>
            <w:tcBorders>
              <w:top w:val="single" w:sz="8" w:color="0000EE"/>
            </w:tcBorders>
          </w:tcPr>
          <w:p>
            <w:pPr>
              <w:spacing w:after="0"/>
              <w:rPr>
                <w:sz w:val="24"/>
                <w:szCs w:val="24"/>
                <w:color w:val="auto"/>
              </w:rPr>
            </w:pPr>
          </w:p>
        </w:tc>
        <w:tc>
          <w:tcPr>
            <w:tcW w:w="34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r>
      <w:tr>
        <w:trPr>
          <w:trHeight w:val="187"/>
        </w:trPr>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60" w:type="dxa"/>
            <w:vAlign w:val="bottom"/>
            <w:gridSpan w:val="20"/>
          </w:tcPr>
          <w:p>
            <w:pPr>
              <w:spacing w:after="0" w:line="174" w:lineRule="exact"/>
              <w:rPr>
                <w:rFonts w:ascii="Arial" w:cs="Arial" w:eastAsia="Arial" w:hAnsi="Arial"/>
                <w:sz w:val="17"/>
                <w:szCs w:val="17"/>
                <w:color w:val="0000EE"/>
              </w:rPr>
            </w:pPr>
            <w:hyperlink w:anchor="page5">
              <w:r>
                <w:rPr>
                  <w:rFonts w:ascii="Arial" w:cs="Arial" w:eastAsia="Arial" w:hAnsi="Arial"/>
                  <w:sz w:val="17"/>
                  <w:szCs w:val="17"/>
                  <w:color w:val="0000EE"/>
                </w:rPr>
                <w:t>October 1, 2016</w:t>
              </w:r>
            </w:hyperlink>
          </w:p>
        </w:tc>
        <w:tc>
          <w:tcPr>
            <w:tcW w:w="920" w:type="dxa"/>
            <w:vAlign w:val="bottom"/>
          </w:tcPr>
          <w:p>
            <w:pPr>
              <w:jc w:val="right"/>
              <w:spacing w:after="0" w:line="174" w:lineRule="exact"/>
              <w:rPr>
                <w:sz w:val="20"/>
                <w:szCs w:val="20"/>
                <w:color w:val="auto"/>
              </w:rPr>
            </w:pPr>
            <w:r>
              <w:rPr>
                <w:rFonts w:ascii="Arial" w:cs="Arial" w:eastAsia="Arial" w:hAnsi="Arial"/>
                <w:sz w:val="17"/>
                <w:szCs w:val="17"/>
                <w:color w:val="auto"/>
              </w:rPr>
              <w:t>4</w:t>
            </w:r>
          </w:p>
        </w:tc>
      </w:tr>
      <w:tr>
        <w:trPr>
          <w:trHeight w:val="20"/>
        </w:trPr>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07"/>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500" w:type="dxa"/>
            <w:vAlign w:val="bottom"/>
            <w:tcBorders>
              <w:bottom w:val="single" w:sz="8" w:color="0000EE"/>
            </w:tcBorders>
            <w:gridSpan w:val="20"/>
          </w:tcPr>
          <w:p>
            <w:pPr>
              <w:spacing w:after="0"/>
              <w:rPr>
                <w:rFonts w:ascii="Arial" w:cs="Arial" w:eastAsia="Arial" w:hAnsi="Arial"/>
                <w:sz w:val="17"/>
                <w:szCs w:val="17"/>
                <w:color w:val="0000EE"/>
                <w:w w:val="90"/>
              </w:rPr>
            </w:pPr>
            <w:hyperlink w:anchor="page6">
              <w:r>
                <w:rPr>
                  <w:rFonts w:ascii="Arial" w:cs="Arial" w:eastAsia="Arial" w:hAnsi="Arial"/>
                  <w:sz w:val="17"/>
                  <w:szCs w:val="17"/>
                  <w:color w:val="0000EE"/>
                  <w:w w:val="90"/>
                </w:rPr>
                <w:t>Consolidated Statements of Cash Flows for the first quarters ended September 30, 2017 and October 1, 2016</w:t>
              </w:r>
            </w:hyperlink>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394"/>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tcBorders>
              <w:bottom w:val="single" w:sz="8" w:color="0000EE"/>
            </w:tcBorders>
            <w:gridSpan w:val="11"/>
          </w:tcPr>
          <w:p>
            <w:pPr>
              <w:spacing w:after="0"/>
              <w:rPr>
                <w:rFonts w:ascii="Arial" w:cs="Arial" w:eastAsia="Arial" w:hAnsi="Arial"/>
                <w:sz w:val="17"/>
                <w:szCs w:val="17"/>
                <w:color w:val="0000EE"/>
                <w:w w:val="90"/>
              </w:rPr>
            </w:pPr>
            <w:hyperlink w:anchor="page7">
              <w:r>
                <w:rPr>
                  <w:rFonts w:ascii="Arial" w:cs="Arial" w:eastAsia="Arial" w:hAnsi="Arial"/>
                  <w:sz w:val="17"/>
                  <w:szCs w:val="17"/>
                  <w:color w:val="0000EE"/>
                  <w:w w:val="90"/>
                </w:rPr>
                <w:t>Notes to Consolidated Financial Statements</w:t>
              </w:r>
            </w:hyperlink>
          </w:p>
        </w:tc>
        <w:tc>
          <w:tcPr>
            <w:tcW w:w="476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394"/>
        </w:trPr>
        <w:tc>
          <w:tcPr>
            <w:tcW w:w="60" w:type="dxa"/>
            <w:vAlign w:val="bottom"/>
          </w:tcPr>
          <w:p>
            <w:pPr>
              <w:spacing w:after="0"/>
              <w:rPr>
                <w:sz w:val="24"/>
                <w:szCs w:val="24"/>
                <w:color w:val="auto"/>
              </w:rPr>
            </w:pPr>
          </w:p>
        </w:tc>
        <w:tc>
          <w:tcPr>
            <w:tcW w:w="8080" w:type="dxa"/>
            <w:vAlign w:val="bottom"/>
            <w:gridSpan w:val="22"/>
          </w:tcPr>
          <w:p>
            <w:pPr>
              <w:spacing w:after="0"/>
              <w:rPr>
                <w:sz w:val="20"/>
                <w:szCs w:val="20"/>
                <w:color w:val="auto"/>
              </w:rPr>
            </w:pPr>
            <w:r>
              <w:rPr>
                <w:rFonts w:ascii="Arial" w:cs="Arial" w:eastAsia="Arial" w:hAnsi="Arial"/>
                <w:sz w:val="17"/>
                <w:szCs w:val="17"/>
                <w:color w:val="0000EE"/>
              </w:rPr>
              <w:t>Item 2. Management’s Discussion and Analysis of Financial Condition and Results of Operations</w:t>
            </w:r>
          </w:p>
        </w:tc>
        <w:tc>
          <w:tcPr>
            <w:tcW w:w="9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94"/>
        </w:trPr>
        <w:tc>
          <w:tcPr>
            <w:tcW w:w="60" w:type="dxa"/>
            <w:vAlign w:val="bottom"/>
          </w:tcPr>
          <w:p>
            <w:pPr>
              <w:spacing w:after="0"/>
              <w:rPr>
                <w:sz w:val="24"/>
                <w:szCs w:val="24"/>
                <w:color w:val="auto"/>
              </w:rPr>
            </w:pPr>
          </w:p>
        </w:tc>
        <w:tc>
          <w:tcPr>
            <w:tcW w:w="4700" w:type="dxa"/>
            <w:vAlign w:val="bottom"/>
            <w:tcBorders>
              <w:top w:val="single" w:sz="8" w:color="0000EE"/>
              <w:bottom w:val="single" w:sz="8" w:color="0000EE"/>
            </w:tcBorders>
            <w:gridSpan w:val="14"/>
          </w:tcPr>
          <w:p>
            <w:pPr>
              <w:spacing w:after="0"/>
              <w:rPr>
                <w:rFonts w:ascii="Arial" w:cs="Arial" w:eastAsia="Arial" w:hAnsi="Arial"/>
                <w:sz w:val="17"/>
                <w:szCs w:val="17"/>
                <w:color w:val="0000EE"/>
                <w:w w:val="93"/>
              </w:rPr>
            </w:pPr>
            <w:hyperlink w:anchor="page27">
              <w:r>
                <w:rPr>
                  <w:rFonts w:ascii="Arial" w:cs="Arial" w:eastAsia="Arial" w:hAnsi="Arial"/>
                  <w:sz w:val="17"/>
                  <w:szCs w:val="17"/>
                  <w:color w:val="0000EE"/>
                  <w:w w:val="93"/>
                </w:rPr>
                <w:t>Item 3. Quantitative and Qualitative Disclosures About Market Risk</w:t>
              </w:r>
            </w:hyperlink>
          </w:p>
        </w:tc>
        <w:tc>
          <w:tcPr>
            <w:tcW w:w="2000" w:type="dxa"/>
            <w:vAlign w:val="bottom"/>
            <w:tcBorders>
              <w:top w:val="single" w:sz="8" w:color="0000EE"/>
            </w:tcBorders>
            <w:gridSpan w:val="4"/>
          </w:tcPr>
          <w:p>
            <w:pPr>
              <w:spacing w:after="0"/>
              <w:rPr>
                <w:sz w:val="24"/>
                <w:szCs w:val="24"/>
                <w:color w:val="auto"/>
              </w:rPr>
            </w:pPr>
          </w:p>
        </w:tc>
        <w:tc>
          <w:tcPr>
            <w:tcW w:w="138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94"/>
        </w:trPr>
        <w:tc>
          <w:tcPr>
            <w:tcW w:w="60" w:type="dxa"/>
            <w:vAlign w:val="bottom"/>
          </w:tcPr>
          <w:p>
            <w:pPr>
              <w:spacing w:after="0"/>
              <w:rPr>
                <w:sz w:val="24"/>
                <w:szCs w:val="24"/>
                <w:color w:val="auto"/>
              </w:rPr>
            </w:pPr>
          </w:p>
        </w:tc>
        <w:tc>
          <w:tcPr>
            <w:tcW w:w="8080" w:type="dxa"/>
            <w:vAlign w:val="bottom"/>
            <w:gridSpan w:val="22"/>
          </w:tcPr>
          <w:p>
            <w:pPr>
              <w:spacing w:after="0"/>
              <w:rPr>
                <w:rFonts w:ascii="Arial" w:cs="Arial" w:eastAsia="Arial" w:hAnsi="Arial"/>
                <w:sz w:val="17"/>
                <w:szCs w:val="17"/>
                <w:color w:val="0000EE"/>
              </w:rPr>
            </w:pPr>
            <w:hyperlink w:anchor="page27">
              <w:r>
                <w:rPr>
                  <w:rFonts w:ascii="Arial" w:cs="Arial" w:eastAsia="Arial" w:hAnsi="Arial"/>
                  <w:sz w:val="17"/>
                  <w:szCs w:val="17"/>
                  <w:color w:val="0000EE"/>
                </w:rPr>
                <w:t>Item 4. Controls and Procedures</w:t>
              </w:r>
            </w:hyperlink>
          </w:p>
        </w:tc>
        <w:tc>
          <w:tcPr>
            <w:tcW w:w="9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94"/>
        </w:trPr>
        <w:tc>
          <w:tcPr>
            <w:tcW w:w="6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320" w:type="dxa"/>
            <w:vAlign w:val="bottom"/>
            <w:gridSpan w:val="11"/>
          </w:tcPr>
          <w:p>
            <w:pPr>
              <w:jc w:val="center"/>
              <w:ind w:right="2860"/>
              <w:spacing w:after="0"/>
              <w:rPr>
                <w:rFonts w:ascii="Arial" w:cs="Arial" w:eastAsia="Arial" w:hAnsi="Arial"/>
                <w:sz w:val="17"/>
                <w:szCs w:val="17"/>
                <w:color w:val="0000EE"/>
                <w:w w:val="97"/>
              </w:rPr>
            </w:pPr>
            <w:hyperlink w:anchor="page27">
              <w:r>
                <w:rPr>
                  <w:rFonts w:ascii="Arial" w:cs="Arial" w:eastAsia="Arial" w:hAnsi="Arial"/>
                  <w:sz w:val="17"/>
                  <w:szCs w:val="17"/>
                  <w:color w:val="0000EE"/>
                  <w:w w:val="97"/>
                </w:rPr>
                <w:t>PART II. OTHER INFORMATION</w:t>
              </w:r>
            </w:hyperlink>
          </w:p>
        </w:tc>
        <w:tc>
          <w:tcPr>
            <w:tcW w:w="9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94"/>
        </w:trPr>
        <w:tc>
          <w:tcPr>
            <w:tcW w:w="60" w:type="dxa"/>
            <w:vAlign w:val="bottom"/>
          </w:tcPr>
          <w:p>
            <w:pPr>
              <w:spacing w:after="0"/>
              <w:rPr>
                <w:sz w:val="24"/>
                <w:szCs w:val="24"/>
                <w:color w:val="auto"/>
              </w:rPr>
            </w:pPr>
          </w:p>
        </w:tc>
        <w:tc>
          <w:tcPr>
            <w:tcW w:w="2760" w:type="dxa"/>
            <w:vAlign w:val="bottom"/>
            <w:gridSpan w:val="11"/>
          </w:tcPr>
          <w:p>
            <w:pPr>
              <w:spacing w:after="0"/>
              <w:rPr>
                <w:rFonts w:ascii="Arial" w:cs="Arial" w:eastAsia="Arial" w:hAnsi="Arial"/>
                <w:sz w:val="17"/>
                <w:szCs w:val="17"/>
                <w:color w:val="0000EE"/>
              </w:rPr>
            </w:pPr>
            <w:hyperlink w:anchor="page27">
              <w:r>
                <w:rPr>
                  <w:rFonts w:ascii="Arial" w:cs="Arial" w:eastAsia="Arial" w:hAnsi="Arial"/>
                  <w:sz w:val="17"/>
                  <w:szCs w:val="17"/>
                  <w:color w:val="0000EE"/>
                </w:rPr>
                <w:t>Item 1. Legal Proceedings</w:t>
              </w:r>
            </w:hyperlink>
          </w:p>
        </w:tc>
        <w:tc>
          <w:tcPr>
            <w:tcW w:w="2460" w:type="dxa"/>
            <w:vAlign w:val="bottom"/>
            <w:tcBorders>
              <w:top w:val="single" w:sz="8" w:color="0000EE"/>
            </w:tcBorders>
            <w:gridSpan w:val="5"/>
          </w:tcPr>
          <w:p>
            <w:pPr>
              <w:spacing w:after="0"/>
              <w:rPr>
                <w:sz w:val="24"/>
                <w:szCs w:val="24"/>
                <w:color w:val="auto"/>
              </w:rPr>
            </w:pPr>
          </w:p>
        </w:tc>
        <w:tc>
          <w:tcPr>
            <w:tcW w:w="286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94"/>
        </w:trPr>
        <w:tc>
          <w:tcPr>
            <w:tcW w:w="60" w:type="dxa"/>
            <w:vAlign w:val="bottom"/>
          </w:tcPr>
          <w:p>
            <w:pPr>
              <w:spacing w:after="0"/>
              <w:rPr>
                <w:sz w:val="24"/>
                <w:szCs w:val="24"/>
                <w:color w:val="auto"/>
              </w:rPr>
            </w:pPr>
          </w:p>
        </w:tc>
        <w:tc>
          <w:tcPr>
            <w:tcW w:w="154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2"/>
              </w:rPr>
            </w:pPr>
            <w:hyperlink w:anchor="page28">
              <w:r>
                <w:rPr>
                  <w:rFonts w:ascii="Arial" w:cs="Arial" w:eastAsia="Arial" w:hAnsi="Arial"/>
                  <w:sz w:val="17"/>
                  <w:szCs w:val="17"/>
                  <w:color w:val="0000EE"/>
                  <w:w w:val="92"/>
                </w:rPr>
                <w:t>Item 1A. Risk Factors</w:t>
              </w:r>
            </w:hyperlink>
          </w:p>
        </w:tc>
        <w:tc>
          <w:tcPr>
            <w:tcW w:w="260" w:type="dxa"/>
            <w:vAlign w:val="bottom"/>
            <w:tcBorders>
              <w:top w:val="single" w:sz="8" w:color="0000EE"/>
            </w:tcBorders>
          </w:tcPr>
          <w:p>
            <w:pPr>
              <w:spacing w:after="0"/>
              <w:rPr>
                <w:sz w:val="24"/>
                <w:szCs w:val="24"/>
                <w:color w:val="auto"/>
              </w:rPr>
            </w:pPr>
          </w:p>
        </w:tc>
        <w:tc>
          <w:tcPr>
            <w:tcW w:w="6280" w:type="dxa"/>
            <w:vAlign w:val="bottom"/>
            <w:gridSpan w:val="1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394"/>
        </w:trPr>
        <w:tc>
          <w:tcPr>
            <w:tcW w:w="60" w:type="dxa"/>
            <w:vAlign w:val="bottom"/>
          </w:tcPr>
          <w:p>
            <w:pPr>
              <w:spacing w:after="0"/>
              <w:rPr>
                <w:sz w:val="24"/>
                <w:szCs w:val="24"/>
                <w:color w:val="auto"/>
              </w:rPr>
            </w:pPr>
          </w:p>
        </w:tc>
        <w:tc>
          <w:tcPr>
            <w:tcW w:w="8080" w:type="dxa"/>
            <w:vAlign w:val="bottom"/>
            <w:gridSpan w:val="22"/>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Item 2. Unregistered Sales of Equity Securities and Use of Proceeds</w:t>
              </w:r>
            </w:hyperlink>
          </w:p>
        </w:tc>
        <w:tc>
          <w:tcPr>
            <w:tcW w:w="92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394"/>
        </w:trPr>
        <w:tc>
          <w:tcPr>
            <w:tcW w:w="6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2"/>
              </w:rPr>
            </w:pPr>
            <w:hyperlink w:anchor="page30">
              <w:r>
                <w:rPr>
                  <w:rFonts w:ascii="Arial" w:cs="Arial" w:eastAsia="Arial" w:hAnsi="Arial"/>
                  <w:sz w:val="17"/>
                  <w:szCs w:val="17"/>
                  <w:color w:val="0000EE"/>
                  <w:w w:val="92"/>
                </w:rPr>
                <w:t>Item 6. Exhibits</w:t>
              </w:r>
            </w:hyperlink>
          </w:p>
        </w:tc>
        <w:tc>
          <w:tcPr>
            <w:tcW w:w="3580" w:type="dxa"/>
            <w:vAlign w:val="bottom"/>
            <w:tcBorders>
              <w:top w:val="single" w:sz="8" w:color="0000EE"/>
            </w:tcBorders>
            <w:gridSpan w:val="9"/>
          </w:tcPr>
          <w:p>
            <w:pPr>
              <w:spacing w:after="0"/>
              <w:rPr>
                <w:sz w:val="24"/>
                <w:szCs w:val="24"/>
                <w:color w:val="auto"/>
              </w:rPr>
            </w:pPr>
          </w:p>
        </w:tc>
        <w:tc>
          <w:tcPr>
            <w:tcW w:w="340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394"/>
        </w:trPr>
        <w:tc>
          <w:tcPr>
            <w:tcW w:w="60" w:type="dxa"/>
            <w:vAlign w:val="bottom"/>
          </w:tcPr>
          <w:p>
            <w:pPr>
              <w:spacing w:after="0"/>
              <w:rPr>
                <w:sz w:val="24"/>
                <w:szCs w:val="24"/>
                <w:color w:val="auto"/>
              </w:rPr>
            </w:pPr>
          </w:p>
        </w:tc>
        <w:tc>
          <w:tcPr>
            <w:tcW w:w="8080" w:type="dxa"/>
            <w:vAlign w:val="bottom"/>
            <w:gridSpan w:val="22"/>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Signature Page</w:t>
              </w:r>
            </w:hyperlink>
          </w:p>
        </w:tc>
        <w:tc>
          <w:tcPr>
            <w:tcW w:w="92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
        </w:trPr>
        <w:tc>
          <w:tcPr>
            <w:tcW w:w="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5757545"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6520" w:type="dxa"/>
            <w:vAlign w:val="bottom"/>
            <w:gridSpan w:val="3"/>
          </w:tcPr>
          <w:p>
            <w:pPr>
              <w:spacing w:after="0"/>
              <w:rPr>
                <w:rFonts w:ascii="Arial" w:cs="Arial" w:eastAsia="Arial" w:hAnsi="Arial"/>
                <w:sz w:val="17"/>
                <w:szCs w:val="17"/>
                <w:color w:val="0563C1"/>
              </w:rPr>
            </w:pPr>
            <w:hyperlink w:anchor="page2">
              <w:r>
                <w:rPr>
                  <w:rFonts w:ascii="Arial" w:cs="Arial" w:eastAsia="Arial" w:hAnsi="Arial"/>
                  <w:sz w:val="17"/>
                  <w:szCs w:val="17"/>
                  <w:color w:val="0563C1"/>
                </w:rPr>
                <w:t>Table of Contents</w:t>
              </w:r>
            </w:hyperlink>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3"/>
        </w:trPr>
        <w:tc>
          <w:tcPr>
            <w:tcW w:w="106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5300" w:type="dxa"/>
            <w:vAlign w:val="bottom"/>
          </w:tcPr>
          <w:p>
            <w:pPr>
              <w:jc w:val="center"/>
              <w:ind w:left="1254"/>
              <w:spacing w:after="0"/>
              <w:rPr>
                <w:sz w:val="20"/>
                <w:szCs w:val="20"/>
                <w:color w:val="auto"/>
              </w:rPr>
            </w:pPr>
            <w:r>
              <w:rPr>
                <w:rFonts w:ascii="Arial" w:cs="Arial" w:eastAsia="Arial" w:hAnsi="Arial"/>
                <w:sz w:val="17"/>
                <w:szCs w:val="17"/>
                <w:b w:val="1"/>
                <w:bCs w:val="1"/>
                <w:color w:val="auto"/>
              </w:rPr>
              <w:t>PART I</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060" w:type="dxa"/>
            <w:vAlign w:val="bottom"/>
            <w:vMerge w:val="restart"/>
          </w:tcPr>
          <w:p>
            <w:pPr>
              <w:spacing w:after="0"/>
              <w:rPr>
                <w:sz w:val="20"/>
                <w:szCs w:val="20"/>
                <w:color w:val="auto"/>
              </w:rPr>
            </w:pPr>
            <w:r>
              <w:rPr>
                <w:rFonts w:ascii="Arial" w:cs="Arial" w:eastAsia="Arial" w:hAnsi="Arial"/>
                <w:sz w:val="17"/>
                <w:szCs w:val="17"/>
                <w:b w:val="1"/>
                <w:bCs w:val="1"/>
                <w:color w:val="auto"/>
              </w:rPr>
              <w:t>Item 1.</w:t>
            </w:r>
          </w:p>
        </w:tc>
        <w:tc>
          <w:tcPr>
            <w:tcW w:w="160" w:type="dxa"/>
            <w:vAlign w:val="bottom"/>
          </w:tcPr>
          <w:p>
            <w:pPr>
              <w:spacing w:after="0"/>
              <w:rPr>
                <w:sz w:val="21"/>
                <w:szCs w:val="21"/>
                <w:color w:val="auto"/>
              </w:rPr>
            </w:pPr>
          </w:p>
        </w:tc>
        <w:tc>
          <w:tcPr>
            <w:tcW w:w="5300" w:type="dxa"/>
            <w:vAlign w:val="bottom"/>
          </w:tcPr>
          <w:p>
            <w:pPr>
              <w:jc w:val="center"/>
              <w:ind w:left="1234"/>
              <w:spacing w:after="0"/>
              <w:rPr>
                <w:sz w:val="20"/>
                <w:szCs w:val="20"/>
                <w:color w:val="auto"/>
              </w:rPr>
            </w:pPr>
            <w:r>
              <w:rPr>
                <w:rFonts w:ascii="Arial" w:cs="Arial" w:eastAsia="Arial" w:hAnsi="Arial"/>
                <w:sz w:val="17"/>
                <w:szCs w:val="17"/>
                <w:b w:val="1"/>
                <w:bCs w:val="1"/>
                <w:color w:val="auto"/>
              </w:rPr>
              <w:t>FINANCIAL INFORMATION</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060" w:type="dxa"/>
            <w:vAlign w:val="bottom"/>
            <w:vMerge w:val="continue"/>
          </w:tcPr>
          <w:p>
            <w:pPr>
              <w:spacing w:after="0"/>
              <w:rPr>
                <w:sz w:val="17"/>
                <w:szCs w:val="17"/>
                <w:color w:val="auto"/>
              </w:rPr>
            </w:pPr>
          </w:p>
        </w:tc>
        <w:tc>
          <w:tcPr>
            <w:tcW w:w="5460" w:type="dxa"/>
            <w:vAlign w:val="bottom"/>
            <w:gridSpan w:val="2"/>
          </w:tcPr>
          <w:p>
            <w:pPr>
              <w:ind w:left="20"/>
              <w:spacing w:after="0"/>
              <w:rPr>
                <w:sz w:val="20"/>
                <w:szCs w:val="20"/>
                <w:color w:val="auto"/>
              </w:rPr>
            </w:pPr>
            <w:r>
              <w:rPr>
                <w:rFonts w:ascii="Arial" w:cs="Arial" w:eastAsia="Arial" w:hAnsi="Arial"/>
                <w:sz w:val="17"/>
                <w:szCs w:val="17"/>
                <w:b w:val="1"/>
                <w:bCs w:val="1"/>
                <w:i w:val="1"/>
                <w:iCs w:val="1"/>
                <w:color w:val="auto"/>
              </w:rPr>
              <w:t>Financial Statements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00" w:type="dxa"/>
            <w:vAlign w:val="bottom"/>
          </w:tcPr>
          <w:p>
            <w:pPr>
              <w:jc w:val="center"/>
              <w:ind w:left="1234"/>
              <w:spacing w:after="0"/>
              <w:rPr>
                <w:sz w:val="20"/>
                <w:szCs w:val="20"/>
                <w:color w:val="auto"/>
              </w:rPr>
            </w:pPr>
            <w:r>
              <w:rPr>
                <w:rFonts w:ascii="Arial" w:cs="Arial" w:eastAsia="Arial" w:hAnsi="Arial"/>
                <w:sz w:val="17"/>
                <w:szCs w:val="17"/>
                <w:b w:val="1"/>
                <w:bCs w:val="1"/>
                <w:color w:val="auto"/>
              </w:rPr>
              <w:t>AVNET, INC. AND SUBSIDIARIES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00" w:type="dxa"/>
            <w:vAlign w:val="bottom"/>
          </w:tcPr>
          <w:p>
            <w:pPr>
              <w:jc w:val="center"/>
              <w:ind w:left="1234"/>
              <w:spacing w:after="0"/>
              <w:rPr>
                <w:sz w:val="20"/>
                <w:szCs w:val="20"/>
                <w:color w:val="auto"/>
              </w:rPr>
            </w:pPr>
            <w:r>
              <w:rPr>
                <w:rFonts w:ascii="Arial" w:cs="Arial" w:eastAsia="Arial" w:hAnsi="Arial"/>
                <w:sz w:val="17"/>
                <w:szCs w:val="17"/>
                <w:b w:val="1"/>
                <w:bCs w:val="1"/>
                <w:color w:val="auto"/>
              </w:rPr>
              <w:t>CONSOLIDATED BALANCE SHEETS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300" w:type="dxa"/>
            <w:vAlign w:val="bottom"/>
          </w:tcPr>
          <w:p>
            <w:pPr>
              <w:jc w:val="center"/>
              <w:ind w:left="1234"/>
              <w:spacing w:after="0"/>
              <w:rPr>
                <w:sz w:val="20"/>
                <w:szCs w:val="20"/>
                <w:color w:val="auto"/>
              </w:rPr>
            </w:pPr>
            <w:r>
              <w:rPr>
                <w:rFonts w:ascii="Arial" w:cs="Arial" w:eastAsia="Arial" w:hAnsi="Arial"/>
                <w:sz w:val="17"/>
                <w:szCs w:val="17"/>
                <w:b w:val="1"/>
                <w:bCs w:val="1"/>
                <w:color w:val="auto"/>
                <w:w w:val="95"/>
              </w:rPr>
              <w:t>(Unaudited)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7"/>
                <w:szCs w:val="17"/>
                <w:b w:val="1"/>
                <w:bCs w:val="1"/>
                <w:color w:val="auto"/>
              </w:rPr>
              <w:t>September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7"/>
                <w:szCs w:val="17"/>
                <w:b w:val="1"/>
                <w:bCs w:val="1"/>
                <w:color w:val="auto"/>
              </w:rPr>
              <w:t>July 1,</w:t>
            </w:r>
          </w:p>
        </w:tc>
        <w:tc>
          <w:tcPr>
            <w:tcW w:w="0" w:type="dxa"/>
            <w:vAlign w:val="bottom"/>
          </w:tcPr>
          <w:p>
            <w:pPr>
              <w:spacing w:after="0"/>
              <w:rPr>
                <w:sz w:val="1"/>
                <w:szCs w:val="1"/>
                <w:color w:val="auto"/>
              </w:rPr>
            </w:pPr>
          </w:p>
        </w:tc>
      </w:tr>
      <w:tr>
        <w:trPr>
          <w:trHeight w:val="231"/>
        </w:trPr>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2017</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5"/>
          </w:tcPr>
          <w:p>
            <w:pPr>
              <w:jc w:val="right"/>
              <w:ind w:right="114"/>
              <w:spacing w:after="0" w:line="189" w:lineRule="exact"/>
              <w:rPr>
                <w:sz w:val="20"/>
                <w:szCs w:val="20"/>
                <w:color w:val="auto"/>
              </w:rPr>
            </w:pPr>
            <w:r>
              <w:rPr>
                <w:rFonts w:ascii="Arial" w:cs="Arial" w:eastAsia="Arial" w:hAnsi="Arial"/>
                <w:sz w:val="17"/>
                <w:szCs w:val="17"/>
                <w:b w:val="1"/>
                <w:bCs w:val="1"/>
                <w:color w:val="auto"/>
                <w:w w:val="91"/>
              </w:rPr>
              <w:t>(Thousands, except share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4"/>
          </w:tcPr>
          <w:p>
            <w:pPr>
              <w:jc w:val="right"/>
              <w:spacing w:after="0"/>
              <w:rPr>
                <w:sz w:val="20"/>
                <w:szCs w:val="20"/>
                <w:color w:val="auto"/>
              </w:rPr>
            </w:pPr>
            <w:r>
              <w:rPr>
                <w:rFonts w:ascii="Arial" w:cs="Arial" w:eastAsia="Arial" w:hAnsi="Arial"/>
                <w:sz w:val="17"/>
                <w:szCs w:val="17"/>
                <w:b w:val="1"/>
                <w:bCs w:val="1"/>
                <w:color w:val="auto"/>
              </w:rPr>
              <w:t>amounts)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300" w:type="dxa"/>
            <w:vAlign w:val="bottom"/>
            <w:shd w:val="clear" w:color="auto" w:fill="CCEEFF"/>
          </w:tcPr>
          <w:p>
            <w:pPr>
              <w:jc w:val="center"/>
              <w:ind w:right="1134"/>
              <w:spacing w:after="0"/>
              <w:rPr>
                <w:sz w:val="20"/>
                <w:szCs w:val="20"/>
                <w:color w:val="auto"/>
              </w:rPr>
            </w:pPr>
            <w:r>
              <w:rPr>
                <w:rFonts w:ascii="Arial" w:cs="Arial" w:eastAsia="Arial" w:hAnsi="Arial"/>
                <w:sz w:val="17"/>
                <w:szCs w:val="17"/>
                <w:b w:val="1"/>
                <w:bCs w:val="1"/>
                <w:color w:val="auto"/>
                <w:w w:val="94"/>
              </w:rPr>
              <w:t>ASSETS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60" w:type="dxa"/>
            <w:vAlign w:val="bottom"/>
          </w:tcPr>
          <w:p>
            <w:pPr>
              <w:spacing w:after="0"/>
              <w:rPr>
                <w:sz w:val="20"/>
                <w:szCs w:val="20"/>
                <w:color w:val="auto"/>
              </w:rPr>
            </w:pPr>
            <w:r>
              <w:rPr>
                <w:rFonts w:ascii="Arial" w:cs="Arial" w:eastAsia="Arial" w:hAnsi="Arial"/>
                <w:sz w:val="17"/>
                <w:szCs w:val="17"/>
                <w:color w:val="auto"/>
                <w:w w:val="90"/>
              </w:rPr>
              <w:t>Current assets:</w:t>
            </w:r>
          </w:p>
        </w:tc>
        <w:tc>
          <w:tcPr>
            <w:tcW w:w="16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52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539,679</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72"/>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836,384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520" w:type="dxa"/>
            <w:vAlign w:val="bottom"/>
            <w:gridSpan w:val="3"/>
          </w:tcPr>
          <w:p>
            <w:pPr>
              <w:ind w:left="100"/>
              <w:spacing w:after="0"/>
              <w:rPr>
                <w:sz w:val="20"/>
                <w:szCs w:val="20"/>
                <w:color w:val="auto"/>
              </w:rPr>
            </w:pPr>
            <w:r>
              <w:rPr>
                <w:rFonts w:ascii="Arial" w:cs="Arial" w:eastAsia="Arial" w:hAnsi="Arial"/>
                <w:sz w:val="17"/>
                <w:szCs w:val="17"/>
                <w:color w:val="auto"/>
              </w:rPr>
              <w:t>Marketable securities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197,949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281,326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52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Receivables, less allowances of $49,505 and $47,272, respectively</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3,417,427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3,337,624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60" w:type="dxa"/>
            <w:vAlign w:val="bottom"/>
          </w:tcPr>
          <w:p>
            <w:pPr>
              <w:ind w:left="100"/>
              <w:spacing w:after="0"/>
              <w:rPr>
                <w:sz w:val="20"/>
                <w:szCs w:val="20"/>
                <w:color w:val="auto"/>
              </w:rPr>
            </w:pPr>
            <w:r>
              <w:rPr>
                <w:rFonts w:ascii="Arial" w:cs="Arial" w:eastAsia="Arial" w:hAnsi="Arial"/>
                <w:sz w:val="17"/>
                <w:szCs w:val="17"/>
                <w:color w:val="auto"/>
              </w:rPr>
              <w:t>Inventories</w:t>
            </w:r>
          </w:p>
        </w:tc>
        <w:tc>
          <w:tcPr>
            <w:tcW w:w="16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3,129,032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9"/>
              </w:rPr>
              <w:t>2,824,709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5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7"/>
                <w:szCs w:val="17"/>
                <w:color w:val="auto"/>
              </w:rPr>
              <w:t>Prepaid and other 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261,600</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253,765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6520" w:type="dxa"/>
            <w:vAlign w:val="bottom"/>
            <w:gridSpan w:val="3"/>
          </w:tcPr>
          <w:p>
            <w:pPr>
              <w:ind w:left="300"/>
              <w:spacing w:after="0" w:line="193" w:lineRule="exact"/>
              <w:rPr>
                <w:sz w:val="20"/>
                <w:szCs w:val="20"/>
                <w:color w:val="auto"/>
              </w:rPr>
            </w:pPr>
            <w:r>
              <w:rPr>
                <w:rFonts w:ascii="Arial" w:cs="Arial" w:eastAsia="Arial" w:hAnsi="Arial"/>
                <w:sz w:val="17"/>
                <w:szCs w:val="17"/>
                <w:color w:val="auto"/>
              </w:rPr>
              <w:t>Total current assets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Arial" w:cs="Arial" w:eastAsia="Arial" w:hAnsi="Arial"/>
                <w:sz w:val="17"/>
                <w:szCs w:val="17"/>
                <w:color w:val="auto"/>
              </w:rPr>
              <w:t>7,545,687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line="193" w:lineRule="exact"/>
              <w:rPr>
                <w:sz w:val="20"/>
                <w:szCs w:val="20"/>
                <w:color w:val="auto"/>
              </w:rPr>
            </w:pPr>
            <w:r>
              <w:rPr>
                <w:rFonts w:ascii="Arial" w:cs="Arial" w:eastAsia="Arial" w:hAnsi="Arial"/>
                <w:sz w:val="17"/>
                <w:szCs w:val="17"/>
                <w:color w:val="auto"/>
                <w:w w:val="89"/>
              </w:rPr>
              <w:t>7,533,808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52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Property, plant and equipment, net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510,303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519,575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060" w:type="dxa"/>
            <w:vAlign w:val="bottom"/>
          </w:tcPr>
          <w:p>
            <w:pPr>
              <w:ind w:left="100"/>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1,178,005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9"/>
              </w:rPr>
              <w:t>1,148,347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52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Intangible assets, net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290,962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277,291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6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w w:val="97"/>
              </w:rPr>
              <w:t>Other assets</w:t>
            </w:r>
          </w:p>
        </w:tc>
        <w:tc>
          <w:tcPr>
            <w:tcW w:w="160" w:type="dxa"/>
            <w:vAlign w:val="bottom"/>
            <w:tcBorders>
              <w:bottom w:val="single" w:sz="8" w:color="CCEEFF"/>
            </w:tcBorders>
          </w:tcPr>
          <w:p>
            <w:pPr>
              <w:spacing w:after="0"/>
              <w:rPr>
                <w:sz w:val="18"/>
                <w:szCs w:val="18"/>
                <w:color w:val="auto"/>
              </w:rPr>
            </w:pPr>
          </w:p>
        </w:tc>
        <w:tc>
          <w:tcPr>
            <w:tcW w:w="53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248,201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220,568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52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9,773,158</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9,699,589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300" w:type="dxa"/>
            <w:vAlign w:val="bottom"/>
          </w:tcPr>
          <w:p>
            <w:pPr>
              <w:jc w:val="center"/>
              <w:ind w:right="1154"/>
              <w:spacing w:after="0" w:line="193" w:lineRule="exact"/>
              <w:rPr>
                <w:sz w:val="20"/>
                <w:szCs w:val="20"/>
                <w:color w:val="auto"/>
              </w:rPr>
            </w:pPr>
            <w:r>
              <w:rPr>
                <w:rFonts w:ascii="Arial" w:cs="Arial" w:eastAsia="Arial" w:hAnsi="Arial"/>
                <w:sz w:val="17"/>
                <w:szCs w:val="17"/>
                <w:b w:val="1"/>
                <w:bCs w:val="1"/>
                <w:color w:val="auto"/>
              </w:rPr>
              <w:t>LIABILITIES AND SHAREHOLDERS’ EQUITY</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5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520" w:type="dxa"/>
            <w:vAlign w:val="bottom"/>
            <w:gridSpan w:val="3"/>
          </w:tcPr>
          <w:p>
            <w:pPr>
              <w:ind w:left="100"/>
              <w:spacing w:after="0"/>
              <w:rPr>
                <w:sz w:val="20"/>
                <w:szCs w:val="20"/>
                <w:color w:val="auto"/>
              </w:rPr>
            </w:pPr>
            <w:r>
              <w:rPr>
                <w:rFonts w:ascii="Arial" w:cs="Arial" w:eastAsia="Arial" w:hAnsi="Arial"/>
                <w:sz w:val="17"/>
                <w:szCs w:val="17"/>
                <w:color w:val="auto"/>
              </w:rPr>
              <w:t>Short-term debt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195,498</w:t>
            </w:r>
          </w:p>
        </w:tc>
        <w:tc>
          <w:tcPr>
            <w:tcW w:w="180" w:type="dxa"/>
            <w:vAlign w:val="bottom"/>
          </w:tcPr>
          <w:p>
            <w:pPr>
              <w:spacing w:after="0"/>
              <w:rPr>
                <w:sz w:val="17"/>
                <w:szCs w:val="17"/>
                <w:color w:val="auto"/>
              </w:rPr>
            </w:pPr>
          </w:p>
        </w:tc>
        <w:tc>
          <w:tcPr>
            <w:tcW w:w="200" w:type="dxa"/>
            <w:vAlign w:val="bottom"/>
            <w:gridSpan w:val="2"/>
          </w:tcPr>
          <w:p>
            <w:pPr>
              <w:jc w:val="right"/>
              <w:ind w:right="72"/>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50,113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52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Accounts payable</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1,917,749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1,861,635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20" w:type="dxa"/>
            <w:vAlign w:val="bottom"/>
            <w:tcBorders>
              <w:bottom w:val="single" w:sz="8" w:color="CCEEFF"/>
            </w:tcBorders>
            <w:gridSpan w:val="3"/>
          </w:tcPr>
          <w:p>
            <w:pPr>
              <w:ind w:left="100"/>
              <w:spacing w:after="0"/>
              <w:rPr>
                <w:sz w:val="20"/>
                <w:szCs w:val="20"/>
                <w:color w:val="auto"/>
              </w:rPr>
            </w:pPr>
            <w:r>
              <w:rPr>
                <w:rFonts w:ascii="Arial" w:cs="Arial" w:eastAsia="Arial" w:hAnsi="Arial"/>
                <w:sz w:val="17"/>
                <w:szCs w:val="17"/>
                <w:color w:val="auto"/>
              </w:rPr>
              <w:t>Accrued expenses and other</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598,456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542,023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2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Total current liabilities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2,711,703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2,453,771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520" w:type="dxa"/>
            <w:vAlign w:val="bottom"/>
            <w:gridSpan w:val="3"/>
          </w:tcPr>
          <w:p>
            <w:pPr>
              <w:ind w:left="100"/>
              <w:spacing w:after="0"/>
              <w:rPr>
                <w:sz w:val="20"/>
                <w:szCs w:val="20"/>
                <w:color w:val="auto"/>
              </w:rPr>
            </w:pPr>
            <w:r>
              <w:rPr>
                <w:rFonts w:ascii="Arial" w:cs="Arial" w:eastAsia="Arial" w:hAnsi="Arial"/>
                <w:sz w:val="17"/>
                <w:szCs w:val="17"/>
                <w:color w:val="auto"/>
              </w:rPr>
              <w:t>Long-term debt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1,495,139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9"/>
              </w:rPr>
              <w:t>1,729,212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5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7"/>
                <w:szCs w:val="17"/>
                <w:color w:val="auto"/>
              </w:rPr>
              <w:t>Other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322,213</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334,538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520" w:type="dxa"/>
            <w:vAlign w:val="bottom"/>
            <w:tcBorders>
              <w:bottom w:val="single" w:sz="8" w:color="CCEEFF"/>
            </w:tcBorders>
            <w:gridSpan w:val="3"/>
          </w:tcPr>
          <w:p>
            <w:pPr>
              <w:ind w:left="300"/>
              <w:spacing w:after="0" w:line="193" w:lineRule="exact"/>
              <w:rPr>
                <w:sz w:val="20"/>
                <w:szCs w:val="20"/>
                <w:color w:val="auto"/>
              </w:rPr>
            </w:pPr>
            <w:r>
              <w:rPr>
                <w:rFonts w:ascii="Arial" w:cs="Arial" w:eastAsia="Arial" w:hAnsi="Arial"/>
                <w:sz w:val="17"/>
                <w:szCs w:val="17"/>
                <w:color w:val="auto"/>
              </w:rPr>
              <w:t>Total liabilities</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4,529,055</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w w:val="89"/>
              </w:rPr>
              <w:t>4,517,521</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52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Commitments and contingencies (Note 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520" w:type="dxa"/>
            <w:vAlign w:val="bottom"/>
            <w:gridSpan w:val="3"/>
          </w:tcPr>
          <w:p>
            <w:pPr>
              <w:ind w:left="100"/>
              <w:spacing w:after="0"/>
              <w:rPr>
                <w:sz w:val="20"/>
                <w:szCs w:val="20"/>
                <w:color w:val="auto"/>
              </w:rPr>
            </w:pPr>
            <w:r>
              <w:rPr>
                <w:rFonts w:ascii="Arial" w:cs="Arial" w:eastAsia="Arial" w:hAnsi="Arial"/>
                <w:sz w:val="17"/>
                <w:szCs w:val="17"/>
                <w:color w:val="auto"/>
              </w:rPr>
              <w:t>Shareholders’ equity:</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52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w w:val="92"/>
              </w:rPr>
              <w:t>Common stock $1.00 par; authorized 300,000,000 shares; issued 121,235,396 shares and</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52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123,080,952 shares, respectively</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121,235</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123,081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520" w:type="dxa"/>
            <w:vAlign w:val="bottom"/>
            <w:gridSpan w:val="3"/>
          </w:tcPr>
          <w:p>
            <w:pPr>
              <w:ind w:left="200"/>
              <w:spacing w:after="0"/>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1,511,461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9"/>
              </w:rPr>
              <w:t>1,503,490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52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Retained earnings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3,765,491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3,799,363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20" w:type="dxa"/>
            <w:vAlign w:val="bottom"/>
            <w:tcBorders>
              <w:bottom w:val="single" w:sz="8" w:color="CCEEFF"/>
            </w:tcBorders>
            <w:gridSpan w:val="3"/>
          </w:tcPr>
          <w:p>
            <w:pPr>
              <w:ind w:left="200"/>
              <w:spacing w:after="0"/>
              <w:rPr>
                <w:sz w:val="20"/>
                <w:szCs w:val="20"/>
                <w:color w:val="auto"/>
              </w:rPr>
            </w:pPr>
            <w:r>
              <w:rPr>
                <w:rFonts w:ascii="Arial" w:cs="Arial" w:eastAsia="Arial" w:hAnsi="Arial"/>
                <w:sz w:val="17"/>
                <w:szCs w:val="17"/>
                <w:color w:val="auto"/>
              </w:rPr>
              <w:t>Accumulated other comprehensive loss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(154,084)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(243,866)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52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7"/>
                <w:szCs w:val="17"/>
                <w:color w:val="auto"/>
              </w:rPr>
              <w:t>Total shareholders’ equity</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5,244,103</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5,182,068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520" w:type="dxa"/>
            <w:vAlign w:val="bottom"/>
            <w:gridSpan w:val="3"/>
          </w:tcPr>
          <w:p>
            <w:pPr>
              <w:ind w:left="300"/>
              <w:spacing w:after="0" w:line="193" w:lineRule="exact"/>
              <w:rPr>
                <w:sz w:val="20"/>
                <w:szCs w:val="20"/>
                <w:color w:val="auto"/>
              </w:rPr>
            </w:pPr>
            <w:r>
              <w:rPr>
                <w:rFonts w:ascii="Arial" w:cs="Arial" w:eastAsia="Arial" w:hAnsi="Arial"/>
                <w:sz w:val="17"/>
                <w:szCs w:val="17"/>
                <w:color w:val="auto"/>
              </w:rPr>
              <w:t>Total liabilities and shareholders’ equity</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9,773,158</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w w:val="89"/>
              </w:rPr>
              <w:t>9,699,589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5757545"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 w:name="page4"/>
    <w:bookmarkEnd w:id="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AVNET,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6"/>
          </w:tcPr>
          <w:p>
            <w:pPr>
              <w:ind w:left="640"/>
              <w:spacing w:after="0"/>
              <w:rPr>
                <w:sz w:val="20"/>
                <w:szCs w:val="20"/>
                <w:color w:val="auto"/>
              </w:rPr>
            </w:pPr>
            <w:r>
              <w:rPr>
                <w:rFonts w:ascii="Arial" w:cs="Arial" w:eastAsia="Arial" w:hAnsi="Arial"/>
                <w:sz w:val="17"/>
                <w:szCs w:val="17"/>
                <w:b w:val="1"/>
                <w:bCs w:val="1"/>
                <w:color w:val="auto"/>
              </w:rPr>
              <w:t>First Quarters Ended</w:t>
            </w:r>
          </w:p>
        </w:tc>
      </w:tr>
      <w:tr>
        <w:trPr>
          <w:trHeight w:val="189"/>
        </w:trPr>
        <w:tc>
          <w:tcPr>
            <w:tcW w:w="4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80"/>
              <w:spacing w:after="0" w:line="189" w:lineRule="exact"/>
              <w:rPr>
                <w:sz w:val="20"/>
                <w:szCs w:val="20"/>
                <w:color w:val="auto"/>
              </w:rPr>
            </w:pPr>
            <w:r>
              <w:rPr>
                <w:rFonts w:ascii="Arial" w:cs="Arial" w:eastAsia="Arial" w:hAnsi="Arial"/>
                <w:sz w:val="17"/>
                <w:szCs w:val="17"/>
                <w:b w:val="1"/>
                <w:bCs w:val="1"/>
                <w:color w:val="auto"/>
              </w:rPr>
              <w:t>September 30,</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54"/>
              <w:spacing w:after="0" w:line="189" w:lineRule="exact"/>
              <w:rPr>
                <w:sz w:val="20"/>
                <w:szCs w:val="20"/>
                <w:color w:val="auto"/>
              </w:rPr>
            </w:pPr>
            <w:r>
              <w:rPr>
                <w:rFonts w:ascii="Arial" w:cs="Arial" w:eastAsia="Arial" w:hAnsi="Arial"/>
                <w:sz w:val="17"/>
                <w:szCs w:val="17"/>
                <w:b w:val="1"/>
                <w:bCs w:val="1"/>
                <w:color w:val="auto"/>
              </w:rPr>
              <w:t>October 1,</w:t>
            </w:r>
          </w:p>
        </w:tc>
        <w:tc>
          <w:tcPr>
            <w:tcW w:w="180" w:type="dxa"/>
            <w:vAlign w:val="bottom"/>
          </w:tcPr>
          <w:p>
            <w:pPr>
              <w:spacing w:after="0"/>
              <w:rPr>
                <w:sz w:val="16"/>
                <w:szCs w:val="16"/>
                <w:color w:val="auto"/>
              </w:rPr>
            </w:pPr>
          </w:p>
        </w:tc>
      </w:tr>
      <w:tr>
        <w:trPr>
          <w:trHeight w:val="231"/>
        </w:trPr>
        <w:tc>
          <w:tcPr>
            <w:tcW w:w="4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2017</w:t>
            </w: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2016</w:t>
            </w:r>
          </w:p>
        </w:tc>
        <w:tc>
          <w:tcPr>
            <w:tcW w:w="180" w:type="dxa"/>
            <w:vAlign w:val="bottom"/>
          </w:tcPr>
          <w:p>
            <w:pPr>
              <w:spacing w:after="0"/>
              <w:rPr>
                <w:sz w:val="20"/>
                <w:szCs w:val="20"/>
                <w:color w:val="auto"/>
              </w:rPr>
            </w:pPr>
          </w:p>
        </w:tc>
      </w:tr>
      <w:tr>
        <w:trPr>
          <w:trHeight w:val="207"/>
        </w:trPr>
        <w:tc>
          <w:tcPr>
            <w:tcW w:w="4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gridSpan w:val="5"/>
          </w:tcPr>
          <w:p>
            <w:pPr>
              <w:jc w:val="right"/>
              <w:ind w:right="34"/>
              <w:spacing w:after="0"/>
              <w:rPr>
                <w:sz w:val="20"/>
                <w:szCs w:val="20"/>
                <w:color w:val="auto"/>
              </w:rPr>
            </w:pPr>
            <w:r>
              <w:rPr>
                <w:rFonts w:ascii="Arial" w:cs="Arial" w:eastAsia="Arial" w:hAnsi="Arial"/>
                <w:sz w:val="17"/>
                <w:szCs w:val="17"/>
                <w:b w:val="1"/>
                <w:bCs w:val="1"/>
                <w:color w:val="auto"/>
                <w:w w:val="88"/>
              </w:rPr>
              <w:t>(Thousands, except per share amounts)</w:t>
            </w:r>
          </w:p>
        </w:tc>
        <w:tc>
          <w:tcPr>
            <w:tcW w:w="180" w:type="dxa"/>
            <w:vAlign w:val="bottom"/>
          </w:tcPr>
          <w:p>
            <w:pPr>
              <w:spacing w:after="0"/>
              <w:rPr>
                <w:sz w:val="17"/>
                <w:szCs w:val="17"/>
                <w:color w:val="auto"/>
              </w:rPr>
            </w:pPr>
          </w:p>
        </w:tc>
      </w:tr>
      <w:tr>
        <w:trPr>
          <w:trHeight w:val="220"/>
        </w:trPr>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4,660,943</w:t>
            </w:r>
          </w:p>
        </w:tc>
        <w:tc>
          <w:tcPr>
            <w:tcW w:w="2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4,118,104</w:t>
            </w:r>
          </w:p>
        </w:tc>
        <w:tc>
          <w:tcPr>
            <w:tcW w:w="180" w:type="dxa"/>
            <w:vAlign w:val="bottom"/>
            <w:shd w:val="clear" w:color="auto" w:fill="CCEEFF"/>
          </w:tcPr>
          <w:p>
            <w:pPr>
              <w:spacing w:after="0"/>
              <w:rPr>
                <w:sz w:val="19"/>
                <w:szCs w:val="19"/>
                <w:color w:val="auto"/>
              </w:rPr>
            </w:pPr>
          </w:p>
        </w:tc>
      </w:tr>
      <w:tr>
        <w:trPr>
          <w:trHeight w:val="213"/>
        </w:trPr>
        <w:tc>
          <w:tcPr>
            <w:tcW w:w="45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Cost of sales</w:t>
            </w: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4,048,388</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3,595,449</w:t>
            </w:r>
          </w:p>
        </w:tc>
        <w:tc>
          <w:tcPr>
            <w:tcW w:w="180" w:type="dxa"/>
            <w:vAlign w:val="bottom"/>
            <w:tcBorders>
              <w:bottom w:val="single" w:sz="8" w:color="CCEEFF"/>
            </w:tcBorders>
          </w:tcPr>
          <w:p>
            <w:pPr>
              <w:spacing w:after="0"/>
              <w:rPr>
                <w:sz w:val="18"/>
                <w:szCs w:val="18"/>
                <w:color w:val="auto"/>
              </w:rPr>
            </w:pPr>
          </w:p>
        </w:tc>
      </w:tr>
      <w:tr>
        <w:trPr>
          <w:trHeight w:val="207"/>
        </w:trPr>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612,555</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522,655</w:t>
            </w:r>
          </w:p>
        </w:tc>
        <w:tc>
          <w:tcPr>
            <w:tcW w:w="180" w:type="dxa"/>
            <w:vAlign w:val="bottom"/>
            <w:shd w:val="clear" w:color="auto" w:fill="CCEEFF"/>
          </w:tcPr>
          <w:p>
            <w:pPr>
              <w:spacing w:after="0"/>
              <w:rPr>
                <w:sz w:val="17"/>
                <w:szCs w:val="17"/>
                <w:color w:val="auto"/>
              </w:rPr>
            </w:pPr>
          </w:p>
        </w:tc>
      </w:tr>
      <w:tr>
        <w:trPr>
          <w:trHeight w:val="220"/>
        </w:trPr>
        <w:tc>
          <w:tcPr>
            <w:tcW w:w="454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496,206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363,672</w:t>
            </w:r>
          </w:p>
        </w:tc>
        <w:tc>
          <w:tcPr>
            <w:tcW w:w="180" w:type="dxa"/>
            <w:vAlign w:val="bottom"/>
          </w:tcPr>
          <w:p>
            <w:pPr>
              <w:spacing w:after="0"/>
              <w:rPr>
                <w:sz w:val="19"/>
                <w:szCs w:val="19"/>
                <w:color w:val="auto"/>
              </w:rPr>
            </w:pPr>
          </w:p>
        </w:tc>
      </w:tr>
      <w:tr>
        <w:trPr>
          <w:trHeight w:val="227"/>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Restructuring, integration and other expenses</w:t>
            </w: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46,394</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29,469</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193"/>
        </w:trPr>
        <w:tc>
          <w:tcPr>
            <w:tcW w:w="4540" w:type="dxa"/>
            <w:vAlign w:val="bottom"/>
          </w:tcPr>
          <w:p>
            <w:pPr>
              <w:spacing w:after="0" w:line="193" w:lineRule="exact"/>
              <w:rPr>
                <w:sz w:val="20"/>
                <w:szCs w:val="20"/>
                <w:color w:val="auto"/>
              </w:rPr>
            </w:pPr>
            <w:r>
              <w:rPr>
                <w:rFonts w:ascii="Arial" w:cs="Arial" w:eastAsia="Arial" w:hAnsi="Arial"/>
                <w:sz w:val="17"/>
                <w:szCs w:val="17"/>
                <w:color w:val="auto"/>
              </w:rPr>
              <w:t>Operating income</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line="193" w:lineRule="exact"/>
              <w:rPr>
                <w:sz w:val="20"/>
                <w:szCs w:val="20"/>
                <w:color w:val="auto"/>
              </w:rPr>
            </w:pPr>
            <w:r>
              <w:rPr>
                <w:rFonts w:ascii="Arial" w:cs="Arial" w:eastAsia="Arial" w:hAnsi="Arial"/>
                <w:sz w:val="17"/>
                <w:szCs w:val="17"/>
                <w:color w:val="auto"/>
              </w:rPr>
              <w:t>69,955</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Arial" w:cs="Arial" w:eastAsia="Arial" w:hAnsi="Arial"/>
                <w:sz w:val="17"/>
                <w:szCs w:val="17"/>
                <w:color w:val="auto"/>
              </w:rPr>
              <w:t>129,514</w:t>
            </w:r>
          </w:p>
        </w:tc>
        <w:tc>
          <w:tcPr>
            <w:tcW w:w="180" w:type="dxa"/>
            <w:vAlign w:val="bottom"/>
          </w:tcPr>
          <w:p>
            <w:pPr>
              <w:spacing w:after="0"/>
              <w:rPr>
                <w:sz w:val="16"/>
                <w:szCs w:val="16"/>
                <w:color w:val="auto"/>
              </w:rPr>
            </w:pPr>
          </w:p>
        </w:tc>
      </w:tr>
      <w:tr>
        <w:trPr>
          <w:trHeight w:val="220"/>
        </w:trPr>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15,579</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(13,734)</w:t>
            </w:r>
          </w:p>
        </w:tc>
        <w:tc>
          <w:tcPr>
            <w:tcW w:w="180" w:type="dxa"/>
            <w:vAlign w:val="bottom"/>
            <w:shd w:val="clear" w:color="auto" w:fill="CCEEFF"/>
          </w:tcPr>
          <w:p>
            <w:pPr>
              <w:spacing w:after="0"/>
              <w:rPr>
                <w:sz w:val="19"/>
                <w:szCs w:val="19"/>
                <w:color w:val="auto"/>
              </w:rPr>
            </w:pPr>
          </w:p>
        </w:tc>
      </w:tr>
      <w:tr>
        <w:trPr>
          <w:trHeight w:val="213"/>
        </w:trPr>
        <w:tc>
          <w:tcPr>
            <w:tcW w:w="45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Interest expense</w:t>
            </w: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(24,060)</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(27,236)</w:t>
            </w:r>
          </w:p>
        </w:tc>
        <w:tc>
          <w:tcPr>
            <w:tcW w:w="180" w:type="dxa"/>
            <w:vAlign w:val="bottom"/>
            <w:tcBorders>
              <w:bottom w:val="single" w:sz="8" w:color="CCEEFF"/>
            </w:tcBorders>
          </w:tcPr>
          <w:p>
            <w:pPr>
              <w:spacing w:after="0"/>
              <w:rPr>
                <w:sz w:val="18"/>
                <w:szCs w:val="18"/>
                <w:color w:val="auto"/>
              </w:rPr>
            </w:pPr>
          </w:p>
        </w:tc>
      </w:tr>
      <w:tr>
        <w:trPr>
          <w:trHeight w:val="207"/>
        </w:trPr>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Income from continuing operations before taxes</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61,474</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88,544</w:t>
            </w:r>
          </w:p>
        </w:tc>
        <w:tc>
          <w:tcPr>
            <w:tcW w:w="180" w:type="dxa"/>
            <w:vAlign w:val="bottom"/>
            <w:shd w:val="clear" w:color="auto" w:fill="CCEEFF"/>
          </w:tcPr>
          <w:p>
            <w:pPr>
              <w:spacing w:after="0"/>
              <w:rPr>
                <w:sz w:val="17"/>
                <w:szCs w:val="17"/>
                <w:color w:val="auto"/>
              </w:rPr>
            </w:pPr>
          </w:p>
        </w:tc>
      </w:tr>
      <w:tr>
        <w:trPr>
          <w:trHeight w:val="213"/>
        </w:trPr>
        <w:tc>
          <w:tcPr>
            <w:tcW w:w="45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Income tax expense</w:t>
            </w: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3,292</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20,856</w:t>
            </w:r>
          </w:p>
        </w:tc>
        <w:tc>
          <w:tcPr>
            <w:tcW w:w="180" w:type="dxa"/>
            <w:vAlign w:val="bottom"/>
            <w:tcBorders>
              <w:bottom w:val="single" w:sz="8" w:color="CCEEFF"/>
            </w:tcBorders>
          </w:tcPr>
          <w:p>
            <w:pPr>
              <w:spacing w:after="0"/>
              <w:rPr>
                <w:sz w:val="18"/>
                <w:szCs w:val="18"/>
                <w:color w:val="auto"/>
              </w:rPr>
            </w:pPr>
          </w:p>
        </w:tc>
      </w:tr>
      <w:tr>
        <w:trPr>
          <w:trHeight w:val="207"/>
        </w:trPr>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Income from continuing operations, net of tax</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58,182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67,688</w:t>
            </w:r>
          </w:p>
        </w:tc>
        <w:tc>
          <w:tcPr>
            <w:tcW w:w="180" w:type="dxa"/>
            <w:vAlign w:val="bottom"/>
            <w:shd w:val="clear" w:color="auto" w:fill="CCEEFF"/>
          </w:tcPr>
          <w:p>
            <w:pPr>
              <w:spacing w:after="0"/>
              <w:rPr>
                <w:sz w:val="17"/>
                <w:szCs w:val="17"/>
                <w:color w:val="auto"/>
              </w:rPr>
            </w:pPr>
          </w:p>
        </w:tc>
      </w:tr>
      <w:tr>
        <w:trPr>
          <w:trHeight w:val="213"/>
        </w:trPr>
        <w:tc>
          <w:tcPr>
            <w:tcW w:w="45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Income from discontinued operations, net of tax</w:t>
            </w: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1,155</w:t>
            </w:r>
          </w:p>
        </w:tc>
        <w:tc>
          <w:tcPr>
            <w:tcW w:w="180" w:type="dxa"/>
            <w:vAlign w:val="bottom"/>
            <w:tcBorders>
              <w:bottom w:val="single" w:sz="8" w:color="CCEEFF"/>
            </w:tcBorders>
          </w:tcPr>
          <w:p>
            <w:pPr>
              <w:spacing w:after="0"/>
              <w:rPr>
                <w:sz w:val="18"/>
                <w:szCs w:val="18"/>
                <w:color w:val="auto"/>
              </w:rPr>
            </w:pPr>
          </w:p>
        </w:tc>
      </w:tr>
      <w:tr>
        <w:trPr>
          <w:trHeight w:val="213"/>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w:t>
            </w: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58,303</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68,843</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7"/>
        </w:trPr>
        <w:tc>
          <w:tcPr>
            <w:tcW w:w="4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0"/>
        </w:trPr>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Earnings per share - basic:</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20"/>
        </w:trPr>
        <w:tc>
          <w:tcPr>
            <w:tcW w:w="4540" w:type="dxa"/>
            <w:vAlign w:val="bottom"/>
          </w:tcPr>
          <w:p>
            <w:pPr>
              <w:ind w:left="100"/>
              <w:spacing w:after="0"/>
              <w:rPr>
                <w:sz w:val="20"/>
                <w:szCs w:val="20"/>
                <w:color w:val="auto"/>
              </w:rPr>
            </w:pPr>
            <w:r>
              <w:rPr>
                <w:rFonts w:ascii="Arial" w:cs="Arial" w:eastAsia="Arial" w:hAnsi="Arial"/>
                <w:sz w:val="17"/>
                <w:szCs w:val="17"/>
                <w:color w:val="auto"/>
              </w:rPr>
              <w:t>Continuing operations</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0.48</w:t>
            </w:r>
          </w:p>
        </w:tc>
        <w:tc>
          <w:tcPr>
            <w:tcW w:w="240" w:type="dxa"/>
            <w:vAlign w:val="bottom"/>
          </w:tcPr>
          <w:p>
            <w:pPr>
              <w:spacing w:after="0"/>
              <w:rPr>
                <w:sz w:val="19"/>
                <w:szCs w:val="19"/>
                <w:color w:val="auto"/>
              </w:rPr>
            </w:pPr>
          </w:p>
        </w:tc>
        <w:tc>
          <w:tcPr>
            <w:tcW w:w="22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0.53</w:t>
            </w:r>
          </w:p>
        </w:tc>
        <w:tc>
          <w:tcPr>
            <w:tcW w:w="180" w:type="dxa"/>
            <w:vAlign w:val="bottom"/>
          </w:tcPr>
          <w:p>
            <w:pPr>
              <w:spacing w:after="0"/>
              <w:rPr>
                <w:sz w:val="19"/>
                <w:szCs w:val="19"/>
                <w:color w:val="auto"/>
              </w:rPr>
            </w:pPr>
          </w:p>
        </w:tc>
      </w:tr>
      <w:tr>
        <w:trPr>
          <w:trHeight w:val="227"/>
        </w:trPr>
        <w:tc>
          <w:tcPr>
            <w:tcW w:w="4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Discontinued operations</w:t>
            </w: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199"/>
        </w:trPr>
        <w:tc>
          <w:tcPr>
            <w:tcW w:w="4540" w:type="dxa"/>
            <w:vAlign w:val="bottom"/>
            <w:tcBorders>
              <w:bottom w:val="single" w:sz="8" w:color="CCEEFF"/>
            </w:tcBorders>
          </w:tcPr>
          <w:p>
            <w:pPr>
              <w:ind w:left="100"/>
              <w:spacing w:after="0" w:line="193" w:lineRule="exact"/>
              <w:rPr>
                <w:sz w:val="20"/>
                <w:szCs w:val="20"/>
                <w:color w:val="auto"/>
              </w:rPr>
            </w:pPr>
            <w:r>
              <w:rPr>
                <w:rFonts w:ascii="Arial" w:cs="Arial" w:eastAsia="Arial" w:hAnsi="Arial"/>
                <w:sz w:val="17"/>
                <w:szCs w:val="17"/>
                <w:color w:val="auto"/>
              </w:rPr>
              <w:t>Net income per share basic</w:t>
            </w:r>
          </w:p>
        </w:tc>
        <w:tc>
          <w:tcPr>
            <w:tcW w:w="1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0.48</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0.54</w:t>
            </w:r>
          </w:p>
        </w:tc>
        <w:tc>
          <w:tcPr>
            <w:tcW w:w="180" w:type="dxa"/>
            <w:vAlign w:val="bottom"/>
            <w:tcBorders>
              <w:bottom w:val="single" w:sz="8" w:color="CCEEFF"/>
            </w:tcBorders>
          </w:tcPr>
          <w:p>
            <w:pPr>
              <w:spacing w:after="0"/>
              <w:rPr>
                <w:sz w:val="17"/>
                <w:szCs w:val="17"/>
                <w:color w:val="auto"/>
              </w:rPr>
            </w:pPr>
          </w:p>
        </w:tc>
      </w:tr>
      <w:tr>
        <w:trPr>
          <w:trHeight w:val="207"/>
        </w:trPr>
        <w:tc>
          <w:tcPr>
            <w:tcW w:w="4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20"/>
        </w:trPr>
        <w:tc>
          <w:tcPr>
            <w:tcW w:w="4540" w:type="dxa"/>
            <w:vAlign w:val="bottom"/>
          </w:tcPr>
          <w:p>
            <w:pPr>
              <w:spacing w:after="0"/>
              <w:rPr>
                <w:sz w:val="20"/>
                <w:szCs w:val="20"/>
                <w:color w:val="auto"/>
              </w:rPr>
            </w:pPr>
            <w:r>
              <w:rPr>
                <w:rFonts w:ascii="Arial" w:cs="Arial" w:eastAsia="Arial" w:hAnsi="Arial"/>
                <w:sz w:val="17"/>
                <w:szCs w:val="17"/>
                <w:color w:val="auto"/>
              </w:rPr>
              <w:t>Earnings per share - diluted:</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0"/>
        </w:trPr>
        <w:tc>
          <w:tcPr>
            <w:tcW w:w="45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Continuing operations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0.47</w:t>
            </w:r>
          </w:p>
        </w:tc>
        <w:tc>
          <w:tcPr>
            <w:tcW w:w="2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180" w:type="dxa"/>
            <w:vAlign w:val="bottom"/>
            <w:shd w:val="clear" w:color="auto" w:fill="CCEEFF"/>
          </w:tcPr>
          <w:p>
            <w:pPr>
              <w:spacing w:after="0"/>
              <w:rPr>
                <w:sz w:val="19"/>
                <w:szCs w:val="19"/>
                <w:color w:val="auto"/>
              </w:rPr>
            </w:pPr>
          </w:p>
        </w:tc>
      </w:tr>
      <w:tr>
        <w:trPr>
          <w:trHeight w:val="213"/>
        </w:trPr>
        <w:tc>
          <w:tcPr>
            <w:tcW w:w="454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Discontinued operations</w:t>
            </w: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0.00</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180" w:type="dxa"/>
            <w:vAlign w:val="bottom"/>
            <w:tcBorders>
              <w:bottom w:val="single" w:sz="8" w:color="CCEEFF"/>
            </w:tcBorders>
          </w:tcPr>
          <w:p>
            <w:pPr>
              <w:spacing w:after="0"/>
              <w:rPr>
                <w:sz w:val="18"/>
                <w:szCs w:val="18"/>
                <w:color w:val="auto"/>
              </w:rPr>
            </w:pPr>
          </w:p>
        </w:tc>
      </w:tr>
      <w:tr>
        <w:trPr>
          <w:trHeight w:val="213"/>
        </w:trPr>
        <w:tc>
          <w:tcPr>
            <w:tcW w:w="4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Net income per share diluted</w:t>
            </w: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0.47</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0.53</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7"/>
        </w:trPr>
        <w:tc>
          <w:tcPr>
            <w:tcW w:w="4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0"/>
        </w:trPr>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Shares used to compute earnings per share:</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13"/>
        </w:trPr>
        <w:tc>
          <w:tcPr>
            <w:tcW w:w="454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Basic</w:t>
            </w: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122,685</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127,531</w:t>
            </w:r>
          </w:p>
        </w:tc>
        <w:tc>
          <w:tcPr>
            <w:tcW w:w="180" w:type="dxa"/>
            <w:vAlign w:val="bottom"/>
            <w:tcBorders>
              <w:bottom w:val="single" w:sz="8" w:color="CCEEFF"/>
            </w:tcBorders>
          </w:tcPr>
          <w:p>
            <w:pPr>
              <w:spacing w:after="0"/>
              <w:rPr>
                <w:sz w:val="18"/>
                <w:szCs w:val="18"/>
                <w:color w:val="auto"/>
              </w:rPr>
            </w:pPr>
          </w:p>
        </w:tc>
      </w:tr>
      <w:tr>
        <w:trPr>
          <w:trHeight w:val="227"/>
        </w:trPr>
        <w:tc>
          <w:tcPr>
            <w:tcW w:w="4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Diluted</w:t>
            </w: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123,984</w:t>
            </w: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129,763</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199"/>
        </w:trPr>
        <w:tc>
          <w:tcPr>
            <w:tcW w:w="4540" w:type="dxa"/>
            <w:vAlign w:val="bottom"/>
          </w:tcPr>
          <w:p>
            <w:pPr>
              <w:spacing w:after="0" w:line="193" w:lineRule="exact"/>
              <w:rPr>
                <w:sz w:val="20"/>
                <w:szCs w:val="20"/>
                <w:color w:val="auto"/>
              </w:rPr>
            </w:pPr>
            <w:r>
              <w:rPr>
                <w:rFonts w:ascii="Arial" w:cs="Arial" w:eastAsia="Arial" w:hAnsi="Arial"/>
                <w:sz w:val="17"/>
                <w:szCs w:val="17"/>
                <w:color w:val="auto"/>
              </w:rPr>
              <w:t>Cash dividends paid per common share</w:t>
            </w:r>
          </w:p>
        </w:tc>
        <w:tc>
          <w:tcPr>
            <w:tcW w:w="12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0.18</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line="193"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0.17</w:t>
            </w:r>
          </w:p>
        </w:tc>
        <w:tc>
          <w:tcPr>
            <w:tcW w:w="180" w:type="dxa"/>
            <w:vAlign w:val="bottom"/>
          </w:tcPr>
          <w:p>
            <w:pPr>
              <w:spacing w:after="0"/>
              <w:rPr>
                <w:sz w:val="17"/>
                <w:szCs w:val="17"/>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5757545"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 w:name="page5"/>
    <w:bookmarkEnd w:id="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2" w:lineRule="exact"/>
        <w:rPr>
          <w:sz w:val="20"/>
          <w:szCs w:val="20"/>
          <w:color w:val="auto"/>
        </w:rPr>
      </w:pPr>
    </w:p>
    <w:p>
      <w:pPr>
        <w:jc w:val="center"/>
        <w:spacing w:after="0" w:line="283" w:lineRule="auto"/>
        <w:rPr>
          <w:sz w:val="20"/>
          <w:szCs w:val="20"/>
          <w:color w:val="auto"/>
        </w:rPr>
      </w:pPr>
      <w:r>
        <w:rPr>
          <w:rFonts w:ascii="Arial" w:cs="Arial" w:eastAsia="Arial" w:hAnsi="Arial"/>
          <w:sz w:val="17"/>
          <w:szCs w:val="17"/>
          <w:b w:val="1"/>
          <w:bCs w:val="1"/>
          <w:color w:val="auto"/>
        </w:rPr>
        <w:t>AVNET, INC. AND SUBSIDIARIES CONSOLIDATED STATEMENTS OF COMPREHENSIVE INCOME (Unaudited)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5"/>
          </w:tcPr>
          <w:p>
            <w:pPr>
              <w:ind w:left="160"/>
              <w:spacing w:after="0"/>
              <w:rPr>
                <w:sz w:val="20"/>
                <w:szCs w:val="20"/>
                <w:color w:val="auto"/>
              </w:rPr>
            </w:pPr>
            <w:r>
              <w:rPr>
                <w:rFonts w:ascii="Arial" w:cs="Arial" w:eastAsia="Arial" w:hAnsi="Arial"/>
                <w:sz w:val="17"/>
                <w:szCs w:val="17"/>
                <w:b w:val="1"/>
                <w:bCs w:val="1"/>
                <w:color w:val="auto"/>
              </w:rPr>
              <w:t>First Quarters Ended</w:t>
            </w:r>
          </w:p>
        </w:tc>
      </w:tr>
      <w:tr>
        <w:trPr>
          <w:trHeight w:val="189"/>
        </w:trPr>
        <w:tc>
          <w:tcPr>
            <w:tcW w:w="5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20" w:type="dxa"/>
            <w:vAlign w:val="bottom"/>
            <w:tcBorders>
              <w:top w:val="single" w:sz="8" w:color="auto"/>
            </w:tcBorders>
            <w:gridSpan w:val="2"/>
          </w:tcPr>
          <w:p>
            <w:pPr>
              <w:jc w:val="right"/>
              <w:spacing w:after="0" w:line="189" w:lineRule="exact"/>
              <w:rPr>
                <w:sz w:val="20"/>
                <w:szCs w:val="20"/>
                <w:color w:val="auto"/>
              </w:rPr>
            </w:pPr>
            <w:r>
              <w:rPr>
                <w:rFonts w:ascii="Arial" w:cs="Arial" w:eastAsia="Arial" w:hAnsi="Arial"/>
                <w:sz w:val="17"/>
                <w:szCs w:val="17"/>
                <w:b w:val="1"/>
                <w:bCs w:val="1"/>
                <w:color w:val="auto"/>
                <w:w w:val="91"/>
              </w:rPr>
              <w:t>September 30,</w:t>
            </w: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4"/>
              <w:spacing w:after="0" w:line="189" w:lineRule="exact"/>
              <w:rPr>
                <w:sz w:val="20"/>
                <w:szCs w:val="20"/>
                <w:color w:val="auto"/>
              </w:rPr>
            </w:pPr>
            <w:r>
              <w:rPr>
                <w:rFonts w:ascii="Arial" w:cs="Arial" w:eastAsia="Arial" w:hAnsi="Arial"/>
                <w:sz w:val="17"/>
                <w:szCs w:val="17"/>
                <w:b w:val="1"/>
                <w:bCs w:val="1"/>
                <w:color w:val="auto"/>
                <w:w w:val="92"/>
              </w:rPr>
              <w:t>October 1,</w:t>
            </w:r>
          </w:p>
        </w:tc>
        <w:tc>
          <w:tcPr>
            <w:tcW w:w="60" w:type="dxa"/>
            <w:vAlign w:val="bottom"/>
          </w:tcPr>
          <w:p>
            <w:pPr>
              <w:spacing w:after="0"/>
              <w:rPr>
                <w:sz w:val="16"/>
                <w:szCs w:val="16"/>
                <w:color w:val="auto"/>
              </w:rPr>
            </w:pPr>
          </w:p>
        </w:tc>
      </w:tr>
      <w:tr>
        <w:trPr>
          <w:trHeight w:val="231"/>
        </w:trPr>
        <w:tc>
          <w:tcPr>
            <w:tcW w:w="5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2017</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2016</w:t>
            </w:r>
          </w:p>
        </w:tc>
        <w:tc>
          <w:tcPr>
            <w:tcW w:w="60" w:type="dxa"/>
            <w:vAlign w:val="bottom"/>
          </w:tcPr>
          <w:p>
            <w:pPr>
              <w:spacing w:after="0"/>
              <w:rPr>
                <w:sz w:val="20"/>
                <w:szCs w:val="20"/>
                <w:color w:val="auto"/>
              </w:rPr>
            </w:pPr>
          </w:p>
        </w:tc>
      </w:tr>
      <w:tr>
        <w:trPr>
          <w:trHeight w:val="207"/>
        </w:trPr>
        <w:tc>
          <w:tcPr>
            <w:tcW w:w="5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4"/>
          </w:tcPr>
          <w:p>
            <w:pPr>
              <w:jc w:val="right"/>
              <w:ind w:right="654"/>
              <w:spacing w:after="0"/>
              <w:rPr>
                <w:sz w:val="20"/>
                <w:szCs w:val="20"/>
                <w:color w:val="auto"/>
              </w:rPr>
            </w:pPr>
            <w:r>
              <w:rPr>
                <w:rFonts w:ascii="Arial" w:cs="Arial" w:eastAsia="Arial" w:hAnsi="Arial"/>
                <w:sz w:val="17"/>
                <w:szCs w:val="17"/>
                <w:b w:val="1"/>
                <w:bCs w:val="1"/>
                <w:color w:val="auto"/>
              </w:rPr>
              <w:t>(Thousands)</w:t>
            </w:r>
          </w:p>
        </w:tc>
        <w:tc>
          <w:tcPr>
            <w:tcW w:w="60" w:type="dxa"/>
            <w:vAlign w:val="bottom"/>
          </w:tcPr>
          <w:p>
            <w:pPr>
              <w:spacing w:after="0"/>
              <w:rPr>
                <w:sz w:val="17"/>
                <w:szCs w:val="17"/>
                <w:color w:val="auto"/>
              </w:rPr>
            </w:pPr>
          </w:p>
        </w:tc>
      </w:tr>
      <w:tr>
        <w:trPr>
          <w:trHeight w:val="220"/>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740" w:type="dxa"/>
            <w:vAlign w:val="bottom"/>
            <w:gridSpan w:val="2"/>
            <w:shd w:val="clear" w:color="auto" w:fill="CCEEFF"/>
          </w:tcPr>
          <w:p>
            <w:pPr>
              <w:jc w:val="right"/>
              <w:ind w:right="79"/>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58,303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68,843</w:t>
            </w:r>
          </w:p>
        </w:tc>
        <w:tc>
          <w:tcPr>
            <w:tcW w:w="60" w:type="dxa"/>
            <w:vAlign w:val="bottom"/>
            <w:shd w:val="clear" w:color="auto" w:fill="CCEEFF"/>
          </w:tcPr>
          <w:p>
            <w:pPr>
              <w:spacing w:after="0"/>
              <w:rPr>
                <w:sz w:val="19"/>
                <w:szCs w:val="19"/>
                <w:color w:val="auto"/>
              </w:rPr>
            </w:pPr>
          </w:p>
        </w:tc>
      </w:tr>
      <w:tr>
        <w:trPr>
          <w:trHeight w:val="220"/>
        </w:trPr>
        <w:tc>
          <w:tcPr>
            <w:tcW w:w="5100" w:type="dxa"/>
            <w:vAlign w:val="bottom"/>
          </w:tcPr>
          <w:p>
            <w:pPr>
              <w:spacing w:after="0"/>
              <w:rPr>
                <w:sz w:val="20"/>
                <w:szCs w:val="20"/>
                <w:color w:val="auto"/>
              </w:rPr>
            </w:pPr>
            <w:r>
              <w:rPr>
                <w:rFonts w:ascii="Arial" w:cs="Arial" w:eastAsia="Arial" w:hAnsi="Arial"/>
                <w:sz w:val="17"/>
                <w:szCs w:val="17"/>
                <w:color w:val="auto"/>
              </w:rPr>
              <w:t>Other comprehensive income (loss), net of tax:</w:t>
            </w: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1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Foreign currency translation adjustments and other</w:t>
            </w: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88,843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31,661</w:t>
            </w:r>
          </w:p>
        </w:tc>
        <w:tc>
          <w:tcPr>
            <w:tcW w:w="60" w:type="dxa"/>
            <w:vAlign w:val="bottom"/>
            <w:shd w:val="clear" w:color="auto" w:fill="CCEEFF"/>
          </w:tcPr>
          <w:p>
            <w:pPr>
              <w:spacing w:after="0"/>
              <w:rPr>
                <w:sz w:val="19"/>
                <w:szCs w:val="19"/>
                <w:color w:val="auto"/>
              </w:rPr>
            </w:pPr>
          </w:p>
        </w:tc>
      </w:tr>
      <w:tr>
        <w:trPr>
          <w:trHeight w:val="213"/>
        </w:trPr>
        <w:tc>
          <w:tcPr>
            <w:tcW w:w="510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Pension adjustments, net</w:t>
            </w:r>
          </w:p>
        </w:tc>
        <w:tc>
          <w:tcPr>
            <w:tcW w:w="15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939</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619</w:t>
            </w:r>
          </w:p>
        </w:tc>
        <w:tc>
          <w:tcPr>
            <w:tcW w:w="60" w:type="dxa"/>
            <w:vAlign w:val="bottom"/>
            <w:tcBorders>
              <w:bottom w:val="single" w:sz="8" w:color="CCEEFF"/>
            </w:tcBorders>
          </w:tcPr>
          <w:p>
            <w:pPr>
              <w:spacing w:after="0"/>
              <w:rPr>
                <w:sz w:val="18"/>
                <w:szCs w:val="18"/>
                <w:color w:val="auto"/>
              </w:rPr>
            </w:pPr>
          </w:p>
        </w:tc>
      </w:tr>
      <w:tr>
        <w:trPr>
          <w:trHeight w:val="213"/>
        </w:trPr>
        <w:tc>
          <w:tcPr>
            <w:tcW w:w="5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comprehensive income</w:t>
            </w:r>
          </w:p>
        </w:tc>
        <w:tc>
          <w:tcPr>
            <w:tcW w:w="15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148,085</w:t>
            </w: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101,123</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5757545" cy="24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6600" w:type="dxa"/>
            <w:vAlign w:val="bottom"/>
            <w:gridSpan w:val="3"/>
          </w:tcPr>
          <w:p>
            <w:pPr>
              <w:spacing w:after="0"/>
              <w:rPr>
                <w:rFonts w:ascii="Arial" w:cs="Arial" w:eastAsia="Arial" w:hAnsi="Arial"/>
                <w:sz w:val="17"/>
                <w:szCs w:val="17"/>
                <w:color w:val="0563C1"/>
              </w:rPr>
            </w:pPr>
            <w:hyperlink w:anchor="page2">
              <w:r>
                <w:rPr>
                  <w:rFonts w:ascii="Arial" w:cs="Arial" w:eastAsia="Arial" w:hAnsi="Arial"/>
                  <w:sz w:val="17"/>
                  <w:szCs w:val="17"/>
                  <w:color w:val="0563C1"/>
                </w:rPr>
                <w:t>Table of Contents</w:t>
              </w:r>
            </w:hyperlink>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4"/>
        </w:trPr>
        <w:tc>
          <w:tcPr>
            <w:tcW w:w="20" w:type="dxa"/>
            <w:vAlign w:val="bottom"/>
            <w:tcBorders>
              <w:top w:val="single" w:sz="8" w:color="0563C1"/>
            </w:tcBorders>
          </w:tcPr>
          <w:p>
            <w:pPr>
              <w:spacing w:after="0"/>
              <w:rPr>
                <w:sz w:val="24"/>
                <w:szCs w:val="24"/>
                <w:color w:val="auto"/>
              </w:rPr>
            </w:pPr>
          </w:p>
        </w:tc>
        <w:tc>
          <w:tcPr>
            <w:tcW w:w="1200" w:type="dxa"/>
            <w:vAlign w:val="bottom"/>
            <w:tcBorders>
              <w:top w:val="single" w:sz="8" w:color="0563C1"/>
            </w:tcBorders>
          </w:tcPr>
          <w:p>
            <w:pPr>
              <w:spacing w:after="0"/>
              <w:rPr>
                <w:sz w:val="24"/>
                <w:szCs w:val="24"/>
                <w:color w:val="auto"/>
              </w:rPr>
            </w:pPr>
          </w:p>
        </w:tc>
        <w:tc>
          <w:tcPr>
            <w:tcW w:w="5380" w:type="dxa"/>
            <w:vAlign w:val="bottom"/>
          </w:tcPr>
          <w:p>
            <w:pPr>
              <w:jc w:val="center"/>
              <w:ind w:left="1154"/>
              <w:spacing w:after="0"/>
              <w:rPr>
                <w:sz w:val="20"/>
                <w:szCs w:val="20"/>
                <w:color w:val="auto"/>
              </w:rPr>
            </w:pPr>
            <w:r>
              <w:rPr>
                <w:rFonts w:ascii="Arial" w:cs="Arial" w:eastAsia="Arial" w:hAnsi="Arial"/>
                <w:sz w:val="17"/>
                <w:szCs w:val="17"/>
                <w:b w:val="1"/>
                <w:bCs w:val="1"/>
                <w:color w:val="auto"/>
              </w:rPr>
              <w:t>AVNET, INC. AND SUBSIDIARIES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380" w:type="dxa"/>
            <w:vAlign w:val="bottom"/>
          </w:tcPr>
          <w:p>
            <w:pPr>
              <w:jc w:val="center"/>
              <w:ind w:left="1154"/>
              <w:spacing w:after="0"/>
              <w:rPr>
                <w:sz w:val="20"/>
                <w:szCs w:val="20"/>
                <w:color w:val="auto"/>
              </w:rPr>
            </w:pPr>
            <w:r>
              <w:rPr>
                <w:rFonts w:ascii="Arial" w:cs="Arial" w:eastAsia="Arial" w:hAnsi="Arial"/>
                <w:sz w:val="17"/>
                <w:szCs w:val="17"/>
                <w:b w:val="1"/>
                <w:bCs w:val="1"/>
                <w:color w:val="auto"/>
              </w:rPr>
              <w:t>CONSOLIDATED STATEMENTS OF CASH FLOWS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380" w:type="dxa"/>
            <w:vAlign w:val="bottom"/>
          </w:tcPr>
          <w:p>
            <w:pPr>
              <w:jc w:val="center"/>
              <w:ind w:left="1154"/>
              <w:spacing w:after="0"/>
              <w:rPr>
                <w:sz w:val="20"/>
                <w:szCs w:val="20"/>
                <w:color w:val="auto"/>
              </w:rPr>
            </w:pPr>
            <w:r>
              <w:rPr>
                <w:rFonts w:ascii="Arial" w:cs="Arial" w:eastAsia="Arial" w:hAnsi="Arial"/>
                <w:sz w:val="17"/>
                <w:szCs w:val="17"/>
                <w:b w:val="1"/>
                <w:bCs w:val="1"/>
                <w:color w:val="auto"/>
                <w:w w:val="95"/>
              </w:rPr>
              <w:t>(Unaudited)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5"/>
            <w:vMerge w:val="restart"/>
          </w:tcPr>
          <w:p>
            <w:pPr>
              <w:ind w:left="140"/>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Borders>
              <w:top w:val="single" w:sz="8" w:color="auto"/>
            </w:tcBorders>
            <w:gridSpan w:val="2"/>
          </w:tcPr>
          <w:p>
            <w:pPr>
              <w:jc w:val="right"/>
              <w:spacing w:after="0" w:line="150" w:lineRule="exact"/>
              <w:rPr>
                <w:sz w:val="20"/>
                <w:szCs w:val="20"/>
                <w:color w:val="auto"/>
              </w:rPr>
            </w:pPr>
            <w:r>
              <w:rPr>
                <w:rFonts w:ascii="Arial" w:cs="Arial" w:eastAsia="Arial" w:hAnsi="Arial"/>
                <w:sz w:val="17"/>
                <w:szCs w:val="17"/>
                <w:b w:val="1"/>
                <w:bCs w:val="1"/>
                <w:color w:val="auto"/>
                <w:w w:val="91"/>
              </w:rPr>
              <w:t>September 30,</w:t>
            </w: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54"/>
              <w:spacing w:after="0" w:line="150" w:lineRule="exact"/>
              <w:rPr>
                <w:sz w:val="20"/>
                <w:szCs w:val="20"/>
                <w:color w:val="auto"/>
              </w:rPr>
            </w:pPr>
            <w:r>
              <w:rPr>
                <w:rFonts w:ascii="Arial" w:cs="Arial" w:eastAsia="Arial" w:hAnsi="Arial"/>
                <w:sz w:val="17"/>
                <w:szCs w:val="17"/>
                <w:b w:val="1"/>
                <w:bCs w:val="1"/>
                <w:color w:val="auto"/>
                <w:w w:val="90"/>
              </w:rPr>
              <w:t>October 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2017</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4"/>
          </w:tcPr>
          <w:p>
            <w:pPr>
              <w:jc w:val="right"/>
              <w:ind w:right="634"/>
              <w:spacing w:after="0" w:line="181" w:lineRule="exact"/>
              <w:rPr>
                <w:sz w:val="20"/>
                <w:szCs w:val="20"/>
                <w:color w:val="auto"/>
              </w:rPr>
            </w:pPr>
            <w:r>
              <w:rPr>
                <w:rFonts w:ascii="Arial" w:cs="Arial" w:eastAsia="Arial" w:hAnsi="Arial"/>
                <w:sz w:val="17"/>
                <w:szCs w:val="17"/>
                <w:b w:val="1"/>
                <w:bCs w:val="1"/>
                <w:color w:val="auto"/>
              </w:rPr>
              <w:t>(Thousands)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gridSpan w:val="2"/>
            <w:shd w:val="clear" w:color="auto" w:fill="CCEEFF"/>
          </w:tcPr>
          <w:p>
            <w:pPr>
              <w:spacing w:after="0" w:line="181" w:lineRule="exact"/>
              <w:rPr>
                <w:sz w:val="20"/>
                <w:szCs w:val="20"/>
                <w:color w:val="auto"/>
              </w:rPr>
            </w:pPr>
            <w:r>
              <w:rPr>
                <w:rFonts w:ascii="Arial" w:cs="Arial" w:eastAsia="Arial" w:hAnsi="Arial"/>
                <w:sz w:val="17"/>
                <w:szCs w:val="17"/>
                <w:color w:val="auto"/>
              </w:rPr>
              <w:t>Cash flows from operating activities:</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gridSpan w:val="2"/>
          </w:tcPr>
          <w:p>
            <w:pPr>
              <w:ind w:left="80"/>
              <w:spacing w:after="0" w:line="181" w:lineRule="exact"/>
              <w:rPr>
                <w:sz w:val="20"/>
                <w:szCs w:val="20"/>
                <w:color w:val="auto"/>
              </w:rPr>
            </w:pPr>
            <w:r>
              <w:rPr>
                <w:rFonts w:ascii="Arial" w:cs="Arial" w:eastAsia="Arial" w:hAnsi="Arial"/>
                <w:sz w:val="17"/>
                <w:szCs w:val="17"/>
                <w:color w:val="auto"/>
              </w:rPr>
              <w:t>Net income</w:t>
            </w:r>
          </w:p>
        </w:tc>
        <w:tc>
          <w:tcPr>
            <w:tcW w:w="260" w:type="dxa"/>
            <w:vAlign w:val="bottom"/>
            <w:gridSpan w:val="2"/>
          </w:tcPr>
          <w:p>
            <w:pPr>
              <w:jc w:val="right"/>
              <w:ind w:right="79"/>
              <w:spacing w:after="0" w:line="181" w:lineRule="exact"/>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line="181" w:lineRule="exact"/>
              <w:rPr>
                <w:sz w:val="20"/>
                <w:szCs w:val="20"/>
                <w:color w:val="auto"/>
              </w:rPr>
            </w:pPr>
            <w:r>
              <w:rPr>
                <w:rFonts w:ascii="Arial" w:cs="Arial" w:eastAsia="Arial" w:hAnsi="Arial"/>
                <w:sz w:val="17"/>
                <w:szCs w:val="17"/>
                <w:color w:val="auto"/>
              </w:rPr>
              <w:t>58,303</w:t>
            </w:r>
          </w:p>
        </w:tc>
        <w:tc>
          <w:tcPr>
            <w:tcW w:w="300" w:type="dxa"/>
            <w:vAlign w:val="bottom"/>
            <w:gridSpan w:val="2"/>
          </w:tcPr>
          <w:p>
            <w:pPr>
              <w:jc w:val="right"/>
              <w:spacing w:after="0" w:line="181"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81" w:lineRule="exact"/>
              <w:rPr>
                <w:sz w:val="20"/>
                <w:szCs w:val="20"/>
                <w:color w:val="auto"/>
              </w:rPr>
            </w:pPr>
            <w:r>
              <w:rPr>
                <w:rFonts w:ascii="Arial" w:cs="Arial" w:eastAsia="Arial" w:hAnsi="Arial"/>
                <w:sz w:val="17"/>
                <w:szCs w:val="17"/>
                <w:color w:val="auto"/>
              </w:rPr>
              <w:t>68,843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580" w:type="dxa"/>
            <w:vAlign w:val="bottom"/>
            <w:tcBorders>
              <w:bottom w:val="single" w:sz="8" w:color="CCEEFF"/>
            </w:tcBorders>
            <w:gridSpan w:val="2"/>
            <w:shd w:val="clear" w:color="auto" w:fill="CCEEFF"/>
          </w:tcPr>
          <w:p>
            <w:pPr>
              <w:ind w:left="80"/>
              <w:spacing w:after="0" w:line="181" w:lineRule="exact"/>
              <w:rPr>
                <w:sz w:val="20"/>
                <w:szCs w:val="20"/>
                <w:color w:val="auto"/>
              </w:rPr>
            </w:pPr>
            <w:r>
              <w:rPr>
                <w:rFonts w:ascii="Arial" w:cs="Arial" w:eastAsia="Arial" w:hAnsi="Arial"/>
                <w:sz w:val="17"/>
                <w:szCs w:val="17"/>
                <w:color w:val="auto"/>
              </w:rPr>
              <w:t>Less: Income from discontinued operations, net of tax</w:t>
            </w: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121</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1,155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80" w:type="dxa"/>
            <w:vAlign w:val="bottom"/>
            <w:gridSpan w:val="2"/>
          </w:tcPr>
          <w:p>
            <w:pPr>
              <w:ind w:left="80"/>
              <w:spacing w:after="0" w:line="167" w:lineRule="exact"/>
              <w:rPr>
                <w:sz w:val="20"/>
                <w:szCs w:val="20"/>
                <w:color w:val="auto"/>
              </w:rPr>
            </w:pPr>
            <w:r>
              <w:rPr>
                <w:rFonts w:ascii="Arial" w:cs="Arial" w:eastAsia="Arial" w:hAnsi="Arial"/>
                <w:sz w:val="17"/>
                <w:szCs w:val="17"/>
                <w:color w:val="auto"/>
              </w:rPr>
              <w:t>Income from continuing operations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67" w:lineRule="exact"/>
              <w:rPr>
                <w:sz w:val="20"/>
                <w:szCs w:val="20"/>
                <w:color w:val="auto"/>
              </w:rPr>
            </w:pPr>
            <w:r>
              <w:rPr>
                <w:rFonts w:ascii="Arial" w:cs="Arial" w:eastAsia="Arial" w:hAnsi="Arial"/>
                <w:sz w:val="17"/>
                <w:szCs w:val="17"/>
                <w:color w:val="auto"/>
              </w:rPr>
              <w:t>58,182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line="167" w:lineRule="exact"/>
              <w:rPr>
                <w:sz w:val="20"/>
                <w:szCs w:val="20"/>
                <w:color w:val="auto"/>
              </w:rPr>
            </w:pPr>
            <w:r>
              <w:rPr>
                <w:rFonts w:ascii="Arial" w:cs="Arial" w:eastAsia="Arial" w:hAnsi="Arial"/>
                <w:sz w:val="17"/>
                <w:szCs w:val="17"/>
                <w:color w:val="auto"/>
              </w:rPr>
              <w:t>67,688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gridSpan w:val="2"/>
          </w:tcPr>
          <w:p>
            <w:pPr>
              <w:ind w:left="80"/>
              <w:spacing w:after="0" w:line="181" w:lineRule="exact"/>
              <w:rPr>
                <w:sz w:val="20"/>
                <w:szCs w:val="20"/>
                <w:color w:val="auto"/>
              </w:rPr>
            </w:pPr>
            <w:r>
              <w:rPr>
                <w:rFonts w:ascii="Arial" w:cs="Arial" w:eastAsia="Arial" w:hAnsi="Arial"/>
                <w:sz w:val="17"/>
                <w:szCs w:val="17"/>
                <w:color w:val="auto"/>
              </w:rPr>
              <w:t>Non-cash and other reconciling items: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gridSpan w:val="2"/>
            <w:shd w:val="clear" w:color="auto" w:fill="CCEEFF"/>
          </w:tcPr>
          <w:p>
            <w:pPr>
              <w:ind w:left="280"/>
              <w:spacing w:after="0" w:line="181" w:lineRule="exact"/>
              <w:rPr>
                <w:sz w:val="20"/>
                <w:szCs w:val="20"/>
                <w:color w:val="auto"/>
              </w:rPr>
            </w:pPr>
            <w:r>
              <w:rPr>
                <w:rFonts w:ascii="Arial" w:cs="Arial" w:eastAsia="Arial" w:hAnsi="Arial"/>
                <w:sz w:val="17"/>
                <w:szCs w:val="17"/>
                <w:color w:val="auto"/>
              </w:rPr>
              <w:t>Depreciation</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38,263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19,694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gridSpan w:val="2"/>
          </w:tcPr>
          <w:p>
            <w:pPr>
              <w:ind w:left="280"/>
              <w:spacing w:after="0" w:line="181" w:lineRule="exact"/>
              <w:rPr>
                <w:sz w:val="20"/>
                <w:szCs w:val="20"/>
                <w:color w:val="auto"/>
              </w:rPr>
            </w:pPr>
            <w:r>
              <w:rPr>
                <w:rFonts w:ascii="Arial" w:cs="Arial" w:eastAsia="Arial" w:hAnsi="Arial"/>
                <w:sz w:val="17"/>
                <w:szCs w:val="17"/>
                <w:color w:val="auto"/>
              </w:rPr>
              <w:t>Amortization</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7"/>
                <w:szCs w:val="17"/>
                <w:color w:val="auto"/>
              </w:rPr>
              <w:t>25,506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81" w:lineRule="exact"/>
              <w:rPr>
                <w:sz w:val="20"/>
                <w:szCs w:val="20"/>
                <w:color w:val="auto"/>
              </w:rPr>
            </w:pPr>
            <w:r>
              <w:rPr>
                <w:rFonts w:ascii="Arial" w:cs="Arial" w:eastAsia="Arial" w:hAnsi="Arial"/>
                <w:sz w:val="17"/>
                <w:szCs w:val="17"/>
                <w:color w:val="auto"/>
              </w:rPr>
              <w:t>1,930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gridSpan w:val="2"/>
            <w:shd w:val="clear" w:color="auto" w:fill="CCEEFF"/>
          </w:tcPr>
          <w:p>
            <w:pPr>
              <w:ind w:left="280"/>
              <w:spacing w:after="0" w:line="181" w:lineRule="exact"/>
              <w:rPr>
                <w:sz w:val="20"/>
                <w:szCs w:val="20"/>
                <w:color w:val="auto"/>
              </w:rPr>
            </w:pPr>
            <w:r>
              <w:rPr>
                <w:rFonts w:ascii="Arial" w:cs="Arial" w:eastAsia="Arial" w:hAnsi="Arial"/>
                <w:sz w:val="17"/>
                <w:szCs w:val="17"/>
                <w:color w:val="auto"/>
              </w:rPr>
              <w:t>Deferred income taxes</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(23,436)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6,412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gridSpan w:val="2"/>
          </w:tcPr>
          <w:p>
            <w:pPr>
              <w:ind w:left="280"/>
              <w:spacing w:after="0" w:line="181" w:lineRule="exact"/>
              <w:rPr>
                <w:sz w:val="20"/>
                <w:szCs w:val="20"/>
                <w:color w:val="auto"/>
              </w:rPr>
            </w:pPr>
            <w:r>
              <w:rPr>
                <w:rFonts w:ascii="Arial" w:cs="Arial" w:eastAsia="Arial" w:hAnsi="Arial"/>
                <w:sz w:val="17"/>
                <w:szCs w:val="17"/>
                <w:color w:val="auto"/>
              </w:rPr>
              <w:t>Stock-based compensation</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7"/>
                <w:szCs w:val="17"/>
                <w:color w:val="auto"/>
              </w:rPr>
              <w:t>8,609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81" w:lineRule="exact"/>
              <w:rPr>
                <w:sz w:val="20"/>
                <w:szCs w:val="20"/>
                <w:color w:val="auto"/>
              </w:rPr>
            </w:pPr>
            <w:r>
              <w:rPr>
                <w:rFonts w:ascii="Arial" w:cs="Arial" w:eastAsia="Arial" w:hAnsi="Arial"/>
                <w:sz w:val="17"/>
                <w:szCs w:val="17"/>
                <w:color w:val="auto"/>
              </w:rPr>
              <w:t>17,576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gridSpan w:val="2"/>
            <w:shd w:val="clear" w:color="auto" w:fill="CCEEFF"/>
          </w:tcPr>
          <w:p>
            <w:pPr>
              <w:ind w:left="280"/>
              <w:spacing w:after="0" w:line="181" w:lineRule="exact"/>
              <w:rPr>
                <w:sz w:val="20"/>
                <w:szCs w:val="20"/>
                <w:color w:val="auto"/>
              </w:rPr>
            </w:pPr>
            <w:r>
              <w:rPr>
                <w:rFonts w:ascii="Arial" w:cs="Arial" w:eastAsia="Arial" w:hAnsi="Arial"/>
                <w:sz w:val="17"/>
                <w:szCs w:val="17"/>
                <w:color w:val="auto"/>
              </w:rPr>
              <w:t>Other, net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4,902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10,714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gridSpan w:val="2"/>
          </w:tcPr>
          <w:p>
            <w:pPr>
              <w:ind w:left="80"/>
              <w:spacing w:after="0" w:line="181" w:lineRule="exact"/>
              <w:rPr>
                <w:sz w:val="20"/>
                <w:szCs w:val="20"/>
                <w:color w:val="auto"/>
              </w:rPr>
            </w:pPr>
            <w:r>
              <w:rPr>
                <w:rFonts w:ascii="Arial" w:cs="Arial" w:eastAsia="Arial" w:hAnsi="Arial"/>
                <w:sz w:val="17"/>
                <w:szCs w:val="17"/>
                <w:color w:val="auto"/>
              </w:rPr>
              <w:t>Changes in (net of effects from businesses acquired and divested):</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gridSpan w:val="2"/>
            <w:shd w:val="clear" w:color="auto" w:fill="CCEEFF"/>
          </w:tcPr>
          <w:p>
            <w:pPr>
              <w:ind w:left="280"/>
              <w:spacing w:after="0" w:line="181" w:lineRule="exact"/>
              <w:rPr>
                <w:sz w:val="20"/>
                <w:szCs w:val="20"/>
                <w:color w:val="auto"/>
              </w:rPr>
            </w:pPr>
            <w:r>
              <w:rPr>
                <w:rFonts w:ascii="Arial" w:cs="Arial" w:eastAsia="Arial" w:hAnsi="Arial"/>
                <w:sz w:val="17"/>
                <w:szCs w:val="17"/>
                <w:color w:val="auto"/>
              </w:rPr>
              <w:t>Receivables</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(32,409)</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(64,587)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gridSpan w:val="2"/>
          </w:tcPr>
          <w:p>
            <w:pPr>
              <w:ind w:left="280"/>
              <w:spacing w:after="0" w:line="181" w:lineRule="exact"/>
              <w:rPr>
                <w:sz w:val="20"/>
                <w:szCs w:val="20"/>
                <w:color w:val="auto"/>
              </w:rPr>
            </w:pPr>
            <w:r>
              <w:rPr>
                <w:rFonts w:ascii="Arial" w:cs="Arial" w:eastAsia="Arial" w:hAnsi="Arial"/>
                <w:sz w:val="17"/>
                <w:szCs w:val="17"/>
                <w:color w:val="auto"/>
              </w:rPr>
              <w:t>Inventories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7"/>
                <w:szCs w:val="17"/>
                <w:color w:val="auto"/>
              </w:rPr>
              <w:t>(266,998)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81" w:lineRule="exact"/>
              <w:rPr>
                <w:sz w:val="20"/>
                <w:szCs w:val="20"/>
                <w:color w:val="auto"/>
              </w:rPr>
            </w:pPr>
            <w:r>
              <w:rPr>
                <w:rFonts w:ascii="Arial" w:cs="Arial" w:eastAsia="Arial" w:hAnsi="Arial"/>
                <w:sz w:val="17"/>
                <w:szCs w:val="17"/>
                <w:color w:val="auto"/>
              </w:rPr>
              <w:t>182,240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gridSpan w:val="2"/>
            <w:shd w:val="clear" w:color="auto" w:fill="CCEEFF"/>
          </w:tcPr>
          <w:p>
            <w:pPr>
              <w:ind w:left="280"/>
              <w:spacing w:after="0" w:line="181" w:lineRule="exact"/>
              <w:rPr>
                <w:sz w:val="20"/>
                <w:szCs w:val="20"/>
                <w:color w:val="auto"/>
              </w:rPr>
            </w:pPr>
            <w:r>
              <w:rPr>
                <w:rFonts w:ascii="Arial" w:cs="Arial" w:eastAsia="Arial" w:hAnsi="Arial"/>
                <w:sz w:val="17"/>
                <w:szCs w:val="17"/>
                <w:color w:val="auto"/>
              </w:rPr>
              <w:t>Accounts payable</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37,252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(164,777)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80" w:type="dxa"/>
            <w:vAlign w:val="bottom"/>
            <w:tcBorders>
              <w:bottom w:val="single" w:sz="8" w:color="CCEEFF"/>
            </w:tcBorders>
            <w:gridSpan w:val="2"/>
          </w:tcPr>
          <w:p>
            <w:pPr>
              <w:ind w:left="280"/>
              <w:spacing w:after="0" w:line="181" w:lineRule="exact"/>
              <w:rPr>
                <w:sz w:val="20"/>
                <w:szCs w:val="20"/>
                <w:color w:val="auto"/>
              </w:rPr>
            </w:pPr>
            <w:r>
              <w:rPr>
                <w:rFonts w:ascii="Arial" w:cs="Arial" w:eastAsia="Arial" w:hAnsi="Arial"/>
                <w:sz w:val="17"/>
                <w:szCs w:val="17"/>
                <w:color w:val="auto"/>
              </w:rPr>
              <w:t>Accrued expenses and other, net</w:t>
            </w: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22,140</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33,522</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580" w:type="dxa"/>
            <w:vAlign w:val="bottom"/>
            <w:tcBorders>
              <w:bottom w:val="single" w:sz="8" w:color="CCEEFF"/>
            </w:tcBorders>
            <w:gridSpan w:val="2"/>
            <w:shd w:val="clear" w:color="auto" w:fill="CCEEFF"/>
          </w:tcPr>
          <w:p>
            <w:pPr>
              <w:ind w:left="400"/>
              <w:spacing w:after="0" w:line="181" w:lineRule="exact"/>
              <w:rPr>
                <w:sz w:val="20"/>
                <w:szCs w:val="20"/>
                <w:color w:val="auto"/>
              </w:rPr>
            </w:pPr>
            <w:r>
              <w:rPr>
                <w:rFonts w:ascii="Arial" w:cs="Arial" w:eastAsia="Arial" w:hAnsi="Arial"/>
                <w:sz w:val="17"/>
                <w:szCs w:val="17"/>
                <w:color w:val="auto"/>
              </w:rPr>
              <w:t>Net cash flows (used) provided by operating activities - continuing operations</w:t>
            </w: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(127,989)</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110,412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80" w:type="dxa"/>
            <w:vAlign w:val="bottom"/>
            <w:tcBorders>
              <w:bottom w:val="single" w:sz="8" w:color="CCEEFF"/>
            </w:tcBorders>
            <w:gridSpan w:val="2"/>
          </w:tcPr>
          <w:p>
            <w:pPr>
              <w:ind w:left="400"/>
              <w:spacing w:after="0" w:line="167" w:lineRule="exact"/>
              <w:rPr>
                <w:sz w:val="20"/>
                <w:szCs w:val="20"/>
                <w:color w:val="auto"/>
              </w:rPr>
            </w:pPr>
            <w:r>
              <w:rPr>
                <w:rFonts w:ascii="Arial" w:cs="Arial" w:eastAsia="Arial" w:hAnsi="Arial"/>
                <w:sz w:val="17"/>
                <w:szCs w:val="17"/>
                <w:color w:val="auto"/>
              </w:rPr>
              <w:t>Net cash flows used by operating activities - discontinued operations</w:t>
            </w: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(110,548)</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80" w:type="dxa"/>
            <w:vAlign w:val="bottom"/>
            <w:tcBorders>
              <w:bottom w:val="single" w:sz="8" w:color="CCEEFF"/>
            </w:tcBorders>
            <w:gridSpan w:val="2"/>
            <w:shd w:val="clear" w:color="auto" w:fill="CCEEFF"/>
          </w:tcPr>
          <w:p>
            <w:pPr>
              <w:ind w:left="400"/>
              <w:spacing w:after="0" w:line="181" w:lineRule="exact"/>
              <w:rPr>
                <w:sz w:val="20"/>
                <w:szCs w:val="20"/>
                <w:color w:val="auto"/>
              </w:rPr>
            </w:pPr>
            <w:r>
              <w:rPr>
                <w:rFonts w:ascii="Arial" w:cs="Arial" w:eastAsia="Arial" w:hAnsi="Arial"/>
                <w:sz w:val="17"/>
                <w:szCs w:val="17"/>
                <w:color w:val="auto"/>
              </w:rPr>
              <w:t>Net cash flows used by operating activities</w:t>
            </w: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(127,989)</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20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580" w:type="dxa"/>
            <w:vAlign w:val="bottom"/>
            <w:gridSpan w:val="2"/>
            <w:shd w:val="clear" w:color="auto" w:fill="CCEEFF"/>
          </w:tcPr>
          <w:p>
            <w:pPr>
              <w:spacing w:after="0" w:line="181" w:lineRule="exact"/>
              <w:rPr>
                <w:sz w:val="20"/>
                <w:szCs w:val="20"/>
                <w:color w:val="auto"/>
              </w:rPr>
            </w:pPr>
            <w:r>
              <w:rPr>
                <w:rFonts w:ascii="Arial" w:cs="Arial" w:eastAsia="Arial" w:hAnsi="Arial"/>
                <w:sz w:val="17"/>
                <w:szCs w:val="17"/>
                <w:color w:val="auto"/>
              </w:rPr>
              <w:t>Cash flows from financing activities:</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gridSpan w:val="2"/>
          </w:tcPr>
          <w:p>
            <w:pPr>
              <w:ind w:left="80"/>
              <w:spacing w:after="0" w:line="181" w:lineRule="exact"/>
              <w:rPr>
                <w:sz w:val="20"/>
                <w:szCs w:val="20"/>
                <w:color w:val="auto"/>
              </w:rPr>
            </w:pPr>
            <w:r>
              <w:rPr>
                <w:rFonts w:ascii="Arial" w:cs="Arial" w:eastAsia="Arial" w:hAnsi="Arial"/>
                <w:sz w:val="17"/>
                <w:szCs w:val="17"/>
                <w:color w:val="auto"/>
              </w:rPr>
              <w:t>Repayment of notes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81" w:lineRule="exact"/>
              <w:rPr>
                <w:sz w:val="20"/>
                <w:szCs w:val="20"/>
                <w:color w:val="auto"/>
              </w:rPr>
            </w:pPr>
            <w:r>
              <w:rPr>
                <w:rFonts w:ascii="Arial" w:cs="Arial" w:eastAsia="Arial" w:hAnsi="Arial"/>
                <w:sz w:val="17"/>
                <w:szCs w:val="17"/>
                <w:color w:val="auto"/>
              </w:rPr>
              <w:t>(300,000)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gridSpan w:val="2"/>
            <w:shd w:val="clear" w:color="auto" w:fill="CCEEFF"/>
          </w:tcPr>
          <w:p>
            <w:pPr>
              <w:ind w:left="80"/>
              <w:spacing w:after="0" w:line="181" w:lineRule="exact"/>
              <w:rPr>
                <w:sz w:val="20"/>
                <w:szCs w:val="20"/>
                <w:color w:val="auto"/>
              </w:rPr>
            </w:pPr>
            <w:r>
              <w:rPr>
                <w:rFonts w:ascii="Arial" w:cs="Arial" w:eastAsia="Arial" w:hAnsi="Arial"/>
                <w:sz w:val="17"/>
                <w:szCs w:val="17"/>
                <w:color w:val="auto"/>
              </w:rPr>
              <w:t>Borrowings (repayments) under accounts receivable securitization, net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28,000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(150,265)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gridSpan w:val="2"/>
          </w:tcPr>
          <w:p>
            <w:pPr>
              <w:ind w:left="80"/>
              <w:spacing w:after="0" w:line="181" w:lineRule="exact"/>
              <w:rPr>
                <w:sz w:val="20"/>
                <w:szCs w:val="20"/>
                <w:color w:val="auto"/>
              </w:rPr>
            </w:pPr>
            <w:r>
              <w:rPr>
                <w:rFonts w:ascii="Arial" w:cs="Arial" w:eastAsia="Arial" w:hAnsi="Arial"/>
                <w:sz w:val="17"/>
                <w:szCs w:val="17"/>
                <w:color w:val="auto"/>
              </w:rPr>
              <w:t>Borrowings (repayments) under senior unsecured credit facility, net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7"/>
                <w:szCs w:val="17"/>
                <w:color w:val="auto"/>
              </w:rPr>
              <w:t>(92,471)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line="181"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gridSpan w:val="2"/>
            <w:shd w:val="clear" w:color="auto" w:fill="CCEEFF"/>
          </w:tcPr>
          <w:p>
            <w:pPr>
              <w:ind w:left="80"/>
              <w:spacing w:after="0" w:line="181" w:lineRule="exact"/>
              <w:rPr>
                <w:sz w:val="20"/>
                <w:szCs w:val="20"/>
                <w:color w:val="auto"/>
              </w:rPr>
            </w:pPr>
            <w:r>
              <w:rPr>
                <w:rFonts w:ascii="Arial" w:cs="Arial" w:eastAsia="Arial" w:hAnsi="Arial"/>
                <w:sz w:val="17"/>
                <w:szCs w:val="17"/>
                <w:color w:val="auto"/>
              </w:rPr>
              <w:t>Borrowings (repayments) under bank credit facilities and other debt, net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(24,888)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669,803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gridSpan w:val="2"/>
          </w:tcPr>
          <w:p>
            <w:pPr>
              <w:ind w:left="80"/>
              <w:spacing w:after="0" w:line="181" w:lineRule="exact"/>
              <w:rPr>
                <w:sz w:val="20"/>
                <w:szCs w:val="20"/>
                <w:color w:val="auto"/>
              </w:rPr>
            </w:pPr>
            <w:r>
              <w:rPr>
                <w:rFonts w:ascii="Arial" w:cs="Arial" w:eastAsia="Arial" w:hAnsi="Arial"/>
                <w:sz w:val="17"/>
                <w:szCs w:val="17"/>
                <w:color w:val="auto"/>
              </w:rPr>
              <w:t>Repurchases of common stock</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7"/>
                <w:szCs w:val="17"/>
                <w:color w:val="auto"/>
              </w:rPr>
              <w:t>(68,113)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line="181"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gridSpan w:val="2"/>
            <w:shd w:val="clear" w:color="auto" w:fill="CCEEFF"/>
          </w:tcPr>
          <w:p>
            <w:pPr>
              <w:ind w:left="80"/>
              <w:spacing w:after="0" w:line="181" w:lineRule="exact"/>
              <w:rPr>
                <w:sz w:val="20"/>
                <w:szCs w:val="20"/>
                <w:color w:val="auto"/>
              </w:rPr>
            </w:pPr>
            <w:r>
              <w:rPr>
                <w:rFonts w:ascii="Arial" w:cs="Arial" w:eastAsia="Arial" w:hAnsi="Arial"/>
                <w:sz w:val="17"/>
                <w:szCs w:val="17"/>
                <w:color w:val="auto"/>
              </w:rPr>
              <w:t>Dividends paid on common stock</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(22,012)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(21,676)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80" w:type="dxa"/>
            <w:vAlign w:val="bottom"/>
            <w:tcBorders>
              <w:bottom w:val="single" w:sz="8" w:color="CCEEFF"/>
            </w:tcBorders>
            <w:gridSpan w:val="2"/>
          </w:tcPr>
          <w:p>
            <w:pPr>
              <w:ind w:left="80"/>
              <w:spacing w:after="0" w:line="181" w:lineRule="exact"/>
              <w:rPr>
                <w:sz w:val="20"/>
                <w:szCs w:val="20"/>
                <w:color w:val="auto"/>
              </w:rPr>
            </w:pPr>
            <w:r>
              <w:rPr>
                <w:rFonts w:ascii="Arial" w:cs="Arial" w:eastAsia="Arial" w:hAnsi="Arial"/>
                <w:sz w:val="17"/>
                <w:szCs w:val="17"/>
                <w:color w:val="auto"/>
              </w:rPr>
              <w:t>Other, net</w:t>
            </w: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(579)</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682</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580" w:type="dxa"/>
            <w:vAlign w:val="bottom"/>
            <w:tcBorders>
              <w:bottom w:val="single" w:sz="8" w:color="CCEEFF"/>
            </w:tcBorders>
            <w:gridSpan w:val="2"/>
            <w:shd w:val="clear" w:color="auto" w:fill="CCEEFF"/>
          </w:tcPr>
          <w:p>
            <w:pPr>
              <w:ind w:left="400"/>
              <w:spacing w:after="0" w:line="181" w:lineRule="exact"/>
              <w:rPr>
                <w:sz w:val="20"/>
                <w:szCs w:val="20"/>
                <w:color w:val="auto"/>
              </w:rPr>
            </w:pPr>
            <w:r>
              <w:rPr>
                <w:rFonts w:ascii="Arial" w:cs="Arial" w:eastAsia="Arial" w:hAnsi="Arial"/>
                <w:sz w:val="17"/>
                <w:szCs w:val="17"/>
                <w:color w:val="auto"/>
              </w:rPr>
              <w:t>Net cash flows (used) provided by financing activities - continuing operations</w:t>
            </w: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(180,063)</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198,544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80" w:type="dxa"/>
            <w:vAlign w:val="bottom"/>
            <w:tcBorders>
              <w:bottom w:val="single" w:sz="8" w:color="CCEEFF"/>
            </w:tcBorders>
            <w:gridSpan w:val="2"/>
          </w:tcPr>
          <w:p>
            <w:pPr>
              <w:ind w:left="400"/>
              <w:spacing w:after="0" w:line="167" w:lineRule="exact"/>
              <w:rPr>
                <w:sz w:val="20"/>
                <w:szCs w:val="20"/>
                <w:color w:val="auto"/>
              </w:rPr>
            </w:pPr>
            <w:r>
              <w:rPr>
                <w:rFonts w:ascii="Arial" w:cs="Arial" w:eastAsia="Arial" w:hAnsi="Arial"/>
                <w:sz w:val="17"/>
                <w:szCs w:val="17"/>
                <w:color w:val="auto"/>
              </w:rPr>
              <w:t>Net cash flows used by financing activities - discontinued operations</w:t>
            </w: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(4,756)</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80" w:type="dxa"/>
            <w:vAlign w:val="bottom"/>
            <w:tcBorders>
              <w:bottom w:val="single" w:sz="8" w:color="CCEEFF"/>
            </w:tcBorders>
            <w:gridSpan w:val="2"/>
            <w:shd w:val="clear" w:color="auto" w:fill="CCEEFF"/>
          </w:tcPr>
          <w:p>
            <w:pPr>
              <w:ind w:left="400"/>
              <w:spacing w:after="0" w:line="181" w:lineRule="exact"/>
              <w:rPr>
                <w:sz w:val="20"/>
                <w:szCs w:val="20"/>
                <w:color w:val="auto"/>
              </w:rPr>
            </w:pPr>
            <w:r>
              <w:rPr>
                <w:rFonts w:ascii="Arial" w:cs="Arial" w:eastAsia="Arial" w:hAnsi="Arial"/>
                <w:sz w:val="17"/>
                <w:szCs w:val="17"/>
                <w:color w:val="auto"/>
              </w:rPr>
              <w:t>Net cash flows (used) provided by financing activities</w:t>
            </w: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(180,063)</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193,788</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20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580" w:type="dxa"/>
            <w:vAlign w:val="bottom"/>
            <w:gridSpan w:val="2"/>
            <w:shd w:val="clear" w:color="auto" w:fill="CCEEFF"/>
          </w:tcPr>
          <w:p>
            <w:pPr>
              <w:spacing w:after="0" w:line="181" w:lineRule="exact"/>
              <w:rPr>
                <w:sz w:val="20"/>
                <w:szCs w:val="20"/>
                <w:color w:val="auto"/>
              </w:rPr>
            </w:pPr>
            <w:r>
              <w:rPr>
                <w:rFonts w:ascii="Arial" w:cs="Arial" w:eastAsia="Arial" w:hAnsi="Arial"/>
                <w:sz w:val="17"/>
                <w:szCs w:val="17"/>
                <w:color w:val="auto"/>
              </w:rPr>
              <w:t>Cash flows from investing activities:</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gridSpan w:val="2"/>
          </w:tcPr>
          <w:p>
            <w:pPr>
              <w:ind w:left="80"/>
              <w:spacing w:after="0" w:line="181" w:lineRule="exact"/>
              <w:rPr>
                <w:sz w:val="20"/>
                <w:szCs w:val="20"/>
                <w:color w:val="auto"/>
              </w:rPr>
            </w:pPr>
            <w:r>
              <w:rPr>
                <w:rFonts w:ascii="Arial" w:cs="Arial" w:eastAsia="Arial" w:hAnsi="Arial"/>
                <w:sz w:val="17"/>
                <w:szCs w:val="17"/>
                <w:color w:val="auto"/>
              </w:rPr>
              <w:t>Purchases of property, plant and equipment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7"/>
                <w:szCs w:val="17"/>
                <w:color w:val="auto"/>
              </w:rPr>
              <w:t>(26,659)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81" w:lineRule="exact"/>
              <w:rPr>
                <w:sz w:val="20"/>
                <w:szCs w:val="20"/>
                <w:color w:val="auto"/>
              </w:rPr>
            </w:pPr>
            <w:r>
              <w:rPr>
                <w:rFonts w:ascii="Arial" w:cs="Arial" w:eastAsia="Arial" w:hAnsi="Arial"/>
                <w:sz w:val="17"/>
                <w:szCs w:val="17"/>
                <w:color w:val="auto"/>
              </w:rPr>
              <w:t>(34,729)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gridSpan w:val="2"/>
            <w:shd w:val="clear" w:color="auto" w:fill="CCEEFF"/>
          </w:tcPr>
          <w:p>
            <w:pPr>
              <w:ind w:left="80"/>
              <w:spacing w:after="0" w:line="181" w:lineRule="exact"/>
              <w:rPr>
                <w:sz w:val="20"/>
                <w:szCs w:val="20"/>
                <w:color w:val="auto"/>
              </w:rPr>
            </w:pPr>
            <w:r>
              <w:rPr>
                <w:rFonts w:ascii="Arial" w:cs="Arial" w:eastAsia="Arial" w:hAnsi="Arial"/>
                <w:sz w:val="17"/>
                <w:szCs w:val="17"/>
                <w:color w:val="auto"/>
              </w:rPr>
              <w:t>Acquisitions of businesses, net of cash acquired (Note 2)</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(14,661)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line="181"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80" w:type="dxa"/>
            <w:vAlign w:val="bottom"/>
            <w:tcBorders>
              <w:bottom w:val="single" w:sz="8" w:color="CCEEFF"/>
            </w:tcBorders>
            <w:gridSpan w:val="2"/>
          </w:tcPr>
          <w:p>
            <w:pPr>
              <w:ind w:left="80"/>
              <w:spacing w:after="0" w:line="181" w:lineRule="exact"/>
              <w:rPr>
                <w:sz w:val="20"/>
                <w:szCs w:val="20"/>
                <w:color w:val="auto"/>
              </w:rPr>
            </w:pPr>
            <w:r>
              <w:rPr>
                <w:rFonts w:ascii="Arial" w:cs="Arial" w:eastAsia="Arial" w:hAnsi="Arial"/>
                <w:sz w:val="17"/>
                <w:szCs w:val="17"/>
                <w:color w:val="auto"/>
              </w:rPr>
              <w:t>Other, net</w:t>
            </w: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1,211</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432</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580" w:type="dxa"/>
            <w:vAlign w:val="bottom"/>
            <w:tcBorders>
              <w:bottom w:val="single" w:sz="8" w:color="CCEEFF"/>
            </w:tcBorders>
            <w:gridSpan w:val="2"/>
            <w:shd w:val="clear" w:color="auto" w:fill="CCEEFF"/>
          </w:tcPr>
          <w:p>
            <w:pPr>
              <w:ind w:left="400"/>
              <w:spacing w:after="0" w:line="181" w:lineRule="exact"/>
              <w:rPr>
                <w:sz w:val="20"/>
                <w:szCs w:val="20"/>
                <w:color w:val="auto"/>
              </w:rPr>
            </w:pPr>
            <w:r>
              <w:rPr>
                <w:rFonts w:ascii="Arial" w:cs="Arial" w:eastAsia="Arial" w:hAnsi="Arial"/>
                <w:sz w:val="17"/>
                <w:szCs w:val="17"/>
                <w:color w:val="auto"/>
              </w:rPr>
              <w:t>Net cash flows used for investing activities - continuing operations</w:t>
            </w: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(40,109)</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(34,297)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80" w:type="dxa"/>
            <w:vAlign w:val="bottom"/>
            <w:tcBorders>
              <w:bottom w:val="single" w:sz="8" w:color="CCEEFF"/>
            </w:tcBorders>
            <w:gridSpan w:val="2"/>
          </w:tcPr>
          <w:p>
            <w:pPr>
              <w:ind w:left="400"/>
              <w:spacing w:after="0" w:line="167" w:lineRule="exact"/>
              <w:rPr>
                <w:sz w:val="20"/>
                <w:szCs w:val="20"/>
                <w:color w:val="auto"/>
              </w:rPr>
            </w:pPr>
            <w:r>
              <w:rPr>
                <w:rFonts w:ascii="Arial" w:cs="Arial" w:eastAsia="Arial" w:hAnsi="Arial"/>
                <w:sz w:val="17"/>
                <w:szCs w:val="17"/>
                <w:color w:val="auto"/>
              </w:rPr>
              <w:t>Net cash flows provided (used) by investing activities - discontinued operations</w:t>
            </w: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45,391</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(95)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80" w:type="dxa"/>
            <w:vAlign w:val="bottom"/>
            <w:tcBorders>
              <w:bottom w:val="single" w:sz="8" w:color="CCEEFF"/>
            </w:tcBorders>
            <w:gridSpan w:val="2"/>
            <w:shd w:val="clear" w:color="auto" w:fill="CCEEFF"/>
          </w:tcPr>
          <w:p>
            <w:pPr>
              <w:ind w:left="400"/>
              <w:spacing w:after="0" w:line="181" w:lineRule="exact"/>
              <w:rPr>
                <w:sz w:val="20"/>
                <w:szCs w:val="20"/>
                <w:color w:val="auto"/>
              </w:rPr>
            </w:pPr>
            <w:r>
              <w:rPr>
                <w:rFonts w:ascii="Arial" w:cs="Arial" w:eastAsia="Arial" w:hAnsi="Arial"/>
                <w:sz w:val="17"/>
                <w:szCs w:val="17"/>
                <w:color w:val="auto"/>
              </w:rPr>
              <w:t>Net cash flows provided (used) by investing activities</w:t>
            </w: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5,282</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(34,392)</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20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580" w:type="dxa"/>
            <w:vAlign w:val="bottom"/>
            <w:gridSpan w:val="2"/>
            <w:shd w:val="clear" w:color="auto" w:fill="CCEEFF"/>
          </w:tcPr>
          <w:p>
            <w:pPr>
              <w:spacing w:after="0" w:line="181" w:lineRule="exact"/>
              <w:rPr>
                <w:sz w:val="20"/>
                <w:szCs w:val="20"/>
                <w:color w:val="auto"/>
              </w:rPr>
            </w:pPr>
            <w:r>
              <w:rPr>
                <w:rFonts w:ascii="Arial" w:cs="Arial" w:eastAsia="Arial" w:hAnsi="Arial"/>
                <w:sz w:val="17"/>
                <w:szCs w:val="17"/>
                <w:color w:val="auto"/>
              </w:rPr>
              <w:t>Effect of currency exchange rate changes on cash and cash equivalents</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6,065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5,807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20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6580" w:type="dxa"/>
            <w:vAlign w:val="bottom"/>
            <w:gridSpan w:val="2"/>
            <w:shd w:val="clear" w:color="auto" w:fill="CCEEFF"/>
          </w:tcPr>
          <w:p>
            <w:pPr>
              <w:spacing w:after="0" w:line="181" w:lineRule="exact"/>
              <w:rPr>
                <w:sz w:val="20"/>
                <w:szCs w:val="20"/>
                <w:color w:val="auto"/>
              </w:rPr>
            </w:pPr>
            <w:r>
              <w:rPr>
                <w:rFonts w:ascii="Arial" w:cs="Arial" w:eastAsia="Arial" w:hAnsi="Arial"/>
                <w:sz w:val="17"/>
                <w:szCs w:val="17"/>
                <w:color w:val="auto"/>
              </w:rPr>
              <w:t>Cash and cash equivalents:</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80" w:type="dxa"/>
            <w:vAlign w:val="bottom"/>
            <w:gridSpan w:val="2"/>
          </w:tcPr>
          <w:p>
            <w:pPr>
              <w:spacing w:after="0" w:line="181" w:lineRule="exact"/>
              <w:rPr>
                <w:sz w:val="20"/>
                <w:szCs w:val="20"/>
                <w:color w:val="auto"/>
              </w:rPr>
            </w:pPr>
            <w:r>
              <w:rPr>
                <w:rFonts w:ascii="Arial" w:cs="Arial" w:eastAsia="Arial" w:hAnsi="Arial"/>
                <w:sz w:val="17"/>
                <w:szCs w:val="17"/>
                <w:color w:val="auto"/>
              </w:rPr>
              <w:t>— (decrease) increase</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Arial" w:cs="Arial" w:eastAsia="Arial" w:hAnsi="Arial"/>
                <w:sz w:val="17"/>
                <w:szCs w:val="17"/>
                <w:color w:val="auto"/>
              </w:rPr>
              <w:t>(296,705)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81" w:lineRule="exact"/>
              <w:rPr>
                <w:sz w:val="20"/>
                <w:szCs w:val="20"/>
                <w:color w:val="auto"/>
              </w:rPr>
            </w:pPr>
            <w:r>
              <w:rPr>
                <w:rFonts w:ascii="Arial" w:cs="Arial" w:eastAsia="Arial" w:hAnsi="Arial"/>
                <w:sz w:val="17"/>
                <w:szCs w:val="17"/>
                <w:color w:val="auto"/>
              </w:rPr>
              <w:t>165,067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580" w:type="dxa"/>
            <w:vAlign w:val="bottom"/>
            <w:tcBorders>
              <w:bottom w:val="single" w:sz="8" w:color="CCEEFF"/>
            </w:tcBorders>
            <w:gridSpan w:val="2"/>
            <w:shd w:val="clear" w:color="auto" w:fill="CCEEFF"/>
          </w:tcPr>
          <w:p>
            <w:pPr>
              <w:spacing w:after="0" w:line="181" w:lineRule="exact"/>
              <w:rPr>
                <w:sz w:val="20"/>
                <w:szCs w:val="20"/>
                <w:color w:val="auto"/>
              </w:rPr>
            </w:pPr>
            <w:r>
              <w:rPr>
                <w:rFonts w:ascii="Arial" w:cs="Arial" w:eastAsia="Arial" w:hAnsi="Arial"/>
                <w:sz w:val="17"/>
                <w:szCs w:val="17"/>
                <w:color w:val="auto"/>
              </w:rPr>
              <w:t>— at beginning of period</w:t>
            </w: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836,384</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1,031,478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600" w:type="dxa"/>
            <w:vAlign w:val="bottom"/>
            <w:gridSpan w:val="3"/>
          </w:tcPr>
          <w:p>
            <w:pPr>
              <w:spacing w:after="0" w:line="167" w:lineRule="exact"/>
              <w:rPr>
                <w:sz w:val="20"/>
                <w:szCs w:val="20"/>
                <w:color w:val="auto"/>
              </w:rPr>
            </w:pPr>
            <w:r>
              <w:rPr>
                <w:rFonts w:ascii="Arial" w:cs="Arial" w:eastAsia="Arial" w:hAnsi="Arial"/>
                <w:sz w:val="17"/>
                <w:szCs w:val="17"/>
                <w:color w:val="auto"/>
              </w:rPr>
              <w:t>— at end of period</w:t>
            </w:r>
          </w:p>
        </w:tc>
        <w:tc>
          <w:tcPr>
            <w:tcW w:w="20" w:type="dxa"/>
            <w:vAlign w:val="bottom"/>
          </w:tcPr>
          <w:p>
            <w:pPr>
              <w:spacing w:after="0"/>
              <w:rPr>
                <w:sz w:val="15"/>
                <w:szCs w:val="15"/>
                <w:color w:val="auto"/>
              </w:rPr>
            </w:pPr>
          </w:p>
        </w:tc>
        <w:tc>
          <w:tcPr>
            <w:tcW w:w="240" w:type="dxa"/>
            <w:vAlign w:val="bottom"/>
            <w:tcBorders>
              <w:bottom w:val="single" w:sz="8" w:color="auto"/>
            </w:tcBorders>
          </w:tcPr>
          <w:p>
            <w:pPr>
              <w:jc w:val="right"/>
              <w:ind w:right="79"/>
              <w:spacing w:after="0" w:line="167"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539,679</w:t>
            </w:r>
          </w:p>
        </w:tc>
        <w:tc>
          <w:tcPr>
            <w:tcW w:w="18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1,196,545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80" w:type="dxa"/>
            <w:vAlign w:val="bottom"/>
          </w:tcPr>
          <w:p>
            <w:pPr>
              <w:jc w:val="center"/>
              <w:ind w:left="1174"/>
              <w:spacing w:after="0"/>
              <w:rPr>
                <w:sz w:val="20"/>
                <w:szCs w:val="20"/>
                <w:color w:val="auto"/>
              </w:rPr>
            </w:pPr>
            <w:r>
              <w:rPr>
                <w:rFonts w:ascii="Arial" w:cs="Arial" w:eastAsia="Arial" w:hAnsi="Arial"/>
                <w:sz w:val="17"/>
                <w:szCs w:val="17"/>
                <w:color w:val="auto"/>
                <w:w w:val="90"/>
              </w:rPr>
              <w:t>See notes to consolidated financial statements.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8"/>
        </w:trPr>
        <w:tc>
          <w:tcPr>
            <w:tcW w:w="6600" w:type="dxa"/>
            <w:vAlign w:val="bottom"/>
            <w:gridSpan w:val="3"/>
          </w:tcPr>
          <w:p>
            <w:pPr>
              <w:jc w:val="center"/>
              <w:ind w:left="2394"/>
              <w:spacing w:after="0"/>
              <w:rPr>
                <w:sz w:val="20"/>
                <w:szCs w:val="20"/>
                <w:color w:val="auto"/>
              </w:rPr>
            </w:pPr>
            <w:r>
              <w:rPr>
                <w:rFonts w:ascii="Arial" w:cs="Arial" w:eastAsia="Arial" w:hAnsi="Arial"/>
                <w:sz w:val="17"/>
                <w:szCs w:val="17"/>
                <w:color w:val="auto"/>
                <w:w w:val="84"/>
              </w:rPr>
              <w:t>5</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6" w:name="page7"/>
    <w:bookmarkEnd w:id="6"/>
    <w:p>
      <w:pPr>
        <w:ind w:left="1"/>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AVNET,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1. Basis of presentation and new accounting pronouncements</w:t>
      </w:r>
    </w:p>
    <w:p>
      <w:pPr>
        <w:spacing w:after="0" w:line="224" w:lineRule="exact"/>
        <w:rPr>
          <w:sz w:val="20"/>
          <w:szCs w:val="20"/>
          <w:color w:val="auto"/>
        </w:rPr>
      </w:pPr>
    </w:p>
    <w:p>
      <w:pPr>
        <w:jc w:val="both"/>
        <w:ind w:left="1" w:firstLine="410"/>
        <w:spacing w:after="0" w:line="320" w:lineRule="auto"/>
        <w:rPr>
          <w:sz w:val="20"/>
          <w:szCs w:val="20"/>
          <w:color w:val="auto"/>
        </w:rPr>
      </w:pPr>
      <w:r>
        <w:rPr>
          <w:rFonts w:ascii="Arial" w:cs="Arial" w:eastAsia="Arial" w:hAnsi="Arial"/>
          <w:sz w:val="15"/>
          <w:szCs w:val="15"/>
          <w:color w:val="auto"/>
        </w:rPr>
        <w:t>In the opinion of management, the accompanying unaudited interim consolidated financial statements contain all adjustments necessary to present fairly Avnet, Inc.’s and its consolidated subsidiaries’ (collectively, the “Company” or “Avnet”) financial position, results of operations, comprehensive income (loss) and cash flows. All such adjustments are of a normal recurring nature.</w:t>
      </w:r>
    </w:p>
    <w:p>
      <w:pPr>
        <w:spacing w:after="0" w:line="138" w:lineRule="exact"/>
        <w:rPr>
          <w:sz w:val="20"/>
          <w:szCs w:val="20"/>
          <w:color w:val="auto"/>
        </w:rPr>
      </w:pPr>
    </w:p>
    <w:p>
      <w:pPr>
        <w:jc w:val="both"/>
        <w:ind w:left="1" w:firstLine="410"/>
        <w:spacing w:after="0" w:line="268" w:lineRule="auto"/>
        <w:rPr>
          <w:sz w:val="20"/>
          <w:szCs w:val="20"/>
          <w:color w:val="auto"/>
        </w:rPr>
      </w:pPr>
      <w:r>
        <w:rPr>
          <w:rFonts w:ascii="Arial" w:cs="Arial" w:eastAsia="Arial" w:hAnsi="Arial"/>
          <w:sz w:val="17"/>
          <w:szCs w:val="17"/>
          <w:color w:val="auto"/>
        </w:rPr>
        <w:t>The preparation of financial statements in accordance with generally accepted accounting principles in the U.S. (“GAAP”) requires management to make estimates and assumptions that affect the amounts reported in the consolidated financial statements. Actual results may differ from these estimates.</w:t>
      </w:r>
    </w:p>
    <w:p>
      <w:pPr>
        <w:spacing w:after="0" w:line="173" w:lineRule="exact"/>
        <w:rPr>
          <w:sz w:val="20"/>
          <w:szCs w:val="20"/>
          <w:color w:val="auto"/>
        </w:rPr>
      </w:pPr>
    </w:p>
    <w:p>
      <w:pPr>
        <w:jc w:val="both"/>
        <w:ind w:left="1" w:firstLine="410"/>
        <w:spacing w:after="0" w:line="268" w:lineRule="auto"/>
        <w:rPr>
          <w:sz w:val="20"/>
          <w:szCs w:val="20"/>
          <w:color w:val="auto"/>
        </w:rPr>
      </w:pPr>
      <w:r>
        <w:rPr>
          <w:rFonts w:ascii="Arial" w:cs="Arial" w:eastAsia="Arial" w:hAnsi="Arial"/>
          <w:sz w:val="17"/>
          <w:szCs w:val="17"/>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July 1, 2017.</w:t>
      </w:r>
    </w:p>
    <w:p>
      <w:pPr>
        <w:spacing w:after="0" w:line="173" w:lineRule="exact"/>
        <w:rPr>
          <w:sz w:val="20"/>
          <w:szCs w:val="20"/>
          <w:color w:val="auto"/>
        </w:rPr>
      </w:pPr>
    </w:p>
    <w:p>
      <w:pPr>
        <w:jc w:val="both"/>
        <w:ind w:left="1" w:firstLine="410"/>
        <w:spacing w:after="0" w:line="283" w:lineRule="auto"/>
        <w:rPr>
          <w:sz w:val="20"/>
          <w:szCs w:val="20"/>
          <w:color w:val="auto"/>
        </w:rPr>
      </w:pPr>
      <w:r>
        <w:rPr>
          <w:rFonts w:ascii="Arial" w:cs="Arial" w:eastAsia="Arial" w:hAnsi="Arial"/>
          <w:sz w:val="17"/>
          <w:szCs w:val="17"/>
          <w:color w:val="auto"/>
        </w:rPr>
        <w:t>Certain reclassifications have been made in prior periods and the fiscal year to date current periods to conform to the current period presentation.</w:t>
      </w:r>
    </w:p>
    <w:p>
      <w:pPr>
        <w:spacing w:after="0" w:line="160" w:lineRule="exact"/>
        <w:rPr>
          <w:sz w:val="20"/>
          <w:szCs w:val="20"/>
          <w:color w:val="auto"/>
        </w:rPr>
      </w:pPr>
    </w:p>
    <w:p>
      <w:pPr>
        <w:ind w:left="401"/>
        <w:spacing w:after="0"/>
        <w:rPr>
          <w:sz w:val="20"/>
          <w:szCs w:val="20"/>
          <w:color w:val="auto"/>
        </w:rPr>
      </w:pPr>
      <w:r>
        <w:rPr>
          <w:rFonts w:ascii="Arial" w:cs="Arial" w:eastAsia="Arial" w:hAnsi="Arial"/>
          <w:sz w:val="17"/>
          <w:szCs w:val="17"/>
          <w:i w:val="1"/>
          <w:iCs w:val="1"/>
          <w:color w:val="auto"/>
        </w:rPr>
        <w:t>New accounting pronouncements</w:t>
      </w:r>
    </w:p>
    <w:p>
      <w:pPr>
        <w:spacing w:after="0" w:line="218" w:lineRule="exact"/>
        <w:rPr>
          <w:sz w:val="20"/>
          <w:szCs w:val="20"/>
          <w:color w:val="auto"/>
        </w:rPr>
      </w:pPr>
    </w:p>
    <w:p>
      <w:pPr>
        <w:jc w:val="both"/>
        <w:ind w:left="1" w:firstLine="410"/>
        <w:spacing w:after="0" w:line="259" w:lineRule="auto"/>
        <w:rPr>
          <w:sz w:val="20"/>
          <w:szCs w:val="20"/>
          <w:color w:val="auto"/>
        </w:rPr>
      </w:pPr>
      <w:r>
        <w:rPr>
          <w:rFonts w:ascii="Arial" w:cs="Arial" w:eastAsia="Arial" w:hAnsi="Arial"/>
          <w:sz w:val="17"/>
          <w:szCs w:val="17"/>
          <w:color w:val="auto"/>
        </w:rPr>
        <w:t xml:space="preserve">In August 2017, the Financial Accounting Standards Board (“FASB”) issued Accounting Standards Update 2017-12, </w:t>
      </w:r>
      <w:r>
        <w:rPr>
          <w:rFonts w:ascii="Arial" w:cs="Arial" w:eastAsia="Arial" w:hAnsi="Arial"/>
          <w:sz w:val="17"/>
          <w:szCs w:val="17"/>
          <w:i w:val="1"/>
          <w:iCs w:val="1"/>
          <w:color w:val="auto"/>
        </w:rPr>
        <w:t xml:space="preserve">Derivatives and Hedging (Topic 815) - Targeted Improvements to Accounting for Hedging Activities </w:t>
      </w:r>
      <w:r>
        <w:rPr>
          <w:rFonts w:ascii="Arial" w:cs="Arial" w:eastAsia="Arial" w:hAnsi="Arial"/>
          <w:sz w:val="17"/>
          <w:szCs w:val="17"/>
          <w:color w:val="auto"/>
        </w:rPr>
        <w:t>(“ASU 2017-12”), which</w:t>
      </w:r>
      <w:r>
        <w:rPr>
          <w:rFonts w:ascii="Arial" w:cs="Arial" w:eastAsia="Arial" w:hAnsi="Arial"/>
          <w:sz w:val="17"/>
          <w:szCs w:val="17"/>
          <w:i w:val="1"/>
          <w:iCs w:val="1"/>
          <w:color w:val="auto"/>
        </w:rPr>
        <w:t xml:space="preserve"> </w:t>
      </w:r>
      <w:r>
        <w:rPr>
          <w:rFonts w:ascii="Arial" w:cs="Arial" w:eastAsia="Arial" w:hAnsi="Arial"/>
          <w:sz w:val="17"/>
          <w:szCs w:val="17"/>
          <w:color w:val="auto"/>
        </w:rPr>
        <w:t>improves the financial reporting of hedging relationships to better portray the economic results of an entity’s risk management activities in its financial statements and makes certain targeted improvements to simplify the application of the hedge accounting guidance in current GAAP. This update is effective for fiscal years beginning after December 15, 2018, with early adoption permitted. The Company is currently evaluating the impact of the adoption of ASU 2017-12 on its consolidated financial statements.</w:t>
      </w:r>
    </w:p>
    <w:p>
      <w:pPr>
        <w:spacing w:after="0" w:line="179" w:lineRule="exact"/>
        <w:rPr>
          <w:sz w:val="20"/>
          <w:szCs w:val="20"/>
          <w:color w:val="auto"/>
        </w:rPr>
      </w:pPr>
    </w:p>
    <w:p>
      <w:pPr>
        <w:jc w:val="both"/>
        <w:ind w:left="1" w:firstLine="410"/>
        <w:spacing w:after="0" w:line="268" w:lineRule="auto"/>
        <w:rPr>
          <w:sz w:val="20"/>
          <w:szCs w:val="20"/>
          <w:color w:val="auto"/>
        </w:rPr>
      </w:pPr>
      <w:r>
        <w:rPr>
          <w:rFonts w:ascii="Arial" w:cs="Arial" w:eastAsia="Arial" w:hAnsi="Arial"/>
          <w:sz w:val="17"/>
          <w:szCs w:val="17"/>
          <w:color w:val="auto"/>
        </w:rPr>
        <w:t>There have been no material changes or additions to the recently issued accounting pronouncements as previously reported in Part II, Item 7, of the Company’s Annual Report on Form 10-K for the fiscal year ended July 1, 2017 that affect or may affect the Company’s financial statements.</w:t>
      </w:r>
    </w:p>
    <w:p>
      <w:pPr>
        <w:spacing w:after="0" w:line="167" w:lineRule="exact"/>
        <w:rPr>
          <w:sz w:val="20"/>
          <w:szCs w:val="20"/>
          <w:color w:val="auto"/>
        </w:rPr>
      </w:pPr>
    </w:p>
    <w:p>
      <w:pPr>
        <w:ind w:left="401" w:right="7540" w:hanging="401"/>
        <w:spacing w:after="0" w:line="543" w:lineRule="auto"/>
        <w:tabs>
          <w:tab w:leader="none" w:pos="164"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Acquisitions </w:t>
      </w:r>
      <w:r>
        <w:rPr>
          <w:rFonts w:ascii="Arial" w:cs="Arial" w:eastAsia="Arial" w:hAnsi="Arial"/>
          <w:sz w:val="16"/>
          <w:szCs w:val="16"/>
          <w:i w:val="1"/>
          <w:iCs w:val="1"/>
          <w:color w:val="auto"/>
        </w:rPr>
        <w:t>Premier Farnell</w:t>
      </w:r>
    </w:p>
    <w:p>
      <w:pPr>
        <w:spacing w:after="0" w:line="1" w:lineRule="exact"/>
        <w:rPr>
          <w:sz w:val="20"/>
          <w:szCs w:val="20"/>
          <w:color w:val="auto"/>
        </w:rPr>
      </w:pPr>
    </w:p>
    <w:p>
      <w:pPr>
        <w:jc w:val="both"/>
        <w:ind w:left="1" w:firstLine="410"/>
        <w:spacing w:after="0" w:line="320" w:lineRule="auto"/>
        <w:rPr>
          <w:sz w:val="20"/>
          <w:szCs w:val="20"/>
          <w:color w:val="auto"/>
        </w:rPr>
      </w:pPr>
      <w:r>
        <w:rPr>
          <w:rFonts w:ascii="Arial" w:cs="Arial" w:eastAsia="Arial" w:hAnsi="Arial"/>
          <w:sz w:val="15"/>
          <w:szCs w:val="15"/>
          <w:color w:val="auto"/>
        </w:rPr>
        <w:t>On October 17, 2016, the Company acquired all of the outstanding shares of Premier Farnell Plc (“PF”), a global distributor of electronic components and related products. The cash consideration paid for the acquisition was approximately $841 million, which consisted of £1.85 per share of PF common stock. Additionally, Avnet assumed $242.8 million of debt at fair value.</w:t>
      </w:r>
    </w:p>
    <w:p>
      <w:pPr>
        <w:spacing w:after="0" w:line="138" w:lineRule="exact"/>
        <w:rPr>
          <w:sz w:val="20"/>
          <w:szCs w:val="20"/>
          <w:color w:val="auto"/>
        </w:rPr>
      </w:pPr>
    </w:p>
    <w:p>
      <w:pPr>
        <w:jc w:val="both"/>
        <w:ind w:left="1" w:firstLine="410"/>
        <w:spacing w:after="0" w:line="261" w:lineRule="auto"/>
        <w:rPr>
          <w:sz w:val="20"/>
          <w:szCs w:val="20"/>
          <w:color w:val="auto"/>
        </w:rPr>
      </w:pPr>
      <w:r>
        <w:rPr>
          <w:rFonts w:ascii="Arial" w:cs="Arial" w:eastAsia="Arial" w:hAnsi="Arial"/>
          <w:sz w:val="17"/>
          <w:szCs w:val="17"/>
          <w:color w:val="auto"/>
        </w:rPr>
        <w:t>The PF acquisition was accounted for as a business combination. The purchase price of this acquisition was allocated to the assets acquired and liabilities assumed based on their estimated fair values on the transaction date. During the first quarter of fiscal 2018, the Company finalized its estimated acquisition date fair values for assets acquired and liabilities assumed, which resulted in a decrease in goodwill of $15.3 million, a net increase in intangible assets of $24.9 million, and an increase in other long-term liabilities of $9.6 million.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5757545"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1"/>
          </w:cols>
          <w:pgMar w:left="1419" w:top="127" w:right="14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7780" w:type="dxa"/>
            <w:vAlign w:val="bottom"/>
            <w:gridSpan w:val="3"/>
          </w:tcPr>
          <w:p>
            <w:pPr>
              <w:spacing w:after="0"/>
              <w:rPr>
                <w:rFonts w:ascii="Arial" w:cs="Arial" w:eastAsia="Arial" w:hAnsi="Arial"/>
                <w:sz w:val="17"/>
                <w:szCs w:val="17"/>
                <w:color w:val="0563C1"/>
              </w:rPr>
            </w:pPr>
            <w:hyperlink w:anchor="page2">
              <w:r>
                <w:rPr>
                  <w:rFonts w:ascii="Arial" w:cs="Arial" w:eastAsia="Arial" w:hAnsi="Arial"/>
                  <w:sz w:val="17"/>
                  <w:szCs w:val="17"/>
                  <w:color w:val="0563C1"/>
                </w:rPr>
                <w:t>Table of Contents</w:t>
              </w:r>
            </w:hyperlink>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5"/>
        </w:trPr>
        <w:tc>
          <w:tcPr>
            <w:tcW w:w="20" w:type="dxa"/>
            <w:vAlign w:val="bottom"/>
            <w:tcBorders>
              <w:top w:val="single" w:sz="8" w:color="0563C1"/>
            </w:tcBorders>
          </w:tcPr>
          <w:p>
            <w:pPr>
              <w:spacing w:after="0"/>
              <w:rPr>
                <w:sz w:val="24"/>
                <w:szCs w:val="24"/>
                <w:color w:val="auto"/>
              </w:rPr>
            </w:pPr>
          </w:p>
        </w:tc>
        <w:tc>
          <w:tcPr>
            <w:tcW w:w="1200" w:type="dxa"/>
            <w:vAlign w:val="bottom"/>
            <w:tcBorders>
              <w:top w:val="single" w:sz="8" w:color="0563C1"/>
            </w:tcBorders>
          </w:tcPr>
          <w:p>
            <w:pPr>
              <w:spacing w:after="0"/>
              <w:rPr>
                <w:sz w:val="24"/>
                <w:szCs w:val="24"/>
                <w:color w:val="auto"/>
              </w:rPr>
            </w:pPr>
          </w:p>
        </w:tc>
        <w:tc>
          <w:tcPr>
            <w:tcW w:w="6560" w:type="dxa"/>
            <w:vAlign w:val="bottom"/>
          </w:tcPr>
          <w:p>
            <w:pPr>
              <w:jc w:val="center"/>
              <w:spacing w:after="0"/>
              <w:rPr>
                <w:sz w:val="20"/>
                <w:szCs w:val="20"/>
                <w:color w:val="auto"/>
              </w:rPr>
            </w:pPr>
            <w:r>
              <w:rPr>
                <w:rFonts w:ascii="Arial" w:cs="Arial" w:eastAsia="Arial" w:hAnsi="Arial"/>
                <w:sz w:val="17"/>
                <w:szCs w:val="17"/>
                <w:b w:val="1"/>
                <w:bCs w:val="1"/>
                <w:color w:val="auto"/>
              </w:rPr>
              <w:t>AVNET, INC. AND SUBSIDIARIES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560" w:type="dxa"/>
            <w:vAlign w:val="bottom"/>
          </w:tcPr>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7760" w:type="dxa"/>
            <w:vAlign w:val="bottom"/>
            <w:gridSpan w:val="2"/>
          </w:tcPr>
          <w:p>
            <w:pPr>
              <w:ind w:left="380"/>
              <w:spacing w:after="0"/>
              <w:rPr>
                <w:sz w:val="20"/>
                <w:szCs w:val="20"/>
                <w:color w:val="auto"/>
              </w:rPr>
            </w:pPr>
            <w:r>
              <w:rPr>
                <w:rFonts w:ascii="Arial" w:cs="Arial" w:eastAsia="Arial" w:hAnsi="Arial"/>
                <w:sz w:val="17"/>
                <w:szCs w:val="17"/>
                <w:color w:val="auto"/>
              </w:rPr>
              <w:t>The following table summarizes the final purchase price allocation (in thousands):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vMerge w:val="restart"/>
          </w:tcPr>
          <w:p>
            <w:pPr>
              <w:spacing w:after="0"/>
              <w:rPr>
                <w:sz w:val="19"/>
                <w:szCs w:val="19"/>
                <w:color w:val="auto"/>
              </w:rPr>
            </w:pPr>
          </w:p>
        </w:tc>
        <w:tc>
          <w:tcPr>
            <w:tcW w:w="120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w:t>
            </w:r>
          </w:p>
        </w:tc>
        <w:tc>
          <w:tcPr>
            <w:tcW w:w="380" w:type="dxa"/>
            <w:vAlign w:val="bottom"/>
            <w:gridSpan w:val="2"/>
            <w:shd w:val="clear" w:color="auto" w:fill="CCEEFF"/>
          </w:tcPr>
          <w:p>
            <w:pPr>
              <w:jc w:val="right"/>
              <w:ind w:right="20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46,354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760" w:type="dxa"/>
            <w:vAlign w:val="bottom"/>
            <w:gridSpan w:val="2"/>
          </w:tcPr>
          <w:p>
            <w:pPr>
              <w:spacing w:after="0"/>
              <w:rPr>
                <w:sz w:val="20"/>
                <w:szCs w:val="20"/>
                <w:color w:val="auto"/>
              </w:rPr>
            </w:pPr>
            <w:r>
              <w:rPr>
                <w:rFonts w:ascii="Arial" w:cs="Arial" w:eastAsia="Arial" w:hAnsi="Arial"/>
                <w:sz w:val="17"/>
                <w:szCs w:val="17"/>
                <w:color w:val="auto"/>
              </w:rPr>
              <w:t>Trade and other receivables, net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187,303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Inventories</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328,037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760" w:type="dxa"/>
            <w:vAlign w:val="bottom"/>
            <w:gridSpan w:val="2"/>
          </w:tcPr>
          <w:p>
            <w:pPr>
              <w:spacing w:after="0"/>
              <w:rPr>
                <w:sz w:val="20"/>
                <w:szCs w:val="20"/>
                <w:color w:val="auto"/>
              </w:rPr>
            </w:pPr>
            <w:r>
              <w:rPr>
                <w:rFonts w:ascii="Arial" w:cs="Arial" w:eastAsia="Arial" w:hAnsi="Arial"/>
                <w:sz w:val="17"/>
                <w:szCs w:val="17"/>
                <w:color w:val="auto"/>
              </w:rPr>
              <w:t>Property, plant and equipment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52,621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319,966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760" w:type="dxa"/>
            <w:vAlign w:val="bottom"/>
            <w:tcBorders>
              <w:bottom w:val="single" w:sz="8" w:color="CCEEFF"/>
            </w:tcBorders>
            <w:gridSpan w:val="2"/>
          </w:tcPr>
          <w:p>
            <w:pPr>
              <w:ind w:left="80"/>
              <w:spacing w:after="0" w:line="193" w:lineRule="exact"/>
              <w:rPr>
                <w:sz w:val="20"/>
                <w:szCs w:val="20"/>
                <w:color w:val="auto"/>
              </w:rPr>
            </w:pPr>
            <w:r>
              <w:rPr>
                <w:rFonts w:ascii="Arial" w:cs="Arial" w:eastAsia="Arial" w:hAnsi="Arial"/>
                <w:sz w:val="17"/>
                <w:szCs w:val="17"/>
                <w:color w:val="auto"/>
              </w:rPr>
              <w:t>Total identifiable assets acquired</w:t>
            </w: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934,281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80" w:type="dxa"/>
            <w:vAlign w:val="bottom"/>
            <w:gridSpan w:val="3"/>
          </w:tcPr>
          <w:p>
            <w:pPr>
              <w:spacing w:after="0"/>
              <w:rPr>
                <w:sz w:val="20"/>
                <w:szCs w:val="20"/>
                <w:color w:val="auto"/>
              </w:rPr>
            </w:pPr>
            <w:r>
              <w:rPr>
                <w:rFonts w:ascii="Arial" w:cs="Arial" w:eastAsia="Arial" w:hAnsi="Arial"/>
                <w:sz w:val="17"/>
                <w:szCs w:val="17"/>
                <w:color w:val="auto"/>
              </w:rPr>
              <w:t>Accounts payable, accrued liabilities and other current liabilities</w:t>
            </w:r>
          </w:p>
        </w:tc>
        <w:tc>
          <w:tcPr>
            <w:tcW w:w="380" w:type="dxa"/>
            <w:vAlign w:val="bottom"/>
            <w:gridSpan w:val="2"/>
          </w:tcPr>
          <w:p>
            <w:pPr>
              <w:jc w:val="right"/>
              <w:ind w:right="20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160,572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Short-term debt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242,814</w:t>
            </w:r>
          </w:p>
        </w:tc>
        <w:tc>
          <w:tcPr>
            <w:tcW w:w="0" w:type="dxa"/>
            <w:vAlign w:val="bottom"/>
          </w:tcPr>
          <w:p>
            <w:pPr>
              <w:spacing w:after="0"/>
              <w:rPr>
                <w:sz w:val="1"/>
                <w:szCs w:val="1"/>
                <w:color w:val="auto"/>
              </w:rPr>
            </w:pPr>
          </w:p>
        </w:tc>
      </w:tr>
      <w:tr>
        <w:trPr>
          <w:trHeight w:val="213"/>
        </w:trPr>
        <w:tc>
          <w:tcPr>
            <w:tcW w:w="7780" w:type="dxa"/>
            <w:vAlign w:val="bottom"/>
            <w:gridSpan w:val="3"/>
          </w:tcPr>
          <w:p>
            <w:pPr>
              <w:spacing w:after="0"/>
              <w:rPr>
                <w:sz w:val="20"/>
                <w:szCs w:val="20"/>
                <w:color w:val="auto"/>
              </w:rPr>
            </w:pPr>
            <w:r>
              <w:rPr>
                <w:rFonts w:ascii="Arial" w:cs="Arial" w:eastAsia="Arial" w:hAnsi="Arial"/>
                <w:sz w:val="17"/>
                <w:szCs w:val="17"/>
                <w:color w:val="auto"/>
              </w:rPr>
              <w:t>Other long-term liabilities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150,109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6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Total identifiable liabilities acquired</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553,495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760" w:type="dxa"/>
            <w:vAlign w:val="bottom"/>
            <w:tcBorders>
              <w:bottom w:val="single" w:sz="8" w:color="CCEEFF"/>
            </w:tcBorders>
            <w:gridSpan w:val="2"/>
          </w:tcPr>
          <w:p>
            <w:pPr>
              <w:ind w:left="180"/>
              <w:spacing w:after="0" w:line="193" w:lineRule="exact"/>
              <w:rPr>
                <w:sz w:val="20"/>
                <w:szCs w:val="20"/>
                <w:color w:val="auto"/>
              </w:rPr>
            </w:pPr>
            <w:r>
              <w:rPr>
                <w:rFonts w:ascii="Arial" w:cs="Arial" w:eastAsia="Arial" w:hAnsi="Arial"/>
                <w:sz w:val="17"/>
                <w:szCs w:val="17"/>
                <w:color w:val="auto"/>
              </w:rPr>
              <w:t>Net identifiable assets acquired</w:t>
            </w: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380,786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Goodwill</w:t>
            </w: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460,534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760" w:type="dxa"/>
            <w:vAlign w:val="bottom"/>
            <w:gridSpan w:val="2"/>
          </w:tcPr>
          <w:p>
            <w:pPr>
              <w:ind w:left="180"/>
              <w:spacing w:after="0" w:line="193" w:lineRule="exact"/>
              <w:rPr>
                <w:sz w:val="20"/>
                <w:szCs w:val="20"/>
                <w:color w:val="auto"/>
              </w:rPr>
            </w:pPr>
            <w:r>
              <w:rPr>
                <w:rFonts w:ascii="Arial" w:cs="Arial" w:eastAsia="Arial" w:hAnsi="Arial"/>
                <w:sz w:val="17"/>
                <w:szCs w:val="17"/>
                <w:color w:val="auto"/>
              </w:rPr>
              <w:t>Net assets acquired</w:t>
            </w: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841,320</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Approximately $10.0 million of goodwill associated with the PF acquisition is expected to be deductible for tax purposes.</w:t>
      </w:r>
    </w:p>
    <w:p>
      <w:pPr>
        <w:spacing w:after="0" w:line="230"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Dragon Innovation</w:t>
      </w:r>
    </w:p>
    <w:p>
      <w:pPr>
        <w:spacing w:after="0" w:line="218" w:lineRule="exact"/>
        <w:rPr>
          <w:sz w:val="20"/>
          <w:szCs w:val="20"/>
          <w:color w:val="auto"/>
        </w:rPr>
      </w:pPr>
    </w:p>
    <w:p>
      <w:pPr>
        <w:jc w:val="both"/>
        <w:ind w:firstLine="410"/>
        <w:spacing w:after="0" w:line="268" w:lineRule="auto"/>
        <w:rPr>
          <w:sz w:val="20"/>
          <w:szCs w:val="20"/>
          <w:color w:val="auto"/>
        </w:rPr>
      </w:pPr>
      <w:r>
        <w:rPr>
          <w:rFonts w:ascii="Arial" w:cs="Arial" w:eastAsia="Arial" w:hAnsi="Arial"/>
          <w:sz w:val="17"/>
          <w:szCs w:val="17"/>
          <w:color w:val="auto"/>
        </w:rPr>
        <w:t>In August 2017, the Company acquired Dragon Innovation, Inc. (“Dragon”), a provider of manufacturing logistics services to entrepreneurs. The impact of this acquisition was not material to the Company’s consolidated balance sheets or statements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Discontinued operations and gain on sale</w:t>
      </w:r>
    </w:p>
    <w:p>
      <w:pPr>
        <w:spacing w:after="0" w:line="224" w:lineRule="exact"/>
        <w:rPr>
          <w:sz w:val="20"/>
          <w:szCs w:val="20"/>
          <w:color w:val="auto"/>
        </w:rPr>
      </w:pPr>
    </w:p>
    <w:p>
      <w:pPr>
        <w:jc w:val="both"/>
        <w:ind w:firstLine="410"/>
        <w:spacing w:after="0" w:line="273" w:lineRule="auto"/>
        <w:rPr>
          <w:sz w:val="20"/>
          <w:szCs w:val="20"/>
          <w:color w:val="auto"/>
        </w:rPr>
      </w:pPr>
      <w:r>
        <w:rPr>
          <w:rFonts w:ascii="Arial" w:cs="Arial" w:eastAsia="Arial" w:hAnsi="Arial"/>
          <w:sz w:val="16"/>
          <w:szCs w:val="16"/>
          <w:color w:val="auto"/>
        </w:rPr>
        <w:t>In February 2017, the Company completed the sale of its Technology Solutions (“TS”) business to Tech Data Corporation (the “Buyer”). Included in the gain on sale recorded in fiscal 2017 were estimates for certain income taxes due on the gain and additional cash consideration expected from the Buyer related to a closing date net working capital sales price adjustment (the “closing date adjustment”). The Company is finalizing the closing date adjustment with the Buyer as provided for in the sales agreement and has included an estimate of this amount as the principal component of the $261.6 million of prepaid and other current assets as of September 30, 2017. The final closing date adjustment, as determined through the established process outlined in the sales agreement, may be materially different from the Company’s estimate. The impact of any probable changes in the closing date adjustment will be recorded as an adjustment to the gain on sale from discontinued operations in the period such change occurs. Additionally, the income taxes associated with the gain will be impacted by the final geographic allocation of the sales price, which must be agreed to with the Buyer as required in the sales agreement and may be materially different from the Company’s estimates. The impact of any changes in estimated income taxes on the gain will be recorded as an adjustment to the gain on sale from discontinued operations in the period such change in estimate occurs. The Company expects the closing date adjustment and the income tax on the gain to be finalized by the end of fiscal 2018.</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5757545"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 w:name="page9"/>
    <w:bookmarkEnd w:id="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AVNET,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6" w:lineRule="exact"/>
        <w:rPr>
          <w:sz w:val="20"/>
          <w:szCs w:val="20"/>
          <w:color w:val="auto"/>
        </w:rPr>
      </w:pPr>
    </w:p>
    <w:p>
      <w:pPr>
        <w:jc w:val="both"/>
        <w:ind w:firstLine="410"/>
        <w:spacing w:after="0" w:line="275" w:lineRule="auto"/>
        <w:rPr>
          <w:sz w:val="20"/>
          <w:szCs w:val="20"/>
          <w:color w:val="auto"/>
        </w:rPr>
      </w:pPr>
      <w:r>
        <w:rPr>
          <w:rFonts w:ascii="Arial" w:cs="Arial" w:eastAsia="Arial" w:hAnsi="Arial"/>
          <w:sz w:val="16"/>
          <w:szCs w:val="16"/>
          <w:color w:val="auto"/>
        </w:rPr>
        <w:t>The Company received 2.8 million shares of the Buyer’s common stock at closing (the “Shares”), which has been recorded within “Marketable securities” on the Company’s Consolidated Balance Sheets. Unrealized and realized gains or losses due to changes in fair value based upon Level 1 quoted active market prices of the Shares are recorded in “Other income (expense), net” on the Consolidated Statements of Operations. The sales agreement includes time based contractual restrictions related to the Company’s sale of the Shares and as such, the Company entered into economic hedges to reduce the Company’s exposure to price fluctuations of the Shares during the restricted period, which fixes the net amount that the Company will realize upon the sale of the Shares at approximately $247 million. The Company records changes in fair value related to the economic share price hedges within “Other income (expense), net”, offsetting the changes in fair value of the underlying Shares. During the three months ended September 30, 2017, the Company sold 0.6 million Shares, the net proceeds of which have been included in Cash flows from investing activities – discontinued operations.</w:t>
      </w:r>
    </w:p>
    <w:p>
      <w:pPr>
        <w:spacing w:after="0" w:line="168" w:lineRule="exact"/>
        <w:rPr>
          <w:sz w:val="20"/>
          <w:szCs w:val="20"/>
          <w:color w:val="auto"/>
        </w:rPr>
      </w:pPr>
    </w:p>
    <w:p>
      <w:pPr>
        <w:jc w:val="both"/>
        <w:ind w:firstLine="410"/>
        <w:spacing w:after="0" w:line="277" w:lineRule="auto"/>
        <w:rPr>
          <w:sz w:val="20"/>
          <w:szCs w:val="20"/>
          <w:color w:val="auto"/>
        </w:rPr>
      </w:pPr>
      <w:r>
        <w:rPr>
          <w:rFonts w:ascii="Arial" w:cs="Arial" w:eastAsia="Arial" w:hAnsi="Arial"/>
          <w:sz w:val="16"/>
          <w:szCs w:val="16"/>
          <w:color w:val="auto"/>
        </w:rPr>
        <w:t>In connection with the sale of the TS business, the Company entered into a Transition Services Agreement (“TSA”), pursuant to which the Buyer will pay the Company to provide certain information technology, distribution, facilities, finance and human resources related services for various periods of time depending upon the services not to exceed approximately two years from the closing date. Expenses incurred by the Company to provide such services under the TSA are classified within selling, general and administrative expenses and amounts billed to the Buyer to provide such services are classified as a reduction of such expenses. As of September 30, 2017, the Buyer terminated substantially all TSA services outside of certain information technology services and all remaining TSA services are expected to be terminated by the end of fiscal 2018.</w:t>
      </w:r>
    </w:p>
    <w:p>
      <w:pPr>
        <w:spacing w:after="0" w:line="169" w:lineRule="exact"/>
        <w:rPr>
          <w:sz w:val="20"/>
          <w:szCs w:val="20"/>
          <w:color w:val="auto"/>
        </w:rPr>
      </w:pPr>
    </w:p>
    <w:p>
      <w:pPr>
        <w:jc w:val="both"/>
        <w:ind w:firstLine="410"/>
        <w:spacing w:after="0" w:line="283" w:lineRule="auto"/>
        <w:rPr>
          <w:sz w:val="20"/>
          <w:szCs w:val="20"/>
          <w:color w:val="auto"/>
        </w:rPr>
      </w:pPr>
      <w:r>
        <w:rPr>
          <w:rFonts w:ascii="Arial" w:cs="Arial" w:eastAsia="Arial" w:hAnsi="Arial"/>
          <w:sz w:val="17"/>
          <w:szCs w:val="17"/>
          <w:color w:val="auto"/>
        </w:rPr>
        <w:t>Financial results of the TS business for the first quarter ended October 1, 2016 are presented as “Income from discontinued operations, net of tax” on the Consolidated Statements of Operations and are summarized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5"/>
              </w:rPr>
              <w:t>First Quarter Ended</w:t>
            </w:r>
          </w:p>
        </w:tc>
      </w:tr>
      <w:tr>
        <w:trPr>
          <w:trHeight w:val="218"/>
        </w:trPr>
        <w:tc>
          <w:tcPr>
            <w:tcW w:w="5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1"/>
              </w:rPr>
              <w:t>October 1, 2016</w:t>
            </w:r>
          </w:p>
        </w:tc>
      </w:tr>
      <w:tr>
        <w:trPr>
          <w:trHeight w:val="156"/>
        </w:trPr>
        <w:tc>
          <w:tcPr>
            <w:tcW w:w="5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jc w:val="center"/>
              <w:ind w:right="114"/>
              <w:spacing w:after="0" w:line="156" w:lineRule="exact"/>
              <w:rPr>
                <w:sz w:val="20"/>
                <w:szCs w:val="20"/>
                <w:color w:val="auto"/>
              </w:rPr>
            </w:pPr>
            <w:r>
              <w:rPr>
                <w:rFonts w:ascii="Arial" w:cs="Arial" w:eastAsia="Arial" w:hAnsi="Arial"/>
                <w:sz w:val="17"/>
                <w:szCs w:val="17"/>
                <w:b w:val="1"/>
                <w:bCs w:val="1"/>
                <w:color w:val="auto"/>
                <w:w w:val="90"/>
              </w:rPr>
              <w:t>(Thousands)</w:t>
            </w:r>
          </w:p>
        </w:tc>
        <w:tc>
          <w:tcPr>
            <w:tcW w:w="120" w:type="dxa"/>
            <w:vAlign w:val="bottom"/>
          </w:tcPr>
          <w:p>
            <w:pPr>
              <w:spacing w:after="0"/>
              <w:rPr>
                <w:sz w:val="13"/>
                <w:szCs w:val="13"/>
                <w:color w:val="auto"/>
              </w:rPr>
            </w:pPr>
          </w:p>
        </w:tc>
      </w:tr>
      <w:tr>
        <w:trPr>
          <w:trHeight w:val="206"/>
        </w:trPr>
        <w:tc>
          <w:tcPr>
            <w:tcW w:w="5460" w:type="dxa"/>
            <w:vAlign w:val="bottom"/>
          </w:tcPr>
          <w:p>
            <w:pPr>
              <w:spacing w:after="0"/>
              <w:rPr>
                <w:sz w:val="20"/>
                <w:szCs w:val="20"/>
                <w:color w:val="auto"/>
              </w:rPr>
            </w:pPr>
            <w:r>
              <w:rPr>
                <w:rFonts w:ascii="Arial" w:cs="Arial" w:eastAsia="Arial" w:hAnsi="Arial"/>
                <w:sz w:val="17"/>
                <w:szCs w:val="17"/>
                <w:color w:val="auto"/>
              </w:rPr>
              <w:t>Sales</w:t>
            </w:r>
          </w:p>
        </w:tc>
        <w:tc>
          <w:tcPr>
            <w:tcW w:w="164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1,922,202</w:t>
            </w:r>
          </w:p>
        </w:tc>
        <w:tc>
          <w:tcPr>
            <w:tcW w:w="120" w:type="dxa"/>
            <w:vAlign w:val="bottom"/>
          </w:tcPr>
          <w:p>
            <w:pPr>
              <w:spacing w:after="0"/>
              <w:rPr>
                <w:sz w:val="17"/>
                <w:szCs w:val="17"/>
                <w:color w:val="auto"/>
              </w:rPr>
            </w:pPr>
          </w:p>
        </w:tc>
      </w:tr>
      <w:tr>
        <w:trPr>
          <w:trHeight w:val="201"/>
        </w:trPr>
        <w:tc>
          <w:tcPr>
            <w:tcW w:w="546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7"/>
                <w:szCs w:val="17"/>
                <w:color w:val="auto"/>
              </w:rPr>
              <w:t>Cost of sales</w:t>
            </w:r>
          </w:p>
        </w:tc>
        <w:tc>
          <w:tcPr>
            <w:tcW w:w="14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1,728,929</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67"/>
        </w:trPr>
        <w:tc>
          <w:tcPr>
            <w:tcW w:w="5460" w:type="dxa"/>
            <w:vAlign w:val="bottom"/>
          </w:tcPr>
          <w:p>
            <w:pPr>
              <w:spacing w:after="0" w:line="167" w:lineRule="exact"/>
              <w:rPr>
                <w:sz w:val="20"/>
                <w:szCs w:val="20"/>
                <w:color w:val="auto"/>
              </w:rPr>
            </w:pPr>
            <w:r>
              <w:rPr>
                <w:rFonts w:ascii="Arial" w:cs="Arial" w:eastAsia="Arial" w:hAnsi="Arial"/>
                <w:sz w:val="17"/>
                <w:szCs w:val="17"/>
                <w:color w:val="auto"/>
              </w:rPr>
              <w:t>Gross profit</w:t>
            </w: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Pr>
          <w:p>
            <w:pPr>
              <w:jc w:val="right"/>
              <w:spacing w:after="0" w:line="167" w:lineRule="exact"/>
              <w:rPr>
                <w:sz w:val="20"/>
                <w:szCs w:val="20"/>
                <w:color w:val="auto"/>
              </w:rPr>
            </w:pPr>
            <w:r>
              <w:rPr>
                <w:rFonts w:ascii="Arial" w:cs="Arial" w:eastAsia="Arial" w:hAnsi="Arial"/>
                <w:sz w:val="17"/>
                <w:szCs w:val="17"/>
                <w:color w:val="auto"/>
              </w:rPr>
              <w:t>193,273</w:t>
            </w:r>
          </w:p>
        </w:tc>
        <w:tc>
          <w:tcPr>
            <w:tcW w:w="120" w:type="dxa"/>
            <w:vAlign w:val="bottom"/>
          </w:tcPr>
          <w:p>
            <w:pPr>
              <w:spacing w:after="0"/>
              <w:rPr>
                <w:sz w:val="14"/>
                <w:szCs w:val="14"/>
                <w:color w:val="auto"/>
              </w:rPr>
            </w:pPr>
          </w:p>
        </w:tc>
      </w:tr>
      <w:tr>
        <w:trPr>
          <w:trHeight w:val="181"/>
        </w:trPr>
        <w:tc>
          <w:tcPr>
            <w:tcW w:w="5460" w:type="dxa"/>
            <w:vAlign w:val="bottom"/>
            <w:shd w:val="clear" w:color="auto" w:fill="CCEEFF"/>
          </w:tcPr>
          <w:p>
            <w:pPr>
              <w:spacing w:after="0" w:line="181" w:lineRule="exact"/>
              <w:rPr>
                <w:sz w:val="20"/>
                <w:szCs w:val="20"/>
                <w:color w:val="auto"/>
              </w:rPr>
            </w:pPr>
            <w:r>
              <w:rPr>
                <w:rFonts w:ascii="Arial" w:cs="Arial" w:eastAsia="Arial" w:hAnsi="Arial"/>
                <w:sz w:val="17"/>
                <w:szCs w:val="17"/>
                <w:color w:val="auto"/>
              </w:rPr>
              <w:t>Selling, general and administrative expenses</w:t>
            </w:r>
          </w:p>
        </w:tc>
        <w:tc>
          <w:tcPr>
            <w:tcW w:w="1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166,025</w:t>
            </w:r>
          </w:p>
        </w:tc>
        <w:tc>
          <w:tcPr>
            <w:tcW w:w="120" w:type="dxa"/>
            <w:vAlign w:val="bottom"/>
            <w:shd w:val="clear" w:color="auto" w:fill="CCEEFF"/>
          </w:tcPr>
          <w:p>
            <w:pPr>
              <w:spacing w:after="0"/>
              <w:rPr>
                <w:sz w:val="15"/>
                <w:szCs w:val="15"/>
                <w:color w:val="auto"/>
              </w:rPr>
            </w:pPr>
          </w:p>
        </w:tc>
      </w:tr>
      <w:tr>
        <w:trPr>
          <w:trHeight w:val="187"/>
        </w:trPr>
        <w:tc>
          <w:tcPr>
            <w:tcW w:w="5460" w:type="dxa"/>
            <w:vAlign w:val="bottom"/>
            <w:tcBorders>
              <w:bottom w:val="single" w:sz="8" w:color="CCEEFF"/>
            </w:tcBorders>
          </w:tcPr>
          <w:p>
            <w:pPr>
              <w:spacing w:after="0" w:line="181" w:lineRule="exact"/>
              <w:rPr>
                <w:sz w:val="20"/>
                <w:szCs w:val="20"/>
                <w:color w:val="auto"/>
              </w:rPr>
            </w:pPr>
            <w:r>
              <w:rPr>
                <w:rFonts w:ascii="Arial" w:cs="Arial" w:eastAsia="Arial" w:hAnsi="Arial"/>
                <w:sz w:val="17"/>
                <w:szCs w:val="17"/>
                <w:color w:val="auto"/>
              </w:rPr>
              <w:t>Restructuring, integration and other expenses</w:t>
            </w:r>
          </w:p>
        </w:tc>
        <w:tc>
          <w:tcPr>
            <w:tcW w:w="1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4,224</w:t>
            </w:r>
          </w:p>
        </w:tc>
        <w:tc>
          <w:tcPr>
            <w:tcW w:w="120" w:type="dxa"/>
            <w:vAlign w:val="bottom"/>
            <w:tcBorders>
              <w:bottom w:val="single" w:sz="8" w:color="CCEEFF"/>
            </w:tcBorders>
          </w:tcPr>
          <w:p>
            <w:pPr>
              <w:spacing w:after="0"/>
              <w:rPr>
                <w:sz w:val="16"/>
                <w:szCs w:val="16"/>
                <w:color w:val="auto"/>
              </w:rPr>
            </w:pPr>
          </w:p>
        </w:tc>
      </w:tr>
      <w:tr>
        <w:trPr>
          <w:trHeight w:val="181"/>
        </w:trPr>
        <w:tc>
          <w:tcPr>
            <w:tcW w:w="5460" w:type="dxa"/>
            <w:vAlign w:val="bottom"/>
            <w:shd w:val="clear" w:color="auto" w:fill="CCEEFF"/>
          </w:tcPr>
          <w:p>
            <w:pPr>
              <w:spacing w:after="0" w:line="181" w:lineRule="exact"/>
              <w:rPr>
                <w:sz w:val="20"/>
                <w:szCs w:val="20"/>
                <w:color w:val="auto"/>
              </w:rPr>
            </w:pPr>
            <w:r>
              <w:rPr>
                <w:rFonts w:ascii="Arial" w:cs="Arial" w:eastAsia="Arial" w:hAnsi="Arial"/>
                <w:sz w:val="17"/>
                <w:szCs w:val="17"/>
                <w:color w:val="auto"/>
              </w:rPr>
              <w:t>Operating income</w:t>
            </w:r>
          </w:p>
        </w:tc>
        <w:tc>
          <w:tcPr>
            <w:tcW w:w="1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23,024</w:t>
            </w:r>
          </w:p>
        </w:tc>
        <w:tc>
          <w:tcPr>
            <w:tcW w:w="120" w:type="dxa"/>
            <w:vAlign w:val="bottom"/>
            <w:shd w:val="clear" w:color="auto" w:fill="CCEEFF"/>
          </w:tcPr>
          <w:p>
            <w:pPr>
              <w:spacing w:after="0"/>
              <w:rPr>
                <w:sz w:val="15"/>
                <w:szCs w:val="15"/>
                <w:color w:val="auto"/>
              </w:rPr>
            </w:pPr>
          </w:p>
        </w:tc>
      </w:tr>
      <w:tr>
        <w:trPr>
          <w:trHeight w:val="187"/>
        </w:trPr>
        <w:tc>
          <w:tcPr>
            <w:tcW w:w="5460" w:type="dxa"/>
            <w:vAlign w:val="bottom"/>
            <w:tcBorders>
              <w:bottom w:val="single" w:sz="8" w:color="CCEEFF"/>
            </w:tcBorders>
          </w:tcPr>
          <w:p>
            <w:pPr>
              <w:spacing w:after="0" w:line="181" w:lineRule="exact"/>
              <w:rPr>
                <w:sz w:val="20"/>
                <w:szCs w:val="20"/>
                <w:color w:val="auto"/>
              </w:rPr>
            </w:pPr>
            <w:r>
              <w:rPr>
                <w:rFonts w:ascii="Arial" w:cs="Arial" w:eastAsia="Arial" w:hAnsi="Arial"/>
                <w:sz w:val="17"/>
                <w:szCs w:val="17"/>
                <w:color w:val="auto"/>
              </w:rPr>
              <w:t>Interest and other expense, net</w:t>
            </w:r>
          </w:p>
        </w:tc>
        <w:tc>
          <w:tcPr>
            <w:tcW w:w="1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tcPr>
          <w:p>
            <w:pPr>
              <w:spacing w:after="0"/>
              <w:rPr>
                <w:sz w:val="16"/>
                <w:szCs w:val="16"/>
                <w:color w:val="auto"/>
              </w:rPr>
            </w:pPr>
          </w:p>
        </w:tc>
      </w:tr>
      <w:tr>
        <w:trPr>
          <w:trHeight w:val="181"/>
        </w:trPr>
        <w:tc>
          <w:tcPr>
            <w:tcW w:w="5460" w:type="dxa"/>
            <w:vAlign w:val="bottom"/>
            <w:shd w:val="clear" w:color="auto" w:fill="CCEEFF"/>
          </w:tcPr>
          <w:p>
            <w:pPr>
              <w:spacing w:after="0" w:line="181" w:lineRule="exact"/>
              <w:rPr>
                <w:sz w:val="20"/>
                <w:szCs w:val="20"/>
                <w:color w:val="auto"/>
              </w:rPr>
            </w:pPr>
            <w:r>
              <w:rPr>
                <w:rFonts w:ascii="Arial" w:cs="Arial" w:eastAsia="Arial" w:hAnsi="Arial"/>
                <w:sz w:val="17"/>
                <w:szCs w:val="17"/>
                <w:color w:val="auto"/>
              </w:rPr>
              <w:t>Income from discontinued operations before income taxes</w:t>
            </w:r>
          </w:p>
        </w:tc>
        <w:tc>
          <w:tcPr>
            <w:tcW w:w="1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23,029</w:t>
            </w:r>
          </w:p>
        </w:tc>
        <w:tc>
          <w:tcPr>
            <w:tcW w:w="120" w:type="dxa"/>
            <w:vAlign w:val="bottom"/>
            <w:shd w:val="clear" w:color="auto" w:fill="CCEEFF"/>
          </w:tcPr>
          <w:p>
            <w:pPr>
              <w:spacing w:after="0"/>
              <w:rPr>
                <w:sz w:val="15"/>
                <w:szCs w:val="15"/>
                <w:color w:val="auto"/>
              </w:rPr>
            </w:pPr>
          </w:p>
        </w:tc>
      </w:tr>
      <w:tr>
        <w:trPr>
          <w:trHeight w:val="187"/>
        </w:trPr>
        <w:tc>
          <w:tcPr>
            <w:tcW w:w="5460" w:type="dxa"/>
            <w:vAlign w:val="bottom"/>
            <w:tcBorders>
              <w:bottom w:val="single" w:sz="8" w:color="CCEEFF"/>
            </w:tcBorders>
          </w:tcPr>
          <w:p>
            <w:pPr>
              <w:spacing w:after="0" w:line="181" w:lineRule="exact"/>
              <w:rPr>
                <w:sz w:val="20"/>
                <w:szCs w:val="20"/>
                <w:color w:val="auto"/>
              </w:rPr>
            </w:pPr>
            <w:r>
              <w:rPr>
                <w:rFonts w:ascii="Arial" w:cs="Arial" w:eastAsia="Arial" w:hAnsi="Arial"/>
                <w:sz w:val="17"/>
                <w:szCs w:val="17"/>
                <w:color w:val="auto"/>
              </w:rPr>
              <w:t>Income tax expense</w:t>
            </w:r>
          </w:p>
        </w:tc>
        <w:tc>
          <w:tcPr>
            <w:tcW w:w="1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21,874</w:t>
            </w:r>
          </w:p>
        </w:tc>
        <w:tc>
          <w:tcPr>
            <w:tcW w:w="120" w:type="dxa"/>
            <w:vAlign w:val="bottom"/>
            <w:tcBorders>
              <w:bottom w:val="single" w:sz="8" w:color="CCEEFF"/>
            </w:tcBorders>
          </w:tcPr>
          <w:p>
            <w:pPr>
              <w:spacing w:after="0"/>
              <w:rPr>
                <w:sz w:val="16"/>
                <w:szCs w:val="16"/>
                <w:color w:val="auto"/>
              </w:rPr>
            </w:pPr>
          </w:p>
        </w:tc>
      </w:tr>
      <w:tr>
        <w:trPr>
          <w:trHeight w:val="187"/>
        </w:trPr>
        <w:tc>
          <w:tcPr>
            <w:tcW w:w="546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7"/>
                <w:szCs w:val="17"/>
                <w:color w:val="auto"/>
              </w:rPr>
              <w:t>Income from discontinued operations, net of taxes</w:t>
            </w:r>
          </w:p>
        </w:tc>
        <w:tc>
          <w:tcPr>
            <w:tcW w:w="14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1,155</w:t>
            </w:r>
          </w:p>
        </w:tc>
        <w:tc>
          <w:tcPr>
            <w:tcW w:w="120" w:type="dxa"/>
            <w:vAlign w:val="bottom"/>
            <w:tcBorders>
              <w:bottom w:val="single" w:sz="8" w:color="CCEEFF"/>
            </w:tcBorders>
            <w:shd w:val="clear" w:color="auto" w:fill="CCEEFF"/>
          </w:tcPr>
          <w:p>
            <w:pPr>
              <w:spacing w:after="0"/>
              <w:rPr>
                <w:sz w:val="16"/>
                <w:szCs w:val="16"/>
                <w:color w:val="auto"/>
              </w:rPr>
            </w:pPr>
          </w:p>
        </w:tc>
      </w:tr>
    </w:tbl>
    <w:p>
      <w:pPr>
        <w:spacing w:after="0" w:line="195" w:lineRule="exact"/>
        <w:rPr>
          <w:sz w:val="20"/>
          <w:szCs w:val="20"/>
          <w:color w:val="auto"/>
        </w:rPr>
      </w:pPr>
    </w:p>
    <w:p>
      <w:pPr>
        <w:jc w:val="both"/>
        <w:ind w:firstLine="410"/>
        <w:spacing w:after="0" w:line="268" w:lineRule="auto"/>
        <w:rPr>
          <w:sz w:val="20"/>
          <w:szCs w:val="20"/>
          <w:color w:val="auto"/>
        </w:rPr>
      </w:pPr>
      <w:r>
        <w:rPr>
          <w:rFonts w:ascii="Arial" w:cs="Arial" w:eastAsia="Arial" w:hAnsi="Arial"/>
          <w:sz w:val="17"/>
          <w:szCs w:val="17"/>
          <w:color w:val="auto"/>
        </w:rPr>
        <w:t>Included within selling, general and administrative expenses of discontinued operations was $12.5 million of estimated corporate expenses, excluding general overhead, specific to or benefiting the TS business for the first quarter ended October 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5757545"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9" w:name="page10"/>
    <w:bookmarkEnd w:id="9"/>
    <w:p>
      <w:pPr>
        <w:ind w:left="1"/>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AVNET,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ind w:left="421" w:right="6660" w:hanging="421"/>
        <w:spacing w:after="0" w:line="511" w:lineRule="auto"/>
        <w:tabs>
          <w:tab w:leader="none" w:pos="179"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Goodwill and long-lived assets </w:t>
      </w:r>
      <w:r>
        <w:rPr>
          <w:rFonts w:ascii="Arial" w:cs="Arial" w:eastAsia="Arial" w:hAnsi="Arial"/>
          <w:sz w:val="17"/>
          <w:szCs w:val="17"/>
          <w:i w:val="1"/>
          <w:iCs w:val="1"/>
          <w:color w:val="auto"/>
        </w:rPr>
        <w:t>Goodwill</w:t>
      </w:r>
    </w:p>
    <w:p>
      <w:pPr>
        <w:spacing w:after="0" w:line="1" w:lineRule="exact"/>
        <w:rPr>
          <w:sz w:val="20"/>
          <w:szCs w:val="20"/>
          <w:color w:val="auto"/>
        </w:rPr>
      </w:pPr>
    </w:p>
    <w:p>
      <w:pPr>
        <w:ind w:left="401"/>
        <w:spacing w:after="0"/>
        <w:rPr>
          <w:sz w:val="20"/>
          <w:szCs w:val="20"/>
          <w:color w:val="auto"/>
        </w:rPr>
      </w:pPr>
      <w:r>
        <w:rPr>
          <w:rFonts w:ascii="Arial" w:cs="Arial" w:eastAsia="Arial" w:hAnsi="Arial"/>
          <w:sz w:val="15"/>
          <w:szCs w:val="15"/>
          <w:color w:val="auto"/>
        </w:rPr>
        <w:t>The following table presents the change in goodwill by reportable segment for the three months ended September 30, 2017.</w:t>
      </w:r>
    </w:p>
    <w:p>
      <w:pPr>
        <w:spacing w:after="0" w:line="47" w:lineRule="exact"/>
        <w:rPr>
          <w:sz w:val="20"/>
          <w:szCs w:val="20"/>
          <w:color w:val="auto"/>
        </w:rPr>
      </w:pPr>
    </w:p>
    <w:p>
      <w:pPr>
        <w:ind w:left="1"/>
        <w:spacing w:after="0"/>
        <w:rPr>
          <w:sz w:val="20"/>
          <w:szCs w:val="20"/>
          <w:color w:val="auto"/>
        </w:rPr>
      </w:pPr>
      <w:r>
        <w:rPr>
          <w:rFonts w:ascii="Arial" w:cs="Arial" w:eastAsia="Arial" w:hAnsi="Arial"/>
          <w:sz w:val="17"/>
          <w:szCs w:val="17"/>
          <w:color w:val="auto"/>
        </w:rPr>
        <w:t>All of the accumulated impairment was recognized in fiscal 2009.</w:t>
      </w:r>
    </w:p>
    <w:p>
      <w:pPr>
        <w:spacing w:after="0" w:line="213" w:lineRule="exact"/>
        <w:rPr>
          <w:sz w:val="20"/>
          <w:szCs w:val="20"/>
          <w:color w:val="auto"/>
        </w:rPr>
      </w:pPr>
    </w:p>
    <w:tbl>
      <w:tblPr>
        <w:tblLayout w:type="fixed"/>
        <w:tblInd w:w="1"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74"/>
              <w:spacing w:after="0"/>
              <w:rPr>
                <w:sz w:val="20"/>
                <w:szCs w:val="20"/>
                <w:color w:val="auto"/>
              </w:rPr>
            </w:pPr>
            <w:r>
              <w:rPr>
                <w:rFonts w:ascii="Arial" w:cs="Arial" w:eastAsia="Arial" w:hAnsi="Arial"/>
                <w:sz w:val="17"/>
                <w:szCs w:val="17"/>
                <w:b w:val="1"/>
                <w:bCs w:val="1"/>
                <w:color w:val="auto"/>
                <w:w w:val="92"/>
              </w:rPr>
              <w:t>Electronic</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4"/>
              </w:rPr>
              <w:t>Premier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1"/>
        </w:trPr>
        <w:tc>
          <w:tcPr>
            <w:tcW w:w="4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2"/>
              </w:rPr>
              <w:t>Components</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b w:val="1"/>
                <w:bCs w:val="1"/>
                <w:color w:val="auto"/>
                <w:w w:val="96"/>
              </w:rPr>
              <w:t>Farnell</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Total</w:t>
            </w:r>
          </w:p>
        </w:tc>
      </w:tr>
      <w:tr>
        <w:trPr>
          <w:trHeight w:val="207"/>
        </w:trPr>
        <w:tc>
          <w:tcPr>
            <w:tcW w:w="4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gridSpan w:val="4"/>
          </w:tcPr>
          <w:p>
            <w:pPr>
              <w:jc w:val="center"/>
              <w:ind w:right="40"/>
              <w:spacing w:after="0"/>
              <w:rPr>
                <w:sz w:val="20"/>
                <w:szCs w:val="20"/>
                <w:color w:val="auto"/>
              </w:rPr>
            </w:pPr>
            <w:r>
              <w:rPr>
                <w:rFonts w:ascii="Arial" w:cs="Arial" w:eastAsia="Arial" w:hAnsi="Arial"/>
                <w:sz w:val="17"/>
                <w:szCs w:val="17"/>
                <w:b w:val="1"/>
                <w:bCs w:val="1"/>
                <w:color w:val="auto"/>
                <w:w w:val="90"/>
              </w:rPr>
              <w:t>(Thousands)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7"/>
        </w:trPr>
        <w:tc>
          <w:tcPr>
            <w:tcW w:w="4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Gross goodwill</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1,680,158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513,299</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2,193,457</w:t>
            </w:r>
          </w:p>
        </w:tc>
      </w:tr>
      <w:tr>
        <w:trPr>
          <w:trHeight w:val="213"/>
        </w:trPr>
        <w:tc>
          <w:tcPr>
            <w:tcW w:w="4220" w:type="dxa"/>
            <w:vAlign w:val="bottom"/>
          </w:tcPr>
          <w:p>
            <w:pPr>
              <w:ind w:left="100"/>
              <w:spacing w:after="0"/>
              <w:rPr>
                <w:sz w:val="20"/>
                <w:szCs w:val="20"/>
                <w:color w:val="auto"/>
              </w:rPr>
            </w:pPr>
            <w:r>
              <w:rPr>
                <w:rFonts w:ascii="Arial" w:cs="Arial" w:eastAsia="Arial" w:hAnsi="Arial"/>
                <w:sz w:val="17"/>
                <w:szCs w:val="17"/>
                <w:color w:val="auto"/>
              </w:rPr>
              <w:t>Accumulated impairment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(1,045,110)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6"/>
              </w:rPr>
              <w:t>(1,045,110)</w:t>
            </w:r>
          </w:p>
        </w:tc>
      </w:tr>
      <w:tr>
        <w:trPr>
          <w:trHeight w:val="227"/>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Carrying value at July 1, 2017</w:t>
            </w: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635,048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513,299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1,148,347</w:t>
            </w:r>
          </w:p>
        </w:tc>
      </w:tr>
      <w:tr>
        <w:trPr>
          <w:trHeight w:val="193"/>
        </w:trPr>
        <w:tc>
          <w:tcPr>
            <w:tcW w:w="4220" w:type="dxa"/>
            <w:vAlign w:val="bottom"/>
          </w:tcPr>
          <w:p>
            <w:pPr>
              <w:ind w:left="100"/>
              <w:spacing w:after="0" w:line="193" w:lineRule="exact"/>
              <w:rPr>
                <w:sz w:val="20"/>
                <w:szCs w:val="20"/>
                <w:color w:val="auto"/>
              </w:rPr>
            </w:pPr>
            <w:r>
              <w:rPr>
                <w:rFonts w:ascii="Arial" w:cs="Arial" w:eastAsia="Arial" w:hAnsi="Arial"/>
                <w:sz w:val="17"/>
                <w:szCs w:val="17"/>
                <w:color w:val="auto"/>
              </w:rPr>
              <w:t>Additions from acquisitions</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Arial" w:cs="Arial" w:eastAsia="Arial" w:hAnsi="Arial"/>
                <w:sz w:val="17"/>
                <w:szCs w:val="17"/>
                <w:color w:val="auto"/>
              </w:rPr>
              <w:t>21,539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line="193"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line="193" w:lineRule="exact"/>
              <w:rPr>
                <w:sz w:val="20"/>
                <w:szCs w:val="20"/>
                <w:color w:val="auto"/>
              </w:rPr>
            </w:pPr>
            <w:r>
              <w:rPr>
                <w:rFonts w:ascii="Arial" w:cs="Arial" w:eastAsia="Arial" w:hAnsi="Arial"/>
                <w:sz w:val="17"/>
                <w:szCs w:val="17"/>
                <w:color w:val="auto"/>
              </w:rPr>
              <w:t>21,539</w:t>
            </w:r>
          </w:p>
        </w:tc>
      </w:tr>
      <w:tr>
        <w:trPr>
          <w:trHeight w:val="207"/>
        </w:trPr>
        <w:tc>
          <w:tcPr>
            <w:tcW w:w="4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Foreign currency translation</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17,739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23,511</w:t>
            </w:r>
          </w:p>
        </w:tc>
      </w:tr>
      <w:tr>
        <w:trPr>
          <w:trHeight w:val="213"/>
        </w:trPr>
        <w:tc>
          <w:tcPr>
            <w:tcW w:w="422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Measurement period adjustments</w:t>
            </w: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(15,328)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(15,392)</w:t>
            </w:r>
          </w:p>
        </w:tc>
      </w:tr>
      <w:tr>
        <w:trPr>
          <w:trHeight w:val="227"/>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Carrying value at September 30, 2017</w:t>
            </w:r>
          </w:p>
        </w:tc>
        <w:tc>
          <w:tcPr>
            <w:tcW w:w="1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662,295</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515,710</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1,178,005</w:t>
            </w:r>
          </w:p>
        </w:tc>
      </w:tr>
      <w:tr>
        <w:trPr>
          <w:trHeight w:val="193"/>
        </w:trPr>
        <w:tc>
          <w:tcPr>
            <w:tcW w:w="4220" w:type="dxa"/>
            <w:vAlign w:val="bottom"/>
          </w:tcPr>
          <w:p>
            <w:pPr>
              <w:ind w:left="100"/>
              <w:spacing w:after="0" w:line="193" w:lineRule="exact"/>
              <w:rPr>
                <w:sz w:val="20"/>
                <w:szCs w:val="20"/>
                <w:color w:val="auto"/>
              </w:rPr>
            </w:pPr>
            <w:r>
              <w:rPr>
                <w:rFonts w:ascii="Arial" w:cs="Arial" w:eastAsia="Arial" w:hAnsi="Arial"/>
                <w:sz w:val="17"/>
                <w:szCs w:val="17"/>
                <w:color w:val="auto"/>
              </w:rPr>
              <w:t>Gross goodwill</w:t>
            </w:r>
          </w:p>
        </w:tc>
        <w:tc>
          <w:tcPr>
            <w:tcW w:w="16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3" w:lineRule="exact"/>
              <w:rPr>
                <w:sz w:val="20"/>
                <w:szCs w:val="20"/>
                <w:color w:val="auto"/>
              </w:rPr>
            </w:pPr>
            <w:r>
              <w:rPr>
                <w:rFonts w:ascii="Arial" w:cs="Arial" w:eastAsia="Arial" w:hAnsi="Arial"/>
                <w:sz w:val="17"/>
                <w:szCs w:val="17"/>
                <w:color w:val="auto"/>
              </w:rPr>
              <w:t>1,707,405</w:t>
            </w:r>
          </w:p>
        </w:tc>
        <w:tc>
          <w:tcPr>
            <w:tcW w:w="180" w:type="dxa"/>
            <w:vAlign w:val="bottom"/>
          </w:tcPr>
          <w:p>
            <w:pPr>
              <w:spacing w:after="0"/>
              <w:rPr>
                <w:sz w:val="16"/>
                <w:szCs w:val="16"/>
                <w:color w:val="auto"/>
              </w:rPr>
            </w:pPr>
          </w:p>
        </w:tc>
        <w:tc>
          <w:tcPr>
            <w:tcW w:w="10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line="193" w:lineRule="exact"/>
              <w:rPr>
                <w:sz w:val="20"/>
                <w:szCs w:val="20"/>
                <w:color w:val="auto"/>
              </w:rPr>
            </w:pPr>
            <w:r>
              <w:rPr>
                <w:rFonts w:ascii="Arial" w:cs="Arial" w:eastAsia="Arial" w:hAnsi="Arial"/>
                <w:sz w:val="17"/>
                <w:szCs w:val="17"/>
                <w:color w:val="auto"/>
              </w:rPr>
              <w:t>515,710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93" w:lineRule="exact"/>
              <w:rPr>
                <w:sz w:val="20"/>
                <w:szCs w:val="20"/>
                <w:color w:val="auto"/>
              </w:rPr>
            </w:pPr>
            <w:r>
              <w:rPr>
                <w:rFonts w:ascii="Arial" w:cs="Arial" w:eastAsia="Arial" w:hAnsi="Arial"/>
                <w:sz w:val="17"/>
                <w:szCs w:val="17"/>
                <w:color w:val="auto"/>
              </w:rPr>
              <w:t>2,223,115</w:t>
            </w:r>
          </w:p>
        </w:tc>
      </w:tr>
      <w:tr>
        <w:trPr>
          <w:trHeight w:val="227"/>
        </w:trPr>
        <w:tc>
          <w:tcPr>
            <w:tcW w:w="4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Accumulated impairment</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(1,045,110)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(1,045,110)</w:t>
            </w:r>
          </w:p>
        </w:tc>
      </w:tr>
      <w:tr>
        <w:trPr>
          <w:trHeight w:val="199"/>
        </w:trPr>
        <w:tc>
          <w:tcPr>
            <w:tcW w:w="4220" w:type="dxa"/>
            <w:vAlign w:val="bottom"/>
            <w:tcBorders>
              <w:top w:val="single" w:sz="8" w:color="CCEEFF"/>
            </w:tcBorders>
          </w:tcPr>
          <w:p>
            <w:pPr>
              <w:spacing w:after="0" w:line="193" w:lineRule="exact"/>
              <w:rPr>
                <w:sz w:val="20"/>
                <w:szCs w:val="20"/>
                <w:color w:val="auto"/>
              </w:rPr>
            </w:pPr>
            <w:r>
              <w:rPr>
                <w:rFonts w:ascii="Arial" w:cs="Arial" w:eastAsia="Arial" w:hAnsi="Arial"/>
                <w:sz w:val="17"/>
                <w:szCs w:val="17"/>
                <w:color w:val="auto"/>
              </w:rPr>
              <w:t>Carrying value at September 30, 2017</w:t>
            </w:r>
          </w:p>
        </w:tc>
        <w:tc>
          <w:tcPr>
            <w:tcW w:w="160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662,295</w:t>
            </w: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515,710</w:t>
            </w: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1,178,005</w:t>
            </w:r>
          </w:p>
        </w:tc>
      </w:tr>
    </w:tbl>
    <w:p>
      <w:pPr>
        <w:spacing w:after="0" w:line="195" w:lineRule="exact"/>
        <w:rPr>
          <w:sz w:val="20"/>
          <w:szCs w:val="20"/>
          <w:color w:val="auto"/>
        </w:rPr>
      </w:pPr>
    </w:p>
    <w:p>
      <w:pPr>
        <w:jc w:val="both"/>
        <w:ind w:left="1" w:firstLine="410"/>
        <w:spacing w:after="0" w:line="290" w:lineRule="auto"/>
        <w:rPr>
          <w:sz w:val="20"/>
          <w:szCs w:val="20"/>
          <w:color w:val="auto"/>
        </w:rPr>
      </w:pPr>
      <w:r>
        <w:rPr>
          <w:rFonts w:ascii="Arial" w:cs="Arial" w:eastAsia="Arial" w:hAnsi="Arial"/>
          <w:sz w:val="15"/>
          <w:szCs w:val="15"/>
          <w:color w:val="auto"/>
        </w:rPr>
        <w:t>The Company’s reporting units passed goodwill impairment testing using a quantitative impairment model in the fourth quarter of fiscal 2017, however, the Company’s Electronic Components (“EC”) Americas reporting units had an estimated fair value that was not substantially in excess of its carrying value. The Company evaluates each quarter if facts and circumstances indicate that it is more likely than not that the fair value of reporting units is less than its carrying value, which would require the Company to perform an interim goodwill impairment test. Indicators the Company evaluates to determine whether an interim goodwill impairment test is necessary include, but are not limited to (i) a sustained decrease in share price or market capitalization,</w:t>
      </w:r>
    </w:p>
    <w:p>
      <w:pPr>
        <w:spacing w:after="0" w:line="4" w:lineRule="exact"/>
        <w:rPr>
          <w:sz w:val="20"/>
          <w:szCs w:val="20"/>
          <w:color w:val="auto"/>
        </w:rPr>
      </w:pPr>
    </w:p>
    <w:p>
      <w:pPr>
        <w:jc w:val="both"/>
        <w:ind w:left="1" w:hanging="1"/>
        <w:spacing w:after="0" w:line="261" w:lineRule="auto"/>
        <w:tabs>
          <w:tab w:leader="none" w:pos="282"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the macroeconomic or industry environments, (iii) the results of and the amount of time passed since the last goodwill impairment test and (iv) the long-term expected financial performance of its reporting units. During the first quarter of fiscal 2018, the Company concluded that an interim goodwill impairment test was not required.</w:t>
      </w:r>
    </w:p>
    <w:p>
      <w:pPr>
        <w:spacing w:after="0" w:line="177" w:lineRule="exact"/>
        <w:rPr>
          <w:sz w:val="20"/>
          <w:szCs w:val="20"/>
          <w:color w:val="auto"/>
        </w:rPr>
      </w:pPr>
    </w:p>
    <w:p>
      <w:pPr>
        <w:ind w:left="421"/>
        <w:spacing w:after="0"/>
        <w:rPr>
          <w:sz w:val="20"/>
          <w:szCs w:val="20"/>
          <w:color w:val="auto"/>
        </w:rPr>
      </w:pPr>
      <w:r>
        <w:rPr>
          <w:rFonts w:ascii="Arial" w:cs="Arial" w:eastAsia="Arial" w:hAnsi="Arial"/>
          <w:sz w:val="17"/>
          <w:szCs w:val="17"/>
          <w:i w:val="1"/>
          <w:iCs w:val="1"/>
          <w:color w:val="auto"/>
        </w:rPr>
        <w:t>Intangible Assets</w:t>
      </w:r>
    </w:p>
    <w:p>
      <w:pPr>
        <w:spacing w:after="0" w:line="218" w:lineRule="exact"/>
        <w:rPr>
          <w:sz w:val="20"/>
          <w:szCs w:val="20"/>
          <w:color w:val="auto"/>
        </w:rPr>
      </w:pPr>
    </w:p>
    <w:p>
      <w:pPr>
        <w:ind w:left="401"/>
        <w:spacing w:after="0"/>
        <w:rPr>
          <w:sz w:val="20"/>
          <w:szCs w:val="20"/>
          <w:color w:val="auto"/>
        </w:rPr>
      </w:pPr>
      <w:r>
        <w:rPr>
          <w:rFonts w:ascii="Arial" w:cs="Arial" w:eastAsia="Arial" w:hAnsi="Arial"/>
          <w:sz w:val="15"/>
          <w:szCs w:val="15"/>
          <w:color w:val="auto"/>
        </w:rPr>
        <w:t>The following table presents the Company’s acquired intangible assets at September 30, 2017, and July 1, 2017, respectively.</w:t>
      </w:r>
    </w:p>
    <w:p>
      <w:pPr>
        <w:spacing w:after="0" w:line="261" w:lineRule="exact"/>
        <w:rPr>
          <w:sz w:val="20"/>
          <w:szCs w:val="20"/>
          <w:color w:val="auto"/>
        </w:rPr>
      </w:pPr>
    </w:p>
    <w:tbl>
      <w:tblPr>
        <w:tblLayout w:type="fixed"/>
        <w:tblInd w:w="1" w:type="dxa"/>
        <w:tblCellMar>
          <w:top w:w="0" w:type="dxa"/>
          <w:left w:w="0" w:type="dxa"/>
          <w:bottom w:w="0" w:type="dxa"/>
          <w:right w:w="0" w:type="dxa"/>
        </w:tblCellMar>
      </w:tblPr>
      <w:tr>
        <w:trPr>
          <w:trHeight w:val="231"/>
        </w:trPr>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0"/>
              </w:rPr>
              <w:t>September 30, 2017</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w w:val="90"/>
              </w:rPr>
              <w:t>July 1, 2017</w:t>
            </w: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89"/>
        </w:trPr>
        <w:tc>
          <w:tcPr>
            <w:tcW w:w="2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gridSpan w:val="2"/>
          </w:tcPr>
          <w:p>
            <w:pPr>
              <w:jc w:val="right"/>
              <w:spacing w:after="0" w:line="189" w:lineRule="exact"/>
              <w:rPr>
                <w:sz w:val="20"/>
                <w:szCs w:val="20"/>
                <w:color w:val="auto"/>
              </w:rPr>
            </w:pPr>
            <w:r>
              <w:rPr>
                <w:rFonts w:ascii="Arial" w:cs="Arial" w:eastAsia="Arial" w:hAnsi="Arial"/>
                <w:sz w:val="17"/>
                <w:szCs w:val="17"/>
                <w:b w:val="1"/>
                <w:bCs w:val="1"/>
                <w:color w:val="auto"/>
              </w:rPr>
              <w:t>Acquired</w:t>
            </w:r>
          </w:p>
        </w:tc>
        <w:tc>
          <w:tcPr>
            <w:tcW w:w="180" w:type="dxa"/>
            <w:vAlign w:val="bottom"/>
          </w:tcPr>
          <w:p>
            <w:pPr>
              <w:spacing w:after="0"/>
              <w:rPr>
                <w:sz w:val="16"/>
                <w:szCs w:val="16"/>
                <w:color w:val="auto"/>
              </w:rPr>
            </w:pPr>
          </w:p>
        </w:tc>
        <w:tc>
          <w:tcPr>
            <w:tcW w:w="1260" w:type="dxa"/>
            <w:vAlign w:val="bottom"/>
            <w:gridSpan w:val="3"/>
          </w:tcPr>
          <w:p>
            <w:pPr>
              <w:jc w:val="center"/>
              <w:ind w:right="160"/>
              <w:spacing w:after="0" w:line="189" w:lineRule="exact"/>
              <w:rPr>
                <w:sz w:val="20"/>
                <w:szCs w:val="20"/>
                <w:color w:val="auto"/>
              </w:rPr>
            </w:pPr>
            <w:r>
              <w:rPr>
                <w:rFonts w:ascii="Arial" w:cs="Arial" w:eastAsia="Arial" w:hAnsi="Arial"/>
                <w:sz w:val="17"/>
                <w:szCs w:val="17"/>
                <w:b w:val="1"/>
                <w:bCs w:val="1"/>
                <w:color w:val="auto"/>
                <w:w w:val="91"/>
              </w:rPr>
              <w:t>Accumulated</w:t>
            </w:r>
          </w:p>
        </w:tc>
        <w:tc>
          <w:tcPr>
            <w:tcW w:w="20" w:type="dxa"/>
            <w:vAlign w:val="bottom"/>
          </w:tcPr>
          <w:p>
            <w:pPr>
              <w:spacing w:after="0"/>
              <w:rPr>
                <w:sz w:val="16"/>
                <w:szCs w:val="16"/>
                <w:color w:val="auto"/>
              </w:rPr>
            </w:pPr>
          </w:p>
        </w:tc>
        <w:tc>
          <w:tcPr>
            <w:tcW w:w="800" w:type="dxa"/>
            <w:vAlign w:val="bottom"/>
            <w:gridSpan w:val="2"/>
          </w:tcPr>
          <w:p>
            <w:pPr>
              <w:jc w:val="right"/>
              <w:spacing w:after="0" w:line="189" w:lineRule="exact"/>
              <w:rPr>
                <w:sz w:val="20"/>
                <w:szCs w:val="20"/>
                <w:color w:val="auto"/>
              </w:rPr>
            </w:pPr>
            <w:r>
              <w:rPr>
                <w:rFonts w:ascii="Arial" w:cs="Arial" w:eastAsia="Arial" w:hAnsi="Arial"/>
                <w:sz w:val="17"/>
                <w:szCs w:val="17"/>
                <w:b w:val="1"/>
                <w:bCs w:val="1"/>
                <w:color w:val="auto"/>
                <w:w w:val="96"/>
              </w:rPr>
              <w:t>Net Book</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w w:val="89"/>
              </w:rPr>
              <w:t>Acquired</w:t>
            </w:r>
          </w:p>
        </w:tc>
        <w:tc>
          <w:tcPr>
            <w:tcW w:w="180" w:type="dxa"/>
            <w:vAlign w:val="bottom"/>
          </w:tcPr>
          <w:p>
            <w:pPr>
              <w:spacing w:after="0"/>
              <w:rPr>
                <w:sz w:val="16"/>
                <w:szCs w:val="16"/>
                <w:color w:val="auto"/>
              </w:rPr>
            </w:pPr>
          </w:p>
        </w:tc>
        <w:tc>
          <w:tcPr>
            <w:tcW w:w="114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91"/>
              </w:rPr>
              <w:t>Accumulated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3"/>
              </w:rPr>
              <w:t>Net Book</w:t>
            </w:r>
          </w:p>
        </w:tc>
        <w:tc>
          <w:tcPr>
            <w:tcW w:w="40" w:type="dxa"/>
            <w:vAlign w:val="bottom"/>
          </w:tcPr>
          <w:p>
            <w:pPr>
              <w:spacing w:after="0"/>
              <w:rPr>
                <w:sz w:val="16"/>
                <w:szCs w:val="16"/>
                <w:color w:val="auto"/>
              </w:rPr>
            </w:pPr>
          </w:p>
        </w:tc>
      </w:tr>
      <w:tr>
        <w:trPr>
          <w:trHeight w:val="231"/>
        </w:trPr>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34"/>
              <w:spacing w:after="0"/>
              <w:rPr>
                <w:sz w:val="20"/>
                <w:szCs w:val="20"/>
                <w:color w:val="auto"/>
              </w:rPr>
            </w:pPr>
            <w:r>
              <w:rPr>
                <w:rFonts w:ascii="Arial" w:cs="Arial" w:eastAsia="Arial" w:hAnsi="Arial"/>
                <w:sz w:val="17"/>
                <w:szCs w:val="17"/>
                <w:b w:val="1"/>
                <w:bCs w:val="1"/>
                <w:color w:val="auto"/>
                <w:w w:val="93"/>
              </w:rPr>
              <w:t>Amount</w:t>
            </w:r>
          </w:p>
        </w:tc>
        <w:tc>
          <w:tcPr>
            <w:tcW w:w="180" w:type="dxa"/>
            <w:vAlign w:val="bottom"/>
          </w:tcPr>
          <w:p>
            <w:pPr>
              <w:spacing w:after="0"/>
              <w:rPr>
                <w:sz w:val="20"/>
                <w:szCs w:val="20"/>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w w:val="94"/>
              </w:rPr>
              <w:t>Amortization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94"/>
              <w:spacing w:after="0"/>
              <w:rPr>
                <w:sz w:val="20"/>
                <w:szCs w:val="20"/>
                <w:color w:val="auto"/>
              </w:rPr>
            </w:pPr>
            <w:r>
              <w:rPr>
                <w:rFonts w:ascii="Arial" w:cs="Arial" w:eastAsia="Arial" w:hAnsi="Arial"/>
                <w:sz w:val="17"/>
                <w:szCs w:val="17"/>
                <w:b w:val="1"/>
                <w:bCs w:val="1"/>
                <w:color w:val="auto"/>
              </w:rPr>
              <w:t>Value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Arial" w:cs="Arial" w:eastAsia="Arial" w:hAnsi="Arial"/>
                <w:sz w:val="17"/>
                <w:szCs w:val="17"/>
                <w:b w:val="1"/>
                <w:bCs w:val="1"/>
                <w:color w:val="auto"/>
                <w:w w:val="96"/>
              </w:rPr>
              <w:t>Amount</w:t>
            </w:r>
          </w:p>
        </w:tc>
        <w:tc>
          <w:tcPr>
            <w:tcW w:w="18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4"/>
              </w:rPr>
              <w:t>Amortization</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2"/>
              </w:rPr>
              <w:t>Value</w:t>
            </w:r>
          </w:p>
        </w:tc>
      </w:tr>
      <w:tr>
        <w:trPr>
          <w:trHeight w:val="207"/>
        </w:trPr>
        <w:tc>
          <w:tcPr>
            <w:tcW w:w="2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4"/>
          </w:tcPr>
          <w:p>
            <w:pPr>
              <w:jc w:val="right"/>
              <w:ind w:right="354"/>
              <w:spacing w:after="0"/>
              <w:rPr>
                <w:sz w:val="20"/>
                <w:szCs w:val="20"/>
                <w:color w:val="auto"/>
              </w:rPr>
            </w:pPr>
            <w:r>
              <w:rPr>
                <w:rFonts w:ascii="Arial" w:cs="Arial" w:eastAsia="Arial" w:hAnsi="Arial"/>
                <w:sz w:val="17"/>
                <w:szCs w:val="17"/>
                <w:b w:val="1"/>
                <w:bCs w:val="1"/>
                <w:color w:val="auto"/>
              </w:rPr>
              <w:t>(Thousands)</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7"/>
        </w:trPr>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Customer related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307,712</w:t>
            </w:r>
          </w:p>
        </w:tc>
        <w:tc>
          <w:tcPr>
            <w:tcW w:w="440" w:type="dxa"/>
            <w:vAlign w:val="bottom"/>
            <w:gridSpan w:val="2"/>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(101,512)</w:t>
            </w:r>
          </w:p>
        </w:tc>
        <w:tc>
          <w:tcPr>
            <w:tcW w:w="1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206,200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277,865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198,287</w:t>
            </w:r>
          </w:p>
        </w:tc>
        <w:tc>
          <w:tcPr>
            <w:tcW w:w="40" w:type="dxa"/>
            <w:vAlign w:val="bottom"/>
            <w:shd w:val="clear" w:color="auto" w:fill="CCEEFF"/>
          </w:tcPr>
          <w:p>
            <w:pPr>
              <w:spacing w:after="0"/>
              <w:rPr>
                <w:sz w:val="17"/>
                <w:szCs w:val="17"/>
                <w:color w:val="auto"/>
              </w:rPr>
            </w:pPr>
          </w:p>
        </w:tc>
      </w:tr>
      <w:tr>
        <w:trPr>
          <w:trHeight w:val="207"/>
        </w:trPr>
        <w:tc>
          <w:tcPr>
            <w:tcW w:w="2020" w:type="dxa"/>
            <w:vAlign w:val="bottom"/>
          </w:tcPr>
          <w:p>
            <w:pPr>
              <w:spacing w:after="0"/>
              <w:rPr>
                <w:sz w:val="20"/>
                <w:szCs w:val="20"/>
                <w:color w:val="auto"/>
              </w:rPr>
            </w:pPr>
            <w:r>
              <w:rPr>
                <w:rFonts w:ascii="Arial" w:cs="Arial" w:eastAsia="Arial" w:hAnsi="Arial"/>
                <w:sz w:val="17"/>
                <w:szCs w:val="17"/>
                <w:color w:val="auto"/>
              </w:rPr>
              <w:t>Trade name</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55,947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(10,122)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45,825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46,915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(6,720)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40,195</w:t>
            </w:r>
          </w:p>
        </w:tc>
        <w:tc>
          <w:tcPr>
            <w:tcW w:w="40" w:type="dxa"/>
            <w:vAlign w:val="bottom"/>
          </w:tcPr>
          <w:p>
            <w:pPr>
              <w:spacing w:after="0"/>
              <w:rPr>
                <w:sz w:val="17"/>
                <w:szCs w:val="17"/>
                <w:color w:val="auto"/>
              </w:rPr>
            </w:pPr>
          </w:p>
        </w:tc>
      </w:tr>
      <w:tr>
        <w:trPr>
          <w:trHeight w:val="227"/>
        </w:trPr>
        <w:tc>
          <w:tcPr>
            <w:tcW w:w="2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Technology and other</w:t>
            </w: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53,580</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(14,643)</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38,937</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50,369</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(11,560)</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38,809</w:t>
            </w:r>
          </w:p>
        </w:tc>
        <w:tc>
          <w:tcPr>
            <w:tcW w:w="40" w:type="dxa"/>
            <w:vAlign w:val="bottom"/>
            <w:tcBorders>
              <w:bottom w:val="single" w:sz="8" w:color="CCEEFF"/>
            </w:tcBorders>
            <w:shd w:val="clear" w:color="auto" w:fill="CCEEFF"/>
          </w:tcPr>
          <w:p>
            <w:pPr>
              <w:spacing w:after="0"/>
              <w:rPr>
                <w:sz w:val="19"/>
                <w:szCs w:val="19"/>
                <w:color w:val="auto"/>
              </w:rPr>
            </w:pPr>
          </w:p>
        </w:tc>
      </w:tr>
      <w:tr>
        <w:trPr>
          <w:trHeight w:val="199"/>
        </w:trPr>
        <w:tc>
          <w:tcPr>
            <w:tcW w:w="2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417,239</w:t>
            </w:r>
          </w:p>
        </w:tc>
        <w:tc>
          <w:tcPr>
            <w:tcW w:w="180" w:type="dxa"/>
            <w:vAlign w:val="bottom"/>
          </w:tcPr>
          <w:p>
            <w:pPr>
              <w:spacing w:after="0"/>
              <w:rPr>
                <w:sz w:val="17"/>
                <w:szCs w:val="17"/>
                <w:color w:val="auto"/>
              </w:rPr>
            </w:pP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(126,277)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w w:val="97"/>
              </w:rPr>
              <w:t>290,962</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375,149</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(97,858)</w:t>
            </w:r>
          </w:p>
        </w:tc>
        <w:tc>
          <w:tcPr>
            <w:tcW w:w="1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277,291</w:t>
            </w:r>
          </w:p>
        </w:tc>
        <w:tc>
          <w:tcPr>
            <w:tcW w:w="40" w:type="dxa"/>
            <w:vAlign w:val="bottom"/>
          </w:tcPr>
          <w:p>
            <w:pPr>
              <w:spacing w:after="0"/>
              <w:rPr>
                <w:sz w:val="17"/>
                <w:szCs w:val="17"/>
                <w:color w:val="auto"/>
              </w:rPr>
            </w:pPr>
          </w:p>
        </w:tc>
      </w:tr>
      <w:tr>
        <w:trPr>
          <w:trHeight w:val="828"/>
        </w:trPr>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2"/>
        </w:trPr>
        <w:tc>
          <w:tcPr>
            <w:tcW w:w="20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bl>
    <w:p>
      <w:pPr>
        <w:sectPr>
          <w:pgSz w:w="11900" w:h="16838" w:orient="portrait"/>
          <w:cols w:equalWidth="0" w:num="1">
            <w:col w:w="9061"/>
          </w:cols>
          <w:pgMar w:left="1419" w:top="127" w:right="1419" w:bottom="1440" w:gutter="0" w:footer="0" w:header="0"/>
        </w:sectPr>
      </w:pPr>
    </w:p>
    <w:bookmarkStart w:id="10" w:name="page11"/>
    <w:bookmarkEnd w:id="1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AVNET,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6" w:lineRule="exact"/>
        <w:rPr>
          <w:sz w:val="20"/>
          <w:szCs w:val="20"/>
          <w:color w:val="auto"/>
        </w:rPr>
      </w:pPr>
    </w:p>
    <w:p>
      <w:pPr>
        <w:jc w:val="both"/>
        <w:ind w:firstLine="410"/>
        <w:spacing w:after="0" w:line="263" w:lineRule="auto"/>
        <w:rPr>
          <w:sz w:val="20"/>
          <w:szCs w:val="20"/>
          <w:color w:val="auto"/>
        </w:rPr>
      </w:pPr>
      <w:r>
        <w:rPr>
          <w:rFonts w:ascii="Arial" w:cs="Arial" w:eastAsia="Arial" w:hAnsi="Arial"/>
          <w:sz w:val="17"/>
          <w:szCs w:val="17"/>
          <w:color w:val="auto"/>
        </w:rPr>
        <w:t>Intangible asset amortization expense from continuing operations was $25.5 million and $1.9 million for the first quarters of fiscal 2018 and 2017, respectively. Intangible assets have a weighted average remaining useful life of approximately 4 years. The following table presents the estimated future amortization expense for the remainder of fiscal 2018, the next five fiscal years and thereafter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9"/>
              </w:rPr>
              <w:t>Fiscal Year</w:t>
            </w:r>
          </w:p>
        </w:tc>
        <w:tc>
          <w:tcPr>
            <w:tcW w:w="7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6"/>
        </w:trPr>
        <w:tc>
          <w:tcPr>
            <w:tcW w:w="7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Remainder of fiscal 2018</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65,198</w:t>
            </w:r>
          </w:p>
        </w:tc>
      </w:tr>
      <w:tr>
        <w:trPr>
          <w:trHeight w:val="207"/>
        </w:trPr>
        <w:tc>
          <w:tcPr>
            <w:tcW w:w="820" w:type="dxa"/>
            <w:vAlign w:val="bottom"/>
          </w:tcPr>
          <w:p>
            <w:pPr>
              <w:spacing w:after="0"/>
              <w:rPr>
                <w:sz w:val="20"/>
                <w:szCs w:val="20"/>
                <w:color w:val="auto"/>
              </w:rPr>
            </w:pPr>
            <w:r>
              <w:rPr>
                <w:rFonts w:ascii="Arial" w:cs="Arial" w:eastAsia="Arial" w:hAnsi="Arial"/>
                <w:sz w:val="17"/>
                <w:szCs w:val="17"/>
                <w:color w:val="auto"/>
              </w:rPr>
              <w:t>2019</w:t>
            </w:r>
          </w:p>
        </w:tc>
        <w:tc>
          <w:tcPr>
            <w:tcW w:w="7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85,462</w:t>
            </w:r>
          </w:p>
        </w:tc>
      </w:tr>
      <w:tr>
        <w:trPr>
          <w:trHeight w:val="207"/>
        </w:trPr>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7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83,476</w:t>
            </w:r>
          </w:p>
        </w:tc>
      </w:tr>
      <w:tr>
        <w:trPr>
          <w:trHeight w:val="207"/>
        </w:trPr>
        <w:tc>
          <w:tcPr>
            <w:tcW w:w="820" w:type="dxa"/>
            <w:vAlign w:val="bottom"/>
          </w:tcPr>
          <w:p>
            <w:pPr>
              <w:spacing w:after="0"/>
              <w:rPr>
                <w:sz w:val="20"/>
                <w:szCs w:val="20"/>
                <w:color w:val="auto"/>
              </w:rPr>
            </w:pPr>
            <w:r>
              <w:rPr>
                <w:rFonts w:ascii="Arial" w:cs="Arial" w:eastAsia="Arial" w:hAnsi="Arial"/>
                <w:sz w:val="17"/>
                <w:szCs w:val="17"/>
                <w:color w:val="auto"/>
              </w:rPr>
              <w:t>2021</w:t>
            </w:r>
          </w:p>
        </w:tc>
        <w:tc>
          <w:tcPr>
            <w:tcW w:w="7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40,219</w:t>
            </w:r>
          </w:p>
        </w:tc>
      </w:tr>
      <w:tr>
        <w:trPr>
          <w:trHeight w:val="207"/>
        </w:trPr>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7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12,677</w:t>
            </w:r>
          </w:p>
        </w:tc>
      </w:tr>
      <w:tr>
        <w:trPr>
          <w:trHeight w:val="207"/>
        </w:trPr>
        <w:tc>
          <w:tcPr>
            <w:tcW w:w="820" w:type="dxa"/>
            <w:vAlign w:val="bottom"/>
          </w:tcPr>
          <w:p>
            <w:pPr>
              <w:spacing w:after="0"/>
              <w:rPr>
                <w:sz w:val="20"/>
                <w:szCs w:val="20"/>
                <w:color w:val="auto"/>
              </w:rPr>
            </w:pPr>
            <w:r>
              <w:rPr>
                <w:rFonts w:ascii="Arial" w:cs="Arial" w:eastAsia="Arial" w:hAnsi="Arial"/>
                <w:sz w:val="17"/>
                <w:szCs w:val="17"/>
                <w:color w:val="auto"/>
              </w:rPr>
              <w:t>2023</w:t>
            </w:r>
          </w:p>
        </w:tc>
        <w:tc>
          <w:tcPr>
            <w:tcW w:w="7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3,693</w:t>
            </w:r>
          </w:p>
        </w:tc>
      </w:tr>
      <w:tr>
        <w:trPr>
          <w:trHeight w:val="227"/>
        </w:trPr>
        <w:tc>
          <w:tcPr>
            <w:tcW w:w="7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Thereafter</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w:t>
            </w:r>
          </w:p>
        </w:tc>
      </w:tr>
      <w:tr>
        <w:trPr>
          <w:trHeight w:val="199"/>
        </w:trPr>
        <w:tc>
          <w:tcPr>
            <w:tcW w:w="7980" w:type="dxa"/>
            <w:vAlign w:val="bottom"/>
            <w:gridSpan w:val="2"/>
          </w:tcPr>
          <w:p>
            <w:pPr>
              <w:ind w:left="100"/>
              <w:spacing w:after="0" w:line="193" w:lineRule="exact"/>
              <w:rPr>
                <w:sz w:val="20"/>
                <w:szCs w:val="20"/>
                <w:color w:val="auto"/>
              </w:rPr>
            </w:pPr>
            <w:r>
              <w:rPr>
                <w:rFonts w:ascii="Arial" w:cs="Arial" w:eastAsia="Arial" w:hAnsi="Arial"/>
                <w:sz w:val="17"/>
                <w:szCs w:val="17"/>
                <w:color w:val="auto"/>
              </w:rPr>
              <w:t>Total</w:t>
            </w: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290,962</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Debt</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Short-term debt consists of the following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400" w:type="dxa"/>
            <w:vAlign w:val="bottom"/>
          </w:tcPr>
          <w:p>
            <w:pPr>
              <w:spacing w:after="0"/>
              <w:rPr>
                <w:sz w:val="20"/>
                <w:szCs w:val="20"/>
                <w:color w:val="auto"/>
              </w:rPr>
            </w:pPr>
          </w:p>
        </w:tc>
        <w:tc>
          <w:tcPr>
            <w:tcW w:w="1640" w:type="dxa"/>
            <w:vAlign w:val="bottom"/>
            <w:gridSpan w:val="2"/>
          </w:tcPr>
          <w:p>
            <w:pPr>
              <w:jc w:val="right"/>
              <w:ind w:right="54"/>
              <w:spacing w:after="0"/>
              <w:rPr>
                <w:sz w:val="20"/>
                <w:szCs w:val="20"/>
                <w:color w:val="auto"/>
              </w:rPr>
            </w:pPr>
            <w:r>
              <w:rPr>
                <w:rFonts w:ascii="Arial" w:cs="Arial" w:eastAsia="Arial" w:hAnsi="Arial"/>
                <w:sz w:val="17"/>
                <w:szCs w:val="17"/>
                <w:b w:val="1"/>
                <w:bCs w:val="1"/>
                <w:color w:val="auto"/>
                <w:w w:val="93"/>
              </w:rPr>
              <w:t>September 30, 2017</w:t>
            </w:r>
          </w:p>
        </w:tc>
        <w:tc>
          <w:tcPr>
            <w:tcW w:w="10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2"/>
              </w:rPr>
              <w:t>July 1, 2017</w:t>
            </w:r>
          </w:p>
        </w:tc>
        <w:tc>
          <w:tcPr>
            <w:tcW w:w="18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7"/>
                <w:szCs w:val="17"/>
                <w:b w:val="1"/>
                <w:bCs w:val="1"/>
                <w:color w:val="auto"/>
                <w:w w:val="93"/>
              </w:rPr>
              <w:t>September 30, 2017</w:t>
            </w:r>
          </w:p>
        </w:tc>
        <w:tc>
          <w:tcPr>
            <w:tcW w:w="180" w:type="dxa"/>
            <w:vAlign w:val="bottom"/>
          </w:tcPr>
          <w:p>
            <w:pPr>
              <w:spacing w:after="0"/>
              <w:rPr>
                <w:sz w:val="20"/>
                <w:szCs w:val="20"/>
                <w:color w:val="auto"/>
              </w:rPr>
            </w:pPr>
          </w:p>
        </w:tc>
        <w:tc>
          <w:tcPr>
            <w:tcW w:w="1000" w:type="dxa"/>
            <w:vAlign w:val="bottom"/>
            <w:gridSpan w:val="3"/>
          </w:tcPr>
          <w:p>
            <w:pPr>
              <w:ind w:left="40"/>
              <w:spacing w:after="0"/>
              <w:rPr>
                <w:sz w:val="20"/>
                <w:szCs w:val="20"/>
                <w:color w:val="auto"/>
              </w:rPr>
            </w:pPr>
            <w:r>
              <w:rPr>
                <w:rFonts w:ascii="Arial" w:cs="Arial" w:eastAsia="Arial" w:hAnsi="Arial"/>
                <w:sz w:val="17"/>
                <w:szCs w:val="17"/>
                <w:b w:val="1"/>
                <w:bCs w:val="1"/>
                <w:color w:val="auto"/>
                <w:w w:val="98"/>
              </w:rPr>
              <w:t>July 1, 2017</w:t>
            </w:r>
          </w:p>
        </w:tc>
      </w:tr>
      <w:tr>
        <w:trPr>
          <w:trHeight w:val="213"/>
        </w:trPr>
        <w:tc>
          <w:tcPr>
            <w:tcW w:w="340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2"/>
          </w:tcPr>
          <w:p>
            <w:pPr>
              <w:jc w:val="right"/>
              <w:ind w:right="214"/>
              <w:spacing w:after="0"/>
              <w:rPr>
                <w:sz w:val="20"/>
                <w:szCs w:val="20"/>
                <w:color w:val="auto"/>
              </w:rPr>
            </w:pPr>
            <w:r>
              <w:rPr>
                <w:rFonts w:ascii="Arial" w:cs="Arial" w:eastAsia="Arial" w:hAnsi="Arial"/>
                <w:sz w:val="17"/>
                <w:szCs w:val="17"/>
                <w:b w:val="1"/>
                <w:bCs w:val="1"/>
                <w:color w:val="auto"/>
              </w:rPr>
              <w:t>Interest Rate</w:t>
            </w:r>
          </w:p>
        </w:tc>
        <w:tc>
          <w:tcPr>
            <w:tcW w:w="58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Carrying Balance</w:t>
            </w:r>
          </w:p>
        </w:tc>
        <w:tc>
          <w:tcPr>
            <w:tcW w:w="62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07"/>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Bank credit facilities and other</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6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58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25,498</w:t>
            </w:r>
          </w:p>
        </w:tc>
        <w:tc>
          <w:tcPr>
            <w:tcW w:w="500" w:type="dxa"/>
            <w:vAlign w:val="bottom"/>
            <w:gridSpan w:val="2"/>
            <w:shd w:val="clear" w:color="auto" w:fill="CCEEFF"/>
          </w:tcPr>
          <w:p>
            <w:pPr>
              <w:jc w:val="right"/>
              <w:ind w:right="159"/>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50,113</w:t>
            </w:r>
          </w:p>
        </w:tc>
        <w:tc>
          <w:tcPr>
            <w:tcW w:w="60" w:type="dxa"/>
            <w:vAlign w:val="bottom"/>
            <w:shd w:val="clear" w:color="auto" w:fill="CCEEFF"/>
          </w:tcPr>
          <w:p>
            <w:pPr>
              <w:spacing w:after="0"/>
              <w:rPr>
                <w:sz w:val="17"/>
                <w:szCs w:val="17"/>
                <w:color w:val="auto"/>
              </w:rPr>
            </w:pPr>
          </w:p>
        </w:tc>
      </w:tr>
      <w:tr>
        <w:trPr>
          <w:trHeight w:val="213"/>
        </w:trPr>
        <w:tc>
          <w:tcPr>
            <w:tcW w:w="3400" w:type="dxa"/>
            <w:vAlign w:val="bottom"/>
          </w:tcPr>
          <w:p>
            <w:pPr>
              <w:ind w:left="120"/>
              <w:spacing w:after="0"/>
              <w:rPr>
                <w:sz w:val="20"/>
                <w:szCs w:val="20"/>
                <w:color w:val="auto"/>
              </w:rPr>
            </w:pPr>
            <w:r>
              <w:rPr>
                <w:rFonts w:ascii="Arial" w:cs="Arial" w:eastAsia="Arial" w:hAnsi="Arial"/>
                <w:sz w:val="17"/>
                <w:szCs w:val="17"/>
                <w:color w:val="auto"/>
              </w:rPr>
              <w:t>Accounts receivable securitization program</w:t>
            </w:r>
          </w:p>
        </w:tc>
        <w:tc>
          <w:tcPr>
            <w:tcW w:w="580" w:type="dxa"/>
            <w:vAlign w:val="bottom"/>
          </w:tcPr>
          <w:p>
            <w:pPr>
              <w:jc w:val="right"/>
              <w:spacing w:after="0"/>
              <w:rPr>
                <w:sz w:val="20"/>
                <w:szCs w:val="20"/>
                <w:color w:val="auto"/>
              </w:rPr>
            </w:pPr>
            <w:r>
              <w:rPr>
                <w:rFonts w:ascii="Arial" w:cs="Arial" w:eastAsia="Arial" w:hAnsi="Arial"/>
                <w:sz w:val="17"/>
                <w:szCs w:val="17"/>
                <w:color w:val="auto"/>
              </w:rPr>
              <w:t>1.70</w:t>
            </w:r>
          </w:p>
        </w:tc>
        <w:tc>
          <w:tcPr>
            <w:tcW w:w="1060" w:type="dxa"/>
            <w:vAlign w:val="bottom"/>
          </w:tcPr>
          <w:p>
            <w:pPr>
              <w:jc w:val="right"/>
              <w:ind w:right="794"/>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170,000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3"/>
        </w:trPr>
        <w:tc>
          <w:tcPr>
            <w:tcW w:w="34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Short-term debt</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195,498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50,113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5" w:lineRule="exact"/>
        <w:rPr>
          <w:sz w:val="20"/>
          <w:szCs w:val="20"/>
          <w:color w:val="auto"/>
        </w:rPr>
      </w:pPr>
    </w:p>
    <w:p>
      <w:pPr>
        <w:jc w:val="both"/>
        <w:ind w:firstLine="414"/>
        <w:spacing w:after="0" w:line="268" w:lineRule="auto"/>
        <w:rPr>
          <w:sz w:val="20"/>
          <w:szCs w:val="20"/>
          <w:color w:val="auto"/>
        </w:rPr>
      </w:pPr>
      <w:r>
        <w:rPr>
          <w:rFonts w:ascii="Arial" w:cs="Arial" w:eastAsia="Arial" w:hAnsi="Arial"/>
          <w:sz w:val="17"/>
          <w:szCs w:val="17"/>
          <w:color w:val="auto"/>
        </w:rPr>
        <w:t>Bank credit facilities and other consists primarily of various committed and uncommitted lines of credit and other forms of bank debt with financial institutions utilized primarily to support the working capital requirements of the Company including its foreign operations.</w:t>
      </w:r>
    </w:p>
    <w:p>
      <w:pPr>
        <w:spacing w:after="0" w:line="173" w:lineRule="exact"/>
        <w:rPr>
          <w:sz w:val="20"/>
          <w:szCs w:val="20"/>
          <w:color w:val="auto"/>
        </w:rPr>
      </w:pPr>
    </w:p>
    <w:p>
      <w:pPr>
        <w:jc w:val="both"/>
        <w:ind w:firstLine="414"/>
        <w:spacing w:after="0" w:line="274" w:lineRule="auto"/>
        <w:rPr>
          <w:sz w:val="20"/>
          <w:szCs w:val="20"/>
          <w:color w:val="auto"/>
        </w:rPr>
      </w:pPr>
      <w:r>
        <w:rPr>
          <w:rFonts w:ascii="Arial" w:cs="Arial" w:eastAsia="Arial" w:hAnsi="Arial"/>
          <w:sz w:val="16"/>
          <w:szCs w:val="16"/>
          <w:color w:val="auto"/>
        </w:rPr>
        <w:t>The Company has an accounts receivable securitization program (the “Program”) in the United States with a group of financial institutions to allow the Company to transfer, on an ongoing revolving basis, an undivided interest in a designated pool of trade accounts receivable, to provide security or collateral for borrowings up to a maximum of $400.0 million. The Program does not qualify for off balance sheet accounting treatment and any borrowings under the Program are recorded as debt in the consolidated balance sheets. Under the Program, the Company legally sells and isolates certain U.S. trade accounts receivable into a wholly owned and consolidated bankruptcy remote special purpose entity. Such receivables, which are recorded within “Receivables” in the consolidated balance sheets, totaled $734.2 million and $807.5 million at September 30, 2017, and July 1, 2017, respectively. The Program contains certain covenants relating to the quality of the receivables sold. The Program also requires the Company to maintain certain minimum interest coverage and leverage ratios, which the Company was in compliance with as of September 30, 2017, and July 1, 2017. The Program expires in August 2018 and as a result the Company has classified outstanding balances as short-term debt as of September 30, 2017. Interest on borrowings is calculated using a base rate or a commercial paper rate plus a spread of 0.40% with a facility fee of 0.40%.</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5757545" cy="24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1" w:name="page12"/>
    <w:bookmarkEnd w:id="1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AVNET, INC.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Long-term debt consists of the following (in thousands):</w:t>
      </w:r>
    </w:p>
    <w:p>
      <w:pPr>
        <w:sectPr>
          <w:pgSz w:w="11900" w:h="16838" w:orient="portrait"/>
          <w:cols w:equalWidth="0" w:num="1">
            <w:col w:w="9060"/>
          </w:cols>
          <w:pgMar w:left="1420" w:top="127" w:right="1419" w:bottom="1440" w:gutter="0" w:footer="0" w:header="0"/>
        </w:sectPr>
      </w:pPr>
    </w:p>
    <w:p>
      <w:pPr>
        <w:spacing w:after="0" w:line="225" w:lineRule="exact"/>
        <w:rPr>
          <w:sz w:val="20"/>
          <w:szCs w:val="20"/>
          <w:color w:val="auto"/>
        </w:rPr>
      </w:pPr>
    </w:p>
    <w:p>
      <w:pPr>
        <w:ind w:left="3160"/>
        <w:spacing w:after="0"/>
        <w:tabs>
          <w:tab w:leader="none" w:pos="5000" w:val="left"/>
        </w:tabs>
        <w:rPr>
          <w:sz w:val="20"/>
          <w:szCs w:val="20"/>
          <w:color w:val="auto"/>
        </w:rPr>
      </w:pPr>
      <w:r>
        <w:rPr>
          <w:rFonts w:ascii="Arial" w:cs="Arial" w:eastAsia="Arial" w:hAnsi="Arial"/>
          <w:sz w:val="17"/>
          <w:szCs w:val="17"/>
          <w:b w:val="1"/>
          <w:bCs w:val="1"/>
          <w:color w:val="auto"/>
        </w:rPr>
        <w:t>September 30, 2017</w:t>
      </w:r>
      <w:r>
        <w:rPr>
          <w:sz w:val="20"/>
          <w:szCs w:val="20"/>
          <w:color w:val="auto"/>
        </w:rPr>
        <w:tab/>
      </w:r>
      <w:r>
        <w:rPr>
          <w:rFonts w:ascii="Arial" w:cs="Arial" w:eastAsia="Arial" w:hAnsi="Arial"/>
          <w:sz w:val="15"/>
          <w:szCs w:val="15"/>
          <w:b w:val="1"/>
          <w:bCs w:val="1"/>
          <w:color w:val="auto"/>
        </w:rPr>
        <w:t>July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1971675</wp:posOffset>
            </wp:positionH>
            <wp:positionV relativeFrom="paragraph">
              <wp:posOffset>10795</wp:posOffset>
            </wp:positionV>
            <wp:extent cx="188912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9125" cy="16510"/>
                    </a:xfrm>
                    <a:prstGeom prst="rect">
                      <a:avLst/>
                    </a:prstGeom>
                    <a:noFill/>
                  </pic:spPr>
                </pic:pic>
              </a:graphicData>
            </a:graphic>
          </wp:anchor>
        </w:drawing>
      </w:r>
    </w:p>
    <w:p>
      <w:pPr>
        <w:spacing w:after="0" w:line="8"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auto"/>
        </w:rPr>
        <w:t>Interest Rate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20"/>
        <w:spacing w:after="0" w:line="269" w:lineRule="auto"/>
        <w:rPr>
          <w:sz w:val="20"/>
          <w:szCs w:val="20"/>
          <w:color w:val="auto"/>
        </w:rPr>
      </w:pPr>
      <w:r>
        <w:rPr>
          <w:rFonts w:ascii="Arial" w:cs="Arial" w:eastAsia="Arial" w:hAnsi="Arial"/>
          <w:sz w:val="17"/>
          <w:szCs w:val="17"/>
          <w:b w:val="1"/>
          <w:bCs w:val="1"/>
          <w:u w:val="single" w:color="auto"/>
          <w:color w:val="auto"/>
        </w:rPr>
        <w:t xml:space="preserve">September 30, 2017   July 1, 2017 </w:t>
      </w:r>
      <w:r>
        <w:rPr>
          <w:rFonts w:ascii="Arial" w:cs="Arial" w:eastAsia="Arial" w:hAnsi="Arial"/>
          <w:sz w:val="17"/>
          <w:szCs w:val="17"/>
          <w:b w:val="1"/>
          <w:bCs w:val="1"/>
          <w:color w:val="auto"/>
        </w:rPr>
        <w:t>Carrying Balance</w:t>
      </w:r>
    </w:p>
    <w:p>
      <w:pPr>
        <w:spacing w:after="0" w:line="1" w:lineRule="exact"/>
        <w:rPr>
          <w:sz w:val="20"/>
          <w:szCs w:val="20"/>
          <w:color w:val="auto"/>
        </w:rPr>
      </w:pPr>
    </w:p>
    <w:p>
      <w:pPr>
        <w:sectPr>
          <w:pgSz w:w="11900" w:h="16838" w:orient="portrait"/>
          <w:cols w:equalWidth="0" w:num="2">
            <w:col w:w="5900" w:space="420"/>
            <w:col w:w="2740"/>
          </w:cols>
          <w:pgMar w:left="1420" w:top="127" w:right="141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310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7"/>
                <w:szCs w:val="17"/>
                <w:color w:val="auto"/>
              </w:rPr>
              <w:t>Revolving credit facilities:</w:t>
            </w:r>
          </w:p>
        </w:tc>
        <w:tc>
          <w:tcPr>
            <w:tcW w:w="130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00" w:type="dxa"/>
            <w:vAlign w:val="bottom"/>
          </w:tcPr>
          <w:p>
            <w:pPr>
              <w:ind w:left="100"/>
              <w:spacing w:after="0" w:line="156" w:lineRule="exact"/>
              <w:rPr>
                <w:sz w:val="20"/>
                <w:szCs w:val="20"/>
                <w:color w:val="auto"/>
              </w:rPr>
            </w:pPr>
            <w:r>
              <w:rPr>
                <w:rFonts w:ascii="Arial" w:cs="Arial" w:eastAsia="Arial" w:hAnsi="Arial"/>
                <w:sz w:val="17"/>
                <w:szCs w:val="17"/>
                <w:color w:val="auto"/>
              </w:rPr>
              <w:t>Accounts receivable securitization</w:t>
            </w:r>
          </w:p>
        </w:tc>
        <w:tc>
          <w:tcPr>
            <w:tcW w:w="1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100"/>
              <w:spacing w:after="0"/>
              <w:rPr>
                <w:sz w:val="20"/>
                <w:szCs w:val="20"/>
                <w:color w:val="auto"/>
              </w:rPr>
            </w:pPr>
            <w:r>
              <w:rPr>
                <w:rFonts w:ascii="Arial" w:cs="Arial" w:eastAsia="Arial" w:hAnsi="Arial"/>
                <w:sz w:val="17"/>
                <w:szCs w:val="17"/>
                <w:color w:val="auto"/>
              </w:rPr>
              <w:t>program</w:t>
            </w:r>
          </w:p>
        </w:tc>
        <w:tc>
          <w:tcPr>
            <w:tcW w:w="1300" w:type="dxa"/>
            <w:vAlign w:val="bottom"/>
          </w:tcPr>
          <w:p>
            <w:pPr>
              <w:jc w:val="right"/>
              <w:ind w:right="654"/>
              <w:spacing w:after="0"/>
              <w:rPr>
                <w:sz w:val="20"/>
                <w:szCs w:val="20"/>
                <w:color w:val="auto"/>
              </w:rPr>
            </w:pPr>
            <w:r>
              <w:rPr>
                <w:rFonts w:ascii="Arial" w:cs="Arial" w:eastAsia="Arial" w:hAnsi="Arial"/>
                <w:sz w:val="17"/>
                <w:szCs w:val="17"/>
                <w:color w:val="auto"/>
              </w:rPr>
              <w:t>—</w:t>
            </w:r>
          </w:p>
        </w:tc>
        <w:tc>
          <w:tcPr>
            <w:tcW w:w="1680" w:type="dxa"/>
            <w:vAlign w:val="bottom"/>
          </w:tcPr>
          <w:p>
            <w:pPr>
              <w:jc w:val="right"/>
              <w:ind w:right="574"/>
              <w:spacing w:after="0"/>
              <w:rPr>
                <w:sz w:val="20"/>
                <w:szCs w:val="20"/>
                <w:color w:val="auto"/>
              </w:rPr>
            </w:pPr>
            <w:r>
              <w:rPr>
                <w:rFonts w:ascii="Arial" w:cs="Arial" w:eastAsia="Arial" w:hAnsi="Arial"/>
                <w:sz w:val="17"/>
                <w:szCs w:val="17"/>
                <w:color w:val="auto"/>
              </w:rPr>
              <w:t>1.53 %</w:t>
            </w:r>
          </w:p>
        </w:tc>
        <w:tc>
          <w:tcPr>
            <w:tcW w:w="620" w:type="dxa"/>
            <w:vAlign w:val="bottom"/>
            <w:gridSpan w:val="2"/>
          </w:tcPr>
          <w:p>
            <w:pPr>
              <w:jc w:val="right"/>
              <w:ind w:right="285"/>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ind w:right="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142,000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100" w:type="dxa"/>
            <w:vAlign w:val="bottom"/>
            <w:shd w:val="clear" w:color="auto" w:fill="CCEEFF"/>
          </w:tcPr>
          <w:p>
            <w:pPr>
              <w:ind w:left="100"/>
              <w:spacing w:after="0" w:line="181" w:lineRule="exact"/>
              <w:rPr>
                <w:sz w:val="20"/>
                <w:szCs w:val="20"/>
                <w:color w:val="auto"/>
              </w:rPr>
            </w:pPr>
            <w:r>
              <w:rPr>
                <w:rFonts w:ascii="Arial" w:cs="Arial" w:eastAsia="Arial" w:hAnsi="Arial"/>
                <w:sz w:val="17"/>
                <w:szCs w:val="17"/>
                <w:color w:val="auto"/>
              </w:rPr>
              <w:t>Credit Facility</w:t>
            </w:r>
          </w:p>
        </w:tc>
        <w:tc>
          <w:tcPr>
            <w:tcW w:w="1300" w:type="dxa"/>
            <w:vAlign w:val="bottom"/>
            <w:shd w:val="clear" w:color="auto" w:fill="CCEEFF"/>
          </w:tcPr>
          <w:p>
            <w:pPr>
              <w:jc w:val="right"/>
              <w:ind w:right="454"/>
              <w:spacing w:after="0" w:line="181" w:lineRule="exact"/>
              <w:rPr>
                <w:sz w:val="20"/>
                <w:szCs w:val="20"/>
                <w:color w:val="auto"/>
              </w:rPr>
            </w:pPr>
            <w:r>
              <w:rPr>
                <w:rFonts w:ascii="Arial" w:cs="Arial" w:eastAsia="Arial" w:hAnsi="Arial"/>
                <w:sz w:val="17"/>
                <w:szCs w:val="17"/>
                <w:color w:val="auto"/>
              </w:rPr>
              <w:t>4.30 %</w:t>
            </w:r>
          </w:p>
        </w:tc>
        <w:tc>
          <w:tcPr>
            <w:tcW w:w="1680" w:type="dxa"/>
            <w:vAlign w:val="bottom"/>
            <w:shd w:val="clear" w:color="auto" w:fill="CCEEFF"/>
          </w:tcPr>
          <w:p>
            <w:pPr>
              <w:jc w:val="right"/>
              <w:ind w:right="574"/>
              <w:spacing w:after="0" w:line="181" w:lineRule="exact"/>
              <w:rPr>
                <w:sz w:val="20"/>
                <w:szCs w:val="20"/>
                <w:color w:val="auto"/>
              </w:rPr>
            </w:pPr>
            <w:r>
              <w:rPr>
                <w:rFonts w:ascii="Arial" w:cs="Arial" w:eastAsia="Arial" w:hAnsi="Arial"/>
                <w:sz w:val="17"/>
                <w:szCs w:val="17"/>
                <w:color w:val="auto"/>
              </w:rPr>
              <w:t>2.77 %</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7,500</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99,970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100" w:type="dxa"/>
            <w:vAlign w:val="bottom"/>
          </w:tcPr>
          <w:p>
            <w:pPr>
              <w:spacing w:after="0" w:line="181" w:lineRule="exact"/>
              <w:rPr>
                <w:sz w:val="20"/>
                <w:szCs w:val="20"/>
                <w:color w:val="auto"/>
              </w:rPr>
            </w:pPr>
            <w:r>
              <w:rPr>
                <w:rFonts w:ascii="Arial" w:cs="Arial" w:eastAsia="Arial" w:hAnsi="Arial"/>
                <w:sz w:val="17"/>
                <w:szCs w:val="17"/>
                <w:color w:val="auto"/>
              </w:rPr>
              <w:t>Notes due:</w:t>
            </w: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100" w:type="dxa"/>
            <w:vAlign w:val="bottom"/>
            <w:shd w:val="clear" w:color="auto" w:fill="CCEEFF"/>
          </w:tcPr>
          <w:p>
            <w:pPr>
              <w:ind w:left="100"/>
              <w:spacing w:after="0" w:line="181" w:lineRule="exact"/>
              <w:rPr>
                <w:sz w:val="20"/>
                <w:szCs w:val="20"/>
                <w:color w:val="auto"/>
              </w:rPr>
            </w:pPr>
            <w:r>
              <w:rPr>
                <w:rFonts w:ascii="Arial" w:cs="Arial" w:eastAsia="Arial" w:hAnsi="Arial"/>
                <w:sz w:val="17"/>
                <w:szCs w:val="17"/>
                <w:color w:val="auto"/>
              </w:rPr>
              <w:t>June 2020</w:t>
            </w:r>
          </w:p>
        </w:tc>
        <w:tc>
          <w:tcPr>
            <w:tcW w:w="1300" w:type="dxa"/>
            <w:vAlign w:val="bottom"/>
            <w:shd w:val="clear" w:color="auto" w:fill="CCEEFF"/>
          </w:tcPr>
          <w:p>
            <w:pPr>
              <w:jc w:val="right"/>
              <w:ind w:right="454"/>
              <w:spacing w:after="0" w:line="181" w:lineRule="exact"/>
              <w:rPr>
                <w:sz w:val="20"/>
                <w:szCs w:val="20"/>
                <w:color w:val="auto"/>
              </w:rPr>
            </w:pPr>
            <w:r>
              <w:rPr>
                <w:rFonts w:ascii="Arial" w:cs="Arial" w:eastAsia="Arial" w:hAnsi="Arial"/>
                <w:sz w:val="17"/>
                <w:szCs w:val="17"/>
                <w:color w:val="auto"/>
              </w:rPr>
              <w:t>5.88 %</w:t>
            </w:r>
          </w:p>
        </w:tc>
        <w:tc>
          <w:tcPr>
            <w:tcW w:w="1680" w:type="dxa"/>
            <w:vAlign w:val="bottom"/>
            <w:shd w:val="clear" w:color="auto" w:fill="CCEEFF"/>
          </w:tcPr>
          <w:p>
            <w:pPr>
              <w:jc w:val="right"/>
              <w:ind w:right="574"/>
              <w:spacing w:after="0" w:line="181" w:lineRule="exact"/>
              <w:rPr>
                <w:sz w:val="20"/>
                <w:szCs w:val="20"/>
                <w:color w:val="auto"/>
              </w:rPr>
            </w:pPr>
            <w:r>
              <w:rPr>
                <w:rFonts w:ascii="Arial" w:cs="Arial" w:eastAsia="Arial" w:hAnsi="Arial"/>
                <w:sz w:val="17"/>
                <w:szCs w:val="17"/>
                <w:color w:val="auto"/>
              </w:rPr>
              <w:t>5.88 %</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300,000</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300,000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100" w:type="dxa"/>
            <w:vAlign w:val="bottom"/>
          </w:tcPr>
          <w:p>
            <w:pPr>
              <w:ind w:left="100"/>
              <w:spacing w:after="0" w:line="181" w:lineRule="exact"/>
              <w:rPr>
                <w:sz w:val="20"/>
                <w:szCs w:val="20"/>
                <w:color w:val="auto"/>
              </w:rPr>
            </w:pPr>
            <w:r>
              <w:rPr>
                <w:rFonts w:ascii="Arial" w:cs="Arial" w:eastAsia="Arial" w:hAnsi="Arial"/>
                <w:sz w:val="17"/>
                <w:szCs w:val="17"/>
                <w:color w:val="auto"/>
              </w:rPr>
              <w:t>December 2021</w:t>
            </w:r>
          </w:p>
        </w:tc>
        <w:tc>
          <w:tcPr>
            <w:tcW w:w="1300" w:type="dxa"/>
            <w:vAlign w:val="bottom"/>
          </w:tcPr>
          <w:p>
            <w:pPr>
              <w:jc w:val="right"/>
              <w:ind w:right="454"/>
              <w:spacing w:after="0" w:line="181" w:lineRule="exact"/>
              <w:rPr>
                <w:sz w:val="20"/>
                <w:szCs w:val="20"/>
                <w:color w:val="auto"/>
              </w:rPr>
            </w:pPr>
            <w:r>
              <w:rPr>
                <w:rFonts w:ascii="Arial" w:cs="Arial" w:eastAsia="Arial" w:hAnsi="Arial"/>
                <w:sz w:val="17"/>
                <w:szCs w:val="17"/>
                <w:color w:val="auto"/>
              </w:rPr>
              <w:t>3.75 %</w:t>
            </w:r>
          </w:p>
        </w:tc>
        <w:tc>
          <w:tcPr>
            <w:tcW w:w="1680" w:type="dxa"/>
            <w:vAlign w:val="bottom"/>
          </w:tcPr>
          <w:p>
            <w:pPr>
              <w:jc w:val="right"/>
              <w:ind w:right="574"/>
              <w:spacing w:after="0" w:line="181" w:lineRule="exact"/>
              <w:rPr>
                <w:sz w:val="20"/>
                <w:szCs w:val="20"/>
                <w:color w:val="auto"/>
              </w:rPr>
            </w:pPr>
            <w:r>
              <w:rPr>
                <w:rFonts w:ascii="Arial" w:cs="Arial" w:eastAsia="Arial" w:hAnsi="Arial"/>
                <w:sz w:val="17"/>
                <w:szCs w:val="17"/>
                <w:color w:val="auto"/>
              </w:rPr>
              <w:t>3.75 %</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Arial" w:cs="Arial" w:eastAsia="Arial" w:hAnsi="Arial"/>
                <w:sz w:val="17"/>
                <w:szCs w:val="17"/>
                <w:color w:val="auto"/>
              </w:rPr>
              <w:t>300,000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7"/>
                <w:szCs w:val="17"/>
                <w:color w:val="auto"/>
              </w:rPr>
              <w:t>300,000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100" w:type="dxa"/>
            <w:vAlign w:val="bottom"/>
            <w:shd w:val="clear" w:color="auto" w:fill="CCEEFF"/>
          </w:tcPr>
          <w:p>
            <w:pPr>
              <w:ind w:left="100"/>
              <w:spacing w:after="0" w:line="181" w:lineRule="exact"/>
              <w:rPr>
                <w:sz w:val="20"/>
                <w:szCs w:val="20"/>
                <w:color w:val="auto"/>
              </w:rPr>
            </w:pPr>
            <w:r>
              <w:rPr>
                <w:rFonts w:ascii="Arial" w:cs="Arial" w:eastAsia="Arial" w:hAnsi="Arial"/>
                <w:sz w:val="17"/>
                <w:szCs w:val="17"/>
                <w:color w:val="auto"/>
              </w:rPr>
              <w:t>December 2022</w:t>
            </w:r>
          </w:p>
        </w:tc>
        <w:tc>
          <w:tcPr>
            <w:tcW w:w="1300" w:type="dxa"/>
            <w:vAlign w:val="bottom"/>
            <w:shd w:val="clear" w:color="auto" w:fill="CCEEFF"/>
          </w:tcPr>
          <w:p>
            <w:pPr>
              <w:jc w:val="right"/>
              <w:ind w:right="454"/>
              <w:spacing w:after="0" w:line="181" w:lineRule="exact"/>
              <w:rPr>
                <w:sz w:val="20"/>
                <w:szCs w:val="20"/>
                <w:color w:val="auto"/>
              </w:rPr>
            </w:pPr>
            <w:r>
              <w:rPr>
                <w:rFonts w:ascii="Arial" w:cs="Arial" w:eastAsia="Arial" w:hAnsi="Arial"/>
                <w:sz w:val="17"/>
                <w:szCs w:val="17"/>
                <w:color w:val="auto"/>
              </w:rPr>
              <w:t>4.88 %</w:t>
            </w:r>
          </w:p>
        </w:tc>
        <w:tc>
          <w:tcPr>
            <w:tcW w:w="1680" w:type="dxa"/>
            <w:vAlign w:val="bottom"/>
            <w:shd w:val="clear" w:color="auto" w:fill="CCEEFF"/>
          </w:tcPr>
          <w:p>
            <w:pPr>
              <w:jc w:val="right"/>
              <w:ind w:right="574"/>
              <w:spacing w:after="0" w:line="181" w:lineRule="exact"/>
              <w:rPr>
                <w:sz w:val="20"/>
                <w:szCs w:val="20"/>
                <w:color w:val="auto"/>
              </w:rPr>
            </w:pPr>
            <w:r>
              <w:rPr>
                <w:rFonts w:ascii="Arial" w:cs="Arial" w:eastAsia="Arial" w:hAnsi="Arial"/>
                <w:sz w:val="17"/>
                <w:szCs w:val="17"/>
                <w:color w:val="auto"/>
              </w:rPr>
              <w:t>4.88 %</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350,000</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350,000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100" w:type="dxa"/>
            <w:vAlign w:val="bottom"/>
          </w:tcPr>
          <w:p>
            <w:pPr>
              <w:ind w:left="100"/>
              <w:spacing w:after="0" w:line="181" w:lineRule="exact"/>
              <w:rPr>
                <w:sz w:val="20"/>
                <w:szCs w:val="20"/>
                <w:color w:val="auto"/>
              </w:rPr>
            </w:pPr>
            <w:r>
              <w:rPr>
                <w:rFonts w:ascii="Arial" w:cs="Arial" w:eastAsia="Arial" w:hAnsi="Arial"/>
                <w:sz w:val="17"/>
                <w:szCs w:val="17"/>
                <w:color w:val="auto"/>
              </w:rPr>
              <w:t>April 2026</w:t>
            </w:r>
          </w:p>
        </w:tc>
        <w:tc>
          <w:tcPr>
            <w:tcW w:w="1300" w:type="dxa"/>
            <w:vAlign w:val="bottom"/>
          </w:tcPr>
          <w:p>
            <w:pPr>
              <w:jc w:val="right"/>
              <w:ind w:right="454"/>
              <w:spacing w:after="0" w:line="181" w:lineRule="exact"/>
              <w:rPr>
                <w:sz w:val="20"/>
                <w:szCs w:val="20"/>
                <w:color w:val="auto"/>
              </w:rPr>
            </w:pPr>
            <w:r>
              <w:rPr>
                <w:rFonts w:ascii="Arial" w:cs="Arial" w:eastAsia="Arial" w:hAnsi="Arial"/>
                <w:sz w:val="17"/>
                <w:szCs w:val="17"/>
                <w:color w:val="auto"/>
              </w:rPr>
              <w:t>4.63 %</w:t>
            </w:r>
          </w:p>
        </w:tc>
        <w:tc>
          <w:tcPr>
            <w:tcW w:w="1680" w:type="dxa"/>
            <w:vAlign w:val="bottom"/>
          </w:tcPr>
          <w:p>
            <w:pPr>
              <w:jc w:val="right"/>
              <w:ind w:right="574"/>
              <w:spacing w:after="0" w:line="181" w:lineRule="exact"/>
              <w:rPr>
                <w:sz w:val="20"/>
                <w:szCs w:val="20"/>
                <w:color w:val="auto"/>
              </w:rPr>
            </w:pPr>
            <w:r>
              <w:rPr>
                <w:rFonts w:ascii="Arial" w:cs="Arial" w:eastAsia="Arial" w:hAnsi="Arial"/>
                <w:sz w:val="17"/>
                <w:szCs w:val="17"/>
                <w:color w:val="auto"/>
              </w:rPr>
              <w:t>4.63 %</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Arial" w:cs="Arial" w:eastAsia="Arial" w:hAnsi="Arial"/>
                <w:sz w:val="17"/>
                <w:szCs w:val="17"/>
                <w:color w:val="auto"/>
              </w:rPr>
              <w:t>550,000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Arial" w:cs="Arial" w:eastAsia="Arial" w:hAnsi="Arial"/>
                <w:sz w:val="17"/>
                <w:szCs w:val="17"/>
                <w:color w:val="auto"/>
              </w:rPr>
              <w:t>550,000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10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7"/>
                <w:szCs w:val="17"/>
                <w:color w:val="auto"/>
              </w:rPr>
              <w:t>Other long-term debt</w:t>
            </w:r>
          </w:p>
        </w:tc>
        <w:tc>
          <w:tcPr>
            <w:tcW w:w="1300" w:type="dxa"/>
            <w:vAlign w:val="bottom"/>
            <w:tcBorders>
              <w:bottom w:val="single" w:sz="8" w:color="CCEEFF"/>
            </w:tcBorders>
            <w:shd w:val="clear" w:color="auto" w:fill="CCEEFF"/>
          </w:tcPr>
          <w:p>
            <w:pPr>
              <w:jc w:val="right"/>
              <w:ind w:right="454"/>
              <w:spacing w:after="0" w:line="181" w:lineRule="exact"/>
              <w:rPr>
                <w:sz w:val="20"/>
                <w:szCs w:val="20"/>
                <w:color w:val="auto"/>
              </w:rPr>
            </w:pPr>
            <w:r>
              <w:rPr>
                <w:rFonts w:ascii="Arial" w:cs="Arial" w:eastAsia="Arial" w:hAnsi="Arial"/>
                <w:sz w:val="17"/>
                <w:szCs w:val="17"/>
                <w:color w:val="auto"/>
              </w:rPr>
              <w:t>1.36 %</w:t>
            </w:r>
          </w:p>
        </w:tc>
        <w:tc>
          <w:tcPr>
            <w:tcW w:w="1680" w:type="dxa"/>
            <w:vAlign w:val="bottom"/>
            <w:tcBorders>
              <w:bottom w:val="single" w:sz="8" w:color="CCEEFF"/>
            </w:tcBorders>
            <w:shd w:val="clear" w:color="auto" w:fill="CCEEFF"/>
          </w:tcPr>
          <w:p>
            <w:pPr>
              <w:jc w:val="right"/>
              <w:ind w:right="574"/>
              <w:spacing w:after="0" w:line="181" w:lineRule="exact"/>
              <w:rPr>
                <w:sz w:val="20"/>
                <w:szCs w:val="20"/>
                <w:color w:val="auto"/>
              </w:rPr>
            </w:pPr>
            <w:r>
              <w:rPr>
                <w:rFonts w:ascii="Arial" w:cs="Arial" w:eastAsia="Arial" w:hAnsi="Arial"/>
                <w:sz w:val="17"/>
                <w:szCs w:val="17"/>
                <w:color w:val="auto"/>
              </w:rPr>
              <w:t>1.36 %</w:t>
            </w:r>
          </w:p>
        </w:tc>
        <w:tc>
          <w:tcPr>
            <w:tcW w:w="1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532</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642</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line="129" w:lineRule="exact"/>
              <w:rPr>
                <w:sz w:val="20"/>
                <w:szCs w:val="20"/>
                <w:color w:val="auto"/>
              </w:rPr>
            </w:pPr>
            <w:r>
              <w:rPr>
                <w:rFonts w:ascii="Arial" w:cs="Arial" w:eastAsia="Arial" w:hAnsi="Arial"/>
                <w:sz w:val="14"/>
                <w:szCs w:val="14"/>
                <w:color w:val="auto"/>
              </w:rPr>
              <w:t>Long-term debt before discount and debt</w:t>
            </w:r>
          </w:p>
        </w:tc>
        <w:tc>
          <w:tcPr>
            <w:tcW w:w="1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120"/>
              <w:spacing w:after="0"/>
              <w:rPr>
                <w:sz w:val="20"/>
                <w:szCs w:val="20"/>
                <w:color w:val="auto"/>
              </w:rPr>
            </w:pPr>
            <w:r>
              <w:rPr>
                <w:rFonts w:ascii="Arial" w:cs="Arial" w:eastAsia="Arial" w:hAnsi="Arial"/>
                <w:sz w:val="17"/>
                <w:szCs w:val="17"/>
                <w:color w:val="auto"/>
              </w:rPr>
              <w:t>issuance costs</w:t>
            </w:r>
          </w:p>
        </w:tc>
        <w:tc>
          <w:tcPr>
            <w:tcW w:w="1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1,508,032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7"/>
              </w:rPr>
              <w:t>1,742,612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100" w:type="dxa"/>
            <w:vAlign w:val="bottom"/>
            <w:shd w:val="clear" w:color="auto" w:fill="CCEEFF"/>
          </w:tcPr>
          <w:p>
            <w:pPr>
              <w:spacing w:after="0" w:line="156" w:lineRule="exact"/>
              <w:rPr>
                <w:sz w:val="20"/>
                <w:szCs w:val="20"/>
                <w:color w:val="auto"/>
              </w:rPr>
            </w:pPr>
            <w:r>
              <w:rPr>
                <w:rFonts w:ascii="Arial" w:cs="Arial" w:eastAsia="Arial" w:hAnsi="Arial"/>
                <w:sz w:val="17"/>
                <w:szCs w:val="17"/>
                <w:color w:val="auto"/>
              </w:rPr>
              <w:t>Discount and debt issuance costs -</w:t>
            </w:r>
          </w:p>
        </w:tc>
        <w:tc>
          <w:tcPr>
            <w:tcW w:w="130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(12,893)</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(13,400)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100" w:type="dxa"/>
            <w:vAlign w:val="bottom"/>
            <w:tcBorders>
              <w:bottom w:val="single" w:sz="8" w:color="CCEEFF"/>
            </w:tcBorders>
            <w:shd w:val="clear" w:color="auto" w:fill="CCEEFF"/>
          </w:tcPr>
          <w:p>
            <w:pPr>
              <w:ind w:left="120"/>
              <w:spacing w:after="0" w:line="194" w:lineRule="exact"/>
              <w:rPr>
                <w:sz w:val="20"/>
                <w:szCs w:val="20"/>
                <w:color w:val="auto"/>
              </w:rPr>
            </w:pPr>
            <w:r>
              <w:rPr>
                <w:rFonts w:ascii="Arial" w:cs="Arial" w:eastAsia="Arial" w:hAnsi="Arial"/>
                <w:sz w:val="17"/>
                <w:szCs w:val="17"/>
                <w:color w:val="auto"/>
              </w:rPr>
              <w:t>unamortized</w:t>
            </w:r>
          </w:p>
        </w:tc>
        <w:tc>
          <w:tcPr>
            <w:tcW w:w="13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100" w:type="dxa"/>
            <w:vAlign w:val="bottom"/>
          </w:tcPr>
          <w:p>
            <w:pPr>
              <w:ind w:left="300"/>
              <w:spacing w:after="0" w:line="167" w:lineRule="exact"/>
              <w:rPr>
                <w:sz w:val="20"/>
                <w:szCs w:val="20"/>
                <w:color w:val="auto"/>
              </w:rPr>
            </w:pPr>
            <w:r>
              <w:rPr>
                <w:rFonts w:ascii="Arial" w:cs="Arial" w:eastAsia="Arial" w:hAnsi="Arial"/>
                <w:sz w:val="17"/>
                <w:szCs w:val="17"/>
                <w:color w:val="auto"/>
              </w:rPr>
              <w:t>Long-term debt</w:t>
            </w:r>
          </w:p>
        </w:tc>
        <w:tc>
          <w:tcPr>
            <w:tcW w:w="1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Borders>
              <w:bottom w:val="single" w:sz="8" w:color="auto"/>
            </w:tcBorders>
          </w:tcPr>
          <w:p>
            <w:pPr>
              <w:jc w:val="right"/>
              <w:ind w:right="285"/>
              <w:spacing w:after="0" w:line="167"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1,495,139</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5"/>
              <w:spacing w:after="0" w:line="167"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w w:val="97"/>
              </w:rPr>
              <w:t>1,729,212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414"/>
        <w:spacing w:after="0" w:line="276" w:lineRule="auto"/>
        <w:rPr>
          <w:sz w:val="20"/>
          <w:szCs w:val="20"/>
          <w:color w:val="auto"/>
        </w:rPr>
      </w:pPr>
      <w:r>
        <w:rPr>
          <w:rFonts w:ascii="Arial" w:cs="Arial" w:eastAsia="Arial" w:hAnsi="Arial"/>
          <w:sz w:val="16"/>
          <w:szCs w:val="16"/>
          <w:color w:val="auto"/>
        </w:rPr>
        <w:t>The Company has a five-year $1.25 billion senior unsecured revolving credit facility (the “Credit Facility”) with a syndicate of banks, consisting of revolving credit facilities and the issuance of up to $150.0 million of letters of credit, which expires in July 2019. Subject to certain conditions, the Credit Facility may be increased up to $1.50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interest coverage and leverage ratios, which the Company was in compliance with as of September 30, 2017, and July 1, 2017. As of September 30, 2017, and July 1, 2017, there were $2.0 million and $3.1 million, respectively, in letters of credit issued under the Credit Facility.</w:t>
      </w:r>
    </w:p>
    <w:p>
      <w:pPr>
        <w:spacing w:after="0" w:line="170" w:lineRule="exact"/>
        <w:rPr>
          <w:sz w:val="20"/>
          <w:szCs w:val="20"/>
          <w:color w:val="auto"/>
        </w:rPr>
      </w:pPr>
    </w:p>
    <w:p>
      <w:pPr>
        <w:jc w:val="both"/>
        <w:ind w:firstLine="410"/>
        <w:spacing w:after="0" w:line="285" w:lineRule="auto"/>
        <w:rPr>
          <w:sz w:val="20"/>
          <w:szCs w:val="20"/>
          <w:color w:val="auto"/>
        </w:rPr>
      </w:pPr>
      <w:r>
        <w:rPr>
          <w:rFonts w:ascii="Arial" w:cs="Arial" w:eastAsia="Arial" w:hAnsi="Arial"/>
          <w:sz w:val="16"/>
          <w:szCs w:val="16"/>
          <w:color w:val="auto"/>
        </w:rPr>
        <w:t>As of September 30, 2017, the carrying value and fair value of the Company’s total debt was $1.69 billion and $1.76 billion, respectively. At July 1, 2017, the carrying value and fair value of the Company’s total debt was $1.78 billion and $1.85 billion, respectively. Fair value for the notes was estimated based upon quoted market prices and for other forms of debt fair value approximates carrying value due to the market based variable nature of the interest rates on those debt agreements.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Derivative financial instruments</w:t>
      </w:r>
    </w:p>
    <w:p>
      <w:pPr>
        <w:spacing w:after="0" w:line="224" w:lineRule="exact"/>
        <w:rPr>
          <w:sz w:val="20"/>
          <w:szCs w:val="20"/>
          <w:color w:val="auto"/>
        </w:rPr>
      </w:pPr>
    </w:p>
    <w:p>
      <w:pPr>
        <w:jc w:val="both"/>
        <w:ind w:firstLine="410"/>
        <w:spacing w:after="0" w:line="293" w:lineRule="auto"/>
        <w:rPr>
          <w:sz w:val="20"/>
          <w:szCs w:val="20"/>
          <w:color w:val="auto"/>
        </w:rPr>
      </w:pPr>
      <w:r>
        <w:rPr>
          <w:rFonts w:ascii="Arial" w:cs="Arial" w:eastAsia="Arial" w:hAnsi="Arial"/>
          <w:sz w:val="15"/>
          <w:szCs w:val="15"/>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(e.g., offsetting receivables and payables in the same foreign currency) as well as by creating offsetting positions through the use of derivative financial instruments, primarily forward foreign exchange contracts typically with maturities of less than 60 days (“economic hedges”), but no longer than one year. The Company continues to have exposure to foreign currency risks to the extent they are not economically hedged. The Company adjusts any economic hedges to fair value through the consolidated statements of operations primarily within “other income (expense), net.” The fair value of forward foreign exchange contracts, which are based upon Level 2 criteria under the ASC 820 fair value hierarchy, are classified in the captions “other current assets” or “accrued expenses and other,” as applicable, in the accompanying consolidated balance sheets as of September 30, 2017, and July 1, 2017.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5757545" cy="24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type w:val="continuous"/>
        </w:sectPr>
      </w:pPr>
    </w:p>
    <w:bookmarkStart w:id="12" w:name="page13"/>
    <w:bookmarkEnd w:id="1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AVNET,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p>
      <w:pPr>
        <w:jc w:val="both"/>
        <w:ind w:firstLine="410"/>
        <w:spacing w:after="0" w:line="268" w:lineRule="auto"/>
        <w:rPr>
          <w:sz w:val="20"/>
          <w:szCs w:val="20"/>
          <w:color w:val="auto"/>
        </w:rPr>
      </w:pPr>
      <w:r>
        <w:rPr>
          <w:rFonts w:ascii="Arial" w:cs="Arial" w:eastAsia="Arial" w:hAnsi="Arial"/>
          <w:sz w:val="17"/>
          <w:szCs w:val="17"/>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173" w:lineRule="exact"/>
        <w:rPr>
          <w:sz w:val="20"/>
          <w:szCs w:val="20"/>
          <w:color w:val="auto"/>
        </w:rPr>
      </w:pPr>
    </w:p>
    <w:p>
      <w:pPr>
        <w:jc w:val="both"/>
        <w:ind w:firstLine="410"/>
        <w:spacing w:after="0" w:line="261" w:lineRule="auto"/>
        <w:rPr>
          <w:sz w:val="20"/>
          <w:szCs w:val="20"/>
          <w:color w:val="auto"/>
        </w:rPr>
      </w:pPr>
      <w:r>
        <w:rPr>
          <w:rFonts w:ascii="Arial" w:cs="Arial" w:eastAsia="Arial" w:hAnsi="Arial"/>
          <w:sz w:val="17"/>
          <w:szCs w:val="17"/>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Canadian Dollar, Japanese Yen, Chinese Yuan, Taiwan Dollar and Mexican Peso. The Company also, to a lesser extent, has foreign operations transactions in other European and Asia/Pacific foreign currencies.</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fair values of derivative financial instruments in the Company’s consolidated balance sheets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54"/>
              <w:spacing w:after="0"/>
              <w:rPr>
                <w:sz w:val="20"/>
                <w:szCs w:val="20"/>
                <w:color w:val="auto"/>
              </w:rPr>
            </w:pPr>
            <w:r>
              <w:rPr>
                <w:rFonts w:ascii="Arial" w:cs="Arial" w:eastAsia="Arial" w:hAnsi="Arial"/>
                <w:sz w:val="17"/>
                <w:szCs w:val="17"/>
                <w:b w:val="1"/>
                <w:bCs w:val="1"/>
                <w:color w:val="auto"/>
                <w:w w:val="92"/>
              </w:rPr>
              <w:t>September 30,</w:t>
            </w:r>
          </w:p>
        </w:tc>
        <w:tc>
          <w:tcPr>
            <w:tcW w:w="36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Arial" w:cs="Arial" w:eastAsia="Arial" w:hAnsi="Arial"/>
                <w:sz w:val="17"/>
                <w:szCs w:val="17"/>
                <w:b w:val="1"/>
                <w:bCs w:val="1"/>
                <w:color w:val="auto"/>
              </w:rPr>
              <w:t>July 1,</w:t>
            </w:r>
          </w:p>
        </w:tc>
      </w:tr>
      <w:tr>
        <w:trPr>
          <w:trHeight w:val="231"/>
        </w:trPr>
        <w:tc>
          <w:tcPr>
            <w:tcW w:w="6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2017</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2017</w:t>
            </w:r>
          </w:p>
        </w:tc>
        <w:tc>
          <w:tcPr>
            <w:tcW w:w="40" w:type="dxa"/>
            <w:vAlign w:val="bottom"/>
          </w:tcPr>
          <w:p>
            <w:pPr>
              <w:spacing w:after="0"/>
              <w:rPr>
                <w:sz w:val="20"/>
                <w:szCs w:val="20"/>
                <w:color w:val="auto"/>
              </w:rPr>
            </w:pPr>
          </w:p>
        </w:tc>
      </w:tr>
      <w:tr>
        <w:trPr>
          <w:trHeight w:val="207"/>
        </w:trPr>
        <w:tc>
          <w:tcPr>
            <w:tcW w:w="6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3"/>
          </w:tcPr>
          <w:p>
            <w:pPr>
              <w:jc w:val="right"/>
              <w:ind w:right="774"/>
              <w:spacing w:after="0"/>
              <w:rPr>
                <w:sz w:val="20"/>
                <w:szCs w:val="20"/>
                <w:color w:val="auto"/>
              </w:rPr>
            </w:pPr>
            <w:r>
              <w:rPr>
                <w:rFonts w:ascii="Arial" w:cs="Arial" w:eastAsia="Arial" w:hAnsi="Arial"/>
                <w:sz w:val="17"/>
                <w:szCs w:val="17"/>
                <w:b w:val="1"/>
                <w:bCs w:val="1"/>
                <w:color w:val="auto"/>
              </w:rPr>
              <w:t>(Thousands)</w:t>
            </w:r>
          </w:p>
        </w:tc>
        <w:tc>
          <w:tcPr>
            <w:tcW w:w="40" w:type="dxa"/>
            <w:vAlign w:val="bottom"/>
          </w:tcPr>
          <w:p>
            <w:pPr>
              <w:spacing w:after="0"/>
              <w:rPr>
                <w:sz w:val="17"/>
                <w:szCs w:val="17"/>
                <w:color w:val="auto"/>
              </w:rPr>
            </w:pPr>
          </w:p>
        </w:tc>
      </w:tr>
      <w:tr>
        <w:trPr>
          <w:trHeight w:val="195"/>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w w:val="93"/>
              </w:rPr>
              <w:t>Forward foreign currency exchange contracts not receiving hedge accounting treatment</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9"/>
        </w:trPr>
        <w:tc>
          <w:tcPr>
            <w:tcW w:w="62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recorded in:</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07"/>
        </w:trPr>
        <w:tc>
          <w:tcPr>
            <w:tcW w:w="6200" w:type="dxa"/>
            <w:vAlign w:val="bottom"/>
          </w:tcPr>
          <w:p>
            <w:pPr>
              <w:ind w:left="200"/>
              <w:spacing w:after="0"/>
              <w:rPr>
                <w:sz w:val="20"/>
                <w:szCs w:val="20"/>
                <w:color w:val="auto"/>
              </w:rPr>
            </w:pPr>
            <w:r>
              <w:rPr>
                <w:rFonts w:ascii="Arial" w:cs="Arial" w:eastAsia="Arial" w:hAnsi="Arial"/>
                <w:sz w:val="17"/>
                <w:szCs w:val="17"/>
                <w:color w:val="auto"/>
              </w:rPr>
              <w:t>Other current assets</w:t>
            </w:r>
          </w:p>
        </w:tc>
        <w:tc>
          <w:tcPr>
            <w:tcW w:w="44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4"/>
              <w:spacing w:after="0"/>
              <w:rPr>
                <w:sz w:val="20"/>
                <w:szCs w:val="20"/>
                <w:color w:val="auto"/>
              </w:rPr>
            </w:pPr>
            <w:r>
              <w:rPr>
                <w:rFonts w:ascii="Arial" w:cs="Arial" w:eastAsia="Arial" w:hAnsi="Arial"/>
                <w:sz w:val="17"/>
                <w:szCs w:val="17"/>
                <w:color w:val="auto"/>
              </w:rPr>
              <w:t>3,653</w:t>
            </w:r>
          </w:p>
        </w:tc>
        <w:tc>
          <w:tcPr>
            <w:tcW w:w="36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7,297</w:t>
            </w:r>
          </w:p>
        </w:tc>
        <w:tc>
          <w:tcPr>
            <w:tcW w:w="40" w:type="dxa"/>
            <w:vAlign w:val="bottom"/>
          </w:tcPr>
          <w:p>
            <w:pPr>
              <w:spacing w:after="0"/>
              <w:rPr>
                <w:sz w:val="17"/>
                <w:szCs w:val="17"/>
                <w:color w:val="auto"/>
              </w:rPr>
            </w:pPr>
          </w:p>
        </w:tc>
      </w:tr>
      <w:tr>
        <w:trPr>
          <w:trHeight w:val="207"/>
        </w:trPr>
        <w:tc>
          <w:tcPr>
            <w:tcW w:w="6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Accrued expenses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5,108</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4,142</w:t>
            </w:r>
          </w:p>
        </w:tc>
        <w:tc>
          <w:tcPr>
            <w:tcW w:w="40" w:type="dxa"/>
            <w:vAlign w:val="bottom"/>
            <w:shd w:val="clear" w:color="auto" w:fill="CCEEFF"/>
          </w:tcPr>
          <w:p>
            <w:pPr>
              <w:spacing w:after="0"/>
              <w:rPr>
                <w:sz w:val="17"/>
                <w:szCs w:val="17"/>
                <w:color w:val="auto"/>
              </w:rPr>
            </w:pPr>
          </w:p>
        </w:tc>
      </w:tr>
    </w:tbl>
    <w:p>
      <w:pPr>
        <w:spacing w:after="0" w:line="195" w:lineRule="exact"/>
        <w:rPr>
          <w:sz w:val="20"/>
          <w:szCs w:val="20"/>
          <w:color w:val="auto"/>
        </w:rPr>
      </w:pPr>
    </w:p>
    <w:p>
      <w:pPr>
        <w:jc w:val="both"/>
        <w:ind w:firstLine="410"/>
        <w:spacing w:after="0" w:line="268" w:lineRule="auto"/>
        <w:rPr>
          <w:sz w:val="20"/>
          <w:szCs w:val="20"/>
          <w:color w:val="auto"/>
        </w:rPr>
      </w:pPr>
      <w:r>
        <w:rPr>
          <w:rFonts w:ascii="Arial" w:cs="Arial" w:eastAsia="Arial" w:hAnsi="Arial"/>
          <w:sz w:val="17"/>
          <w:szCs w:val="17"/>
          <w:color w:val="auto"/>
        </w:rPr>
        <w:t>In addition to amounts included in the above table, there was approximately $0.1 million and $34.0 million as of September 30, 2017 and July 1, 2017, respectively, of accrued expenses related to an economic hedge derivative financial instrument used to hedge the fair value changes in marketable securities discussed further in Note 3.</w:t>
      </w:r>
    </w:p>
    <w:p>
      <w:pPr>
        <w:spacing w:after="0" w:line="173" w:lineRule="exact"/>
        <w:rPr>
          <w:sz w:val="20"/>
          <w:szCs w:val="20"/>
          <w:color w:val="auto"/>
        </w:rPr>
      </w:pPr>
    </w:p>
    <w:p>
      <w:pPr>
        <w:jc w:val="both"/>
        <w:ind w:firstLine="410"/>
        <w:spacing w:after="0" w:line="283" w:lineRule="auto"/>
        <w:rPr>
          <w:sz w:val="20"/>
          <w:szCs w:val="20"/>
          <w:color w:val="auto"/>
        </w:rPr>
      </w:pPr>
      <w:r>
        <w:rPr>
          <w:rFonts w:ascii="Arial" w:cs="Arial" w:eastAsia="Arial" w:hAnsi="Arial"/>
          <w:sz w:val="17"/>
          <w:szCs w:val="17"/>
          <w:color w:val="auto"/>
        </w:rPr>
        <w:t>The amounts recorded to other income (expense), net related to derivative financial instruments for economic hedges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40" w:type="dxa"/>
            <w:vAlign w:val="bottom"/>
            <w:gridSpan w:val="4"/>
          </w:tcPr>
          <w:p>
            <w:pPr>
              <w:jc w:val="center"/>
              <w:ind w:right="360"/>
              <w:spacing w:after="0"/>
              <w:rPr>
                <w:sz w:val="20"/>
                <w:szCs w:val="20"/>
                <w:color w:val="auto"/>
              </w:rPr>
            </w:pPr>
            <w:r>
              <w:rPr>
                <w:rFonts w:ascii="Arial" w:cs="Arial" w:eastAsia="Arial" w:hAnsi="Arial"/>
                <w:sz w:val="17"/>
                <w:szCs w:val="17"/>
                <w:b w:val="1"/>
                <w:bCs w:val="1"/>
                <w:color w:val="auto"/>
                <w:w w:val="93"/>
              </w:rPr>
              <w:t>First Quarters Ended</w:t>
            </w:r>
          </w:p>
        </w:tc>
      </w:tr>
      <w:tr>
        <w:trPr>
          <w:trHeight w:val="189"/>
        </w:trPr>
        <w:tc>
          <w:tcPr>
            <w:tcW w:w="4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center"/>
              <w:ind w:right="174"/>
              <w:spacing w:after="0" w:line="189" w:lineRule="exact"/>
              <w:rPr>
                <w:sz w:val="20"/>
                <w:szCs w:val="20"/>
                <w:color w:val="auto"/>
              </w:rPr>
            </w:pPr>
            <w:r>
              <w:rPr>
                <w:rFonts w:ascii="Arial" w:cs="Arial" w:eastAsia="Arial" w:hAnsi="Arial"/>
                <w:sz w:val="17"/>
                <w:szCs w:val="17"/>
                <w:b w:val="1"/>
                <w:bCs w:val="1"/>
                <w:color w:val="auto"/>
                <w:w w:val="89"/>
              </w:rPr>
              <w:t>September 30,</w:t>
            </w:r>
          </w:p>
        </w:tc>
        <w:tc>
          <w:tcPr>
            <w:tcW w:w="5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374"/>
              <w:spacing w:after="0" w:line="189" w:lineRule="exact"/>
              <w:rPr>
                <w:sz w:val="20"/>
                <w:szCs w:val="20"/>
                <w:color w:val="auto"/>
              </w:rPr>
            </w:pPr>
            <w:r>
              <w:rPr>
                <w:rFonts w:ascii="Arial" w:cs="Arial" w:eastAsia="Arial" w:hAnsi="Arial"/>
                <w:sz w:val="17"/>
                <w:szCs w:val="17"/>
                <w:b w:val="1"/>
                <w:bCs w:val="1"/>
                <w:color w:val="auto"/>
                <w:w w:val="92"/>
              </w:rPr>
              <w:t>October 1,</w:t>
            </w:r>
          </w:p>
        </w:tc>
        <w:tc>
          <w:tcPr>
            <w:tcW w:w="180" w:type="dxa"/>
            <w:vAlign w:val="bottom"/>
          </w:tcPr>
          <w:p>
            <w:pPr>
              <w:spacing w:after="0"/>
              <w:rPr>
                <w:sz w:val="16"/>
                <w:szCs w:val="16"/>
                <w:color w:val="auto"/>
              </w:rPr>
            </w:pPr>
          </w:p>
        </w:tc>
      </w:tr>
      <w:tr>
        <w:trPr>
          <w:trHeight w:val="231"/>
        </w:trPr>
        <w:tc>
          <w:tcPr>
            <w:tcW w:w="4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2017</w:t>
            </w:r>
          </w:p>
        </w:tc>
        <w:tc>
          <w:tcPr>
            <w:tcW w:w="5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2016</w:t>
            </w:r>
          </w:p>
        </w:tc>
        <w:tc>
          <w:tcPr>
            <w:tcW w:w="180" w:type="dxa"/>
            <w:vAlign w:val="bottom"/>
          </w:tcPr>
          <w:p>
            <w:pPr>
              <w:spacing w:after="0"/>
              <w:rPr>
                <w:sz w:val="20"/>
                <w:szCs w:val="20"/>
                <w:color w:val="auto"/>
              </w:rPr>
            </w:pPr>
          </w:p>
        </w:tc>
      </w:tr>
      <w:tr>
        <w:trPr>
          <w:trHeight w:val="207"/>
        </w:trPr>
        <w:tc>
          <w:tcPr>
            <w:tcW w:w="4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center"/>
              <w:ind w:left="994"/>
              <w:spacing w:after="0"/>
              <w:rPr>
                <w:sz w:val="20"/>
                <w:szCs w:val="20"/>
                <w:color w:val="auto"/>
              </w:rPr>
            </w:pPr>
            <w:r>
              <w:rPr>
                <w:rFonts w:ascii="Arial" w:cs="Arial" w:eastAsia="Arial" w:hAnsi="Arial"/>
                <w:sz w:val="17"/>
                <w:szCs w:val="17"/>
                <w:b w:val="1"/>
                <w:bCs w:val="1"/>
                <w:color w:val="auto"/>
                <w:w w:val="90"/>
              </w:rPr>
              <w:t>(Thousands)</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7"/>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Net derivative financial instrument (loss) gain</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1,859</w:t>
            </w:r>
          </w:p>
        </w:tc>
        <w:tc>
          <w:tcPr>
            <w:tcW w:w="5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(9,508)</w:t>
            </w:r>
          </w:p>
        </w:tc>
        <w:tc>
          <w:tcPr>
            <w:tcW w:w="180" w:type="dxa"/>
            <w:vAlign w:val="bottom"/>
            <w:shd w:val="clear" w:color="auto" w:fill="CCEEFF"/>
          </w:tcPr>
          <w:p>
            <w:pPr>
              <w:spacing w:after="0"/>
              <w:rPr>
                <w:sz w:val="17"/>
                <w:szCs w:val="17"/>
                <w:color w:val="auto"/>
              </w:rPr>
            </w:pPr>
          </w:p>
        </w:tc>
      </w:tr>
    </w:tbl>
    <w:p>
      <w:pPr>
        <w:spacing w:after="0" w:line="195" w:lineRule="exact"/>
        <w:rPr>
          <w:sz w:val="20"/>
          <w:szCs w:val="20"/>
          <w:color w:val="auto"/>
        </w:rPr>
      </w:pPr>
    </w:p>
    <w:p>
      <w:pPr>
        <w:jc w:val="both"/>
        <w:ind w:firstLine="410"/>
        <w:spacing w:after="0" w:line="268" w:lineRule="auto"/>
        <w:rPr>
          <w:sz w:val="20"/>
          <w:szCs w:val="20"/>
          <w:color w:val="auto"/>
        </w:rPr>
      </w:pPr>
      <w:r>
        <w:rPr>
          <w:rFonts w:ascii="Arial" w:cs="Arial" w:eastAsia="Arial" w:hAnsi="Arial"/>
          <w:sz w:val="17"/>
          <w:szCs w:val="17"/>
          <w:color w:val="auto"/>
        </w:rPr>
        <w:t>For the three months ended October 1, 2016, $8.0 million of derivative financial instrument losses in other income (expenses), net, have been excluded from the above table associated with foreign currency derivative financial instruments purchased to economically hedge the British Pound purchase price of the PF acquisition in fiscal 2017.</w:t>
      </w:r>
    </w:p>
    <w:p>
      <w:pPr>
        <w:spacing w:after="0" w:line="173" w:lineRule="exact"/>
        <w:rPr>
          <w:sz w:val="20"/>
          <w:szCs w:val="20"/>
          <w:color w:val="auto"/>
        </w:rPr>
      </w:pPr>
    </w:p>
    <w:p>
      <w:pPr>
        <w:jc w:val="both"/>
        <w:ind w:firstLine="410"/>
        <w:spacing w:after="0" w:line="268" w:lineRule="auto"/>
        <w:rPr>
          <w:sz w:val="20"/>
          <w:szCs w:val="20"/>
          <w:color w:val="auto"/>
        </w:rPr>
      </w:pPr>
      <w:r>
        <w:rPr>
          <w:rFonts w:ascii="Arial" w:cs="Arial" w:eastAsia="Arial" w:hAnsi="Arial"/>
          <w:sz w:val="17"/>
          <w:szCs w:val="17"/>
          <w:color w:val="auto"/>
        </w:rPr>
        <w:t>Under the Company’s economic hedging policies, gains and losses on the derivative financial instruments are classified within the same line item in the consolidated statements of operations and as the underlying assets or liabilities being economically hedged.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Commitments and contingencies</w:t>
      </w:r>
    </w:p>
    <w:p>
      <w:pPr>
        <w:spacing w:after="0" w:line="224" w:lineRule="exact"/>
        <w:rPr>
          <w:sz w:val="20"/>
          <w:szCs w:val="20"/>
          <w:color w:val="auto"/>
        </w:rPr>
      </w:pPr>
    </w:p>
    <w:p>
      <w:pPr>
        <w:jc w:val="both"/>
        <w:ind w:firstLine="236"/>
        <w:spacing w:after="0" w:line="263" w:lineRule="auto"/>
        <w:rPr>
          <w:sz w:val="20"/>
          <w:szCs w:val="20"/>
          <w:color w:val="auto"/>
        </w:rPr>
      </w:pPr>
      <w:r>
        <w:rPr>
          <w:rFonts w:ascii="Arial" w:cs="Arial" w:eastAsia="Arial" w:hAnsi="Arial"/>
          <w:sz w:val="17"/>
          <w:szCs w:val="17"/>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5757545"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3" w:name="page14"/>
    <w:bookmarkEnd w:id="1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AVNET,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6" w:lineRule="exact"/>
        <w:rPr>
          <w:sz w:val="20"/>
          <w:szCs w:val="20"/>
          <w:color w:val="auto"/>
        </w:rPr>
      </w:pPr>
    </w:p>
    <w:p>
      <w:pPr>
        <w:jc w:val="both"/>
        <w:ind w:firstLine="236"/>
        <w:spacing w:after="0" w:line="301" w:lineRule="auto"/>
        <w:rPr>
          <w:sz w:val="20"/>
          <w:szCs w:val="20"/>
          <w:color w:val="auto"/>
        </w:rPr>
      </w:pPr>
      <w:r>
        <w:rPr>
          <w:rFonts w:ascii="Arial" w:cs="Arial" w:eastAsia="Arial" w:hAnsi="Arial"/>
          <w:sz w:val="15"/>
          <w:szCs w:val="15"/>
          <w:color w:val="auto"/>
        </w:rPr>
        <w:t>The Company is also currently subject to various pending and potential legal matters and investigations relating to compliance with governmental laws and regulations, including import/export and environmental matters. For certain of these matters it is not possible to determine the ultimate outcome, and the Company cannot reasonably estimate the maximum potential exposure or the range of possible loss for such matters due primarily to being in the early stages of the related proceedings and investigations.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51" w:lineRule="exact"/>
        <w:rPr>
          <w:sz w:val="20"/>
          <w:szCs w:val="20"/>
          <w:color w:val="auto"/>
        </w:rPr>
      </w:pPr>
    </w:p>
    <w:p>
      <w:pPr>
        <w:jc w:val="both"/>
        <w:ind w:firstLine="410"/>
        <w:spacing w:after="0" w:line="283" w:lineRule="auto"/>
        <w:rPr>
          <w:sz w:val="20"/>
          <w:szCs w:val="20"/>
          <w:color w:val="auto"/>
        </w:rPr>
      </w:pPr>
      <w:r>
        <w:rPr>
          <w:rFonts w:ascii="Arial" w:cs="Arial" w:eastAsia="Arial" w:hAnsi="Arial"/>
          <w:sz w:val="17"/>
          <w:szCs w:val="17"/>
          <w:color w:val="auto"/>
        </w:rPr>
        <w:t>As of September 30, 2017, the Company had aggregate estimated liabilities of $14.2 million, classified within accrued expenses and other for such compliance-related matters that were reasonably estimable as of such dates.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Income taxes</w:t>
      </w:r>
    </w:p>
    <w:p>
      <w:pPr>
        <w:spacing w:after="0" w:line="224" w:lineRule="exact"/>
        <w:rPr>
          <w:sz w:val="20"/>
          <w:szCs w:val="20"/>
          <w:color w:val="auto"/>
        </w:rPr>
      </w:pPr>
    </w:p>
    <w:p>
      <w:pPr>
        <w:jc w:val="both"/>
        <w:ind w:firstLine="414"/>
        <w:spacing w:after="0" w:line="260" w:lineRule="auto"/>
        <w:rPr>
          <w:sz w:val="20"/>
          <w:szCs w:val="20"/>
          <w:color w:val="auto"/>
        </w:rPr>
      </w:pPr>
      <w:r>
        <w:rPr>
          <w:rFonts w:ascii="Arial" w:cs="Arial" w:eastAsia="Arial" w:hAnsi="Arial"/>
          <w:sz w:val="17"/>
          <w:szCs w:val="17"/>
          <w:color w:val="auto"/>
        </w:rPr>
        <w:t>The Company’s effective tax rate on its income before income taxes from continuing operations was 5.4% in the first quarter of fiscal 2018 as compared with 23.6% in the first quarter of fiscal 2017. During the first quarter of fiscal 2018, the Company’s effective tax rate was favorably impacted primarily by (i) the mix of income in lower tax jurisdictions and (ii) the release of unrecognized tax benefit reserves primarily due to the negotiation of a favorable outcome in a foreign jurisdiction. During the first quarter of fiscal 2017, the Company’s effective tax rate was favorably impacted primarily by the mix of income in lower tax jurisdictions.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Pension plan</w:t>
      </w:r>
    </w:p>
    <w:p>
      <w:pPr>
        <w:spacing w:after="0" w:line="224" w:lineRule="exact"/>
        <w:rPr>
          <w:sz w:val="20"/>
          <w:szCs w:val="20"/>
          <w:color w:val="auto"/>
        </w:rPr>
      </w:pPr>
    </w:p>
    <w:p>
      <w:pPr>
        <w:jc w:val="both"/>
        <w:ind w:firstLine="414"/>
        <w:spacing w:after="0" w:line="275" w:lineRule="auto"/>
        <w:rPr>
          <w:sz w:val="20"/>
          <w:szCs w:val="20"/>
          <w:color w:val="auto"/>
        </w:rPr>
      </w:pPr>
      <w:r>
        <w:rPr>
          <w:rFonts w:ascii="Arial" w:cs="Arial" w:eastAsia="Arial" w:hAnsi="Arial"/>
          <w:sz w:val="16"/>
          <w:szCs w:val="16"/>
          <w:color w:val="auto"/>
        </w:rPr>
        <w:t>The Company has a noncontributory defined benefit pension plan (the “Plan”) that covers substantially all U.S. employees excluding U.S. employees of the acquired PF business and a closed noncontributory defined benefit pension plan in the U.S. covering all U.S. PF employees (collectively, the “Plans”). Components of net period pension cost for the Plans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6"/>
          </w:tcPr>
          <w:p>
            <w:pPr>
              <w:ind w:left="120"/>
              <w:spacing w:after="0"/>
              <w:rPr>
                <w:sz w:val="20"/>
                <w:szCs w:val="20"/>
                <w:color w:val="auto"/>
              </w:rPr>
            </w:pPr>
            <w:r>
              <w:rPr>
                <w:rFonts w:ascii="Arial" w:cs="Arial" w:eastAsia="Arial" w:hAnsi="Arial"/>
                <w:sz w:val="17"/>
                <w:szCs w:val="17"/>
                <w:b w:val="1"/>
                <w:bCs w:val="1"/>
                <w:color w:val="auto"/>
              </w:rPr>
              <w:t>First Quarters Ended</w:t>
            </w:r>
          </w:p>
        </w:tc>
      </w:tr>
      <w:tr>
        <w:trPr>
          <w:trHeight w:val="189"/>
        </w:trPr>
        <w:tc>
          <w:tcPr>
            <w:tcW w:w="22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300" w:type="dxa"/>
            <w:vAlign w:val="bottom"/>
            <w:tcBorders>
              <w:top w:val="single" w:sz="8" w:color="auto"/>
            </w:tcBorders>
            <w:gridSpan w:val="3"/>
          </w:tcPr>
          <w:p>
            <w:pPr>
              <w:ind w:left="40"/>
              <w:spacing w:after="0" w:line="189" w:lineRule="exact"/>
              <w:rPr>
                <w:sz w:val="20"/>
                <w:szCs w:val="20"/>
                <w:color w:val="auto"/>
              </w:rPr>
            </w:pPr>
            <w:r>
              <w:rPr>
                <w:rFonts w:ascii="Arial" w:cs="Arial" w:eastAsia="Arial" w:hAnsi="Arial"/>
                <w:sz w:val="17"/>
                <w:szCs w:val="17"/>
                <w:b w:val="1"/>
                <w:bCs w:val="1"/>
                <w:color w:val="auto"/>
              </w:rPr>
              <w:t>September 30,</w:t>
            </w:r>
          </w:p>
        </w:tc>
        <w:tc>
          <w:tcPr>
            <w:tcW w:w="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right"/>
              <w:spacing w:after="0" w:line="189" w:lineRule="exact"/>
              <w:rPr>
                <w:sz w:val="20"/>
                <w:szCs w:val="20"/>
                <w:color w:val="auto"/>
              </w:rPr>
            </w:pPr>
            <w:r>
              <w:rPr>
                <w:rFonts w:ascii="Arial" w:cs="Arial" w:eastAsia="Arial" w:hAnsi="Arial"/>
                <w:sz w:val="17"/>
                <w:szCs w:val="17"/>
                <w:b w:val="1"/>
                <w:bCs w:val="1"/>
                <w:color w:val="auto"/>
                <w:w w:val="97"/>
              </w:rPr>
              <w:t>October 1,</w:t>
            </w:r>
          </w:p>
        </w:tc>
        <w:tc>
          <w:tcPr>
            <w:tcW w:w="40" w:type="dxa"/>
            <w:vAlign w:val="bottom"/>
          </w:tcPr>
          <w:p>
            <w:pPr>
              <w:spacing w:after="0"/>
              <w:rPr>
                <w:sz w:val="16"/>
                <w:szCs w:val="16"/>
                <w:color w:val="auto"/>
              </w:rPr>
            </w:pPr>
          </w:p>
        </w:tc>
      </w:tr>
      <w:tr>
        <w:trPr>
          <w:trHeight w:val="231"/>
        </w:trPr>
        <w:tc>
          <w:tcPr>
            <w:tcW w:w="2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2017</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 xml:space="preserve">2016 </w:t>
            </w:r>
            <w:r>
              <w:rPr>
                <w:rFonts w:ascii="Arial" w:cs="Arial" w:eastAsia="Arial" w:hAnsi="Arial"/>
                <w:sz w:val="8"/>
                <w:szCs w:val="8"/>
                <w:b w:val="1"/>
                <w:bCs w:val="1"/>
                <w:color w:val="auto"/>
              </w:rPr>
              <w:t>(1)</w:t>
            </w:r>
          </w:p>
        </w:tc>
        <w:tc>
          <w:tcPr>
            <w:tcW w:w="40" w:type="dxa"/>
            <w:vAlign w:val="bottom"/>
          </w:tcPr>
          <w:p>
            <w:pPr>
              <w:spacing w:after="0"/>
              <w:rPr>
                <w:sz w:val="20"/>
                <w:szCs w:val="20"/>
                <w:color w:val="auto"/>
              </w:rPr>
            </w:pPr>
          </w:p>
        </w:tc>
      </w:tr>
      <w:tr>
        <w:trPr>
          <w:trHeight w:val="207"/>
        </w:trPr>
        <w:tc>
          <w:tcPr>
            <w:tcW w:w="22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5"/>
          </w:tcPr>
          <w:p>
            <w:pPr>
              <w:jc w:val="right"/>
              <w:ind w:right="574"/>
              <w:spacing w:after="0"/>
              <w:rPr>
                <w:sz w:val="20"/>
                <w:szCs w:val="20"/>
                <w:color w:val="auto"/>
              </w:rPr>
            </w:pPr>
            <w:r>
              <w:rPr>
                <w:rFonts w:ascii="Arial" w:cs="Arial" w:eastAsia="Arial" w:hAnsi="Arial"/>
                <w:sz w:val="17"/>
                <w:szCs w:val="17"/>
                <w:b w:val="1"/>
                <w:bCs w:val="1"/>
                <w:color w:val="auto"/>
              </w:rPr>
              <w:t>(Thousands)</w:t>
            </w:r>
          </w:p>
        </w:tc>
        <w:tc>
          <w:tcPr>
            <w:tcW w:w="40" w:type="dxa"/>
            <w:vAlign w:val="bottom"/>
          </w:tcPr>
          <w:p>
            <w:pPr>
              <w:spacing w:after="0"/>
              <w:rPr>
                <w:sz w:val="17"/>
                <w:szCs w:val="17"/>
                <w:color w:val="auto"/>
              </w:rPr>
            </w:pPr>
          </w:p>
        </w:tc>
      </w:tr>
      <w:tr>
        <w:trPr>
          <w:trHeight w:val="220"/>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Service cost</w:t>
            </w:r>
          </w:p>
        </w:tc>
        <w:tc>
          <w:tcPr>
            <w:tcW w:w="2340" w:type="dxa"/>
            <w:vAlign w:val="bottom"/>
            <w:gridSpan w:val="2"/>
            <w:shd w:val="clear" w:color="auto" w:fill="CCEEFF"/>
          </w:tcPr>
          <w:p>
            <w:pPr>
              <w:jc w:val="right"/>
              <w:ind w:right="39"/>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3,868</w:t>
            </w:r>
          </w:p>
        </w:tc>
        <w:tc>
          <w:tcPr>
            <w:tcW w:w="1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1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10,848</w:t>
            </w:r>
          </w:p>
        </w:tc>
        <w:tc>
          <w:tcPr>
            <w:tcW w:w="40" w:type="dxa"/>
            <w:vAlign w:val="bottom"/>
            <w:shd w:val="clear" w:color="auto" w:fill="CCEEFF"/>
          </w:tcPr>
          <w:p>
            <w:pPr>
              <w:spacing w:after="0"/>
              <w:rPr>
                <w:sz w:val="19"/>
                <w:szCs w:val="19"/>
                <w:color w:val="auto"/>
              </w:rPr>
            </w:pPr>
          </w:p>
        </w:tc>
      </w:tr>
      <w:tr>
        <w:trPr>
          <w:trHeight w:val="220"/>
        </w:trPr>
        <w:tc>
          <w:tcPr>
            <w:tcW w:w="4640" w:type="dxa"/>
            <w:vAlign w:val="bottom"/>
            <w:gridSpan w:val="2"/>
          </w:tcPr>
          <w:p>
            <w:pPr>
              <w:spacing w:after="0"/>
              <w:rPr>
                <w:sz w:val="20"/>
                <w:szCs w:val="20"/>
                <w:color w:val="auto"/>
              </w:rPr>
            </w:pPr>
            <w:r>
              <w:rPr>
                <w:rFonts w:ascii="Arial" w:cs="Arial" w:eastAsia="Arial" w:hAnsi="Arial"/>
                <w:sz w:val="17"/>
                <w:szCs w:val="17"/>
                <w:color w:val="auto"/>
              </w:rPr>
              <w:t>Interest cost</w:t>
            </w: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5,783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3,774</w:t>
            </w:r>
          </w:p>
        </w:tc>
        <w:tc>
          <w:tcPr>
            <w:tcW w:w="40" w:type="dxa"/>
            <w:vAlign w:val="bottom"/>
          </w:tcPr>
          <w:p>
            <w:pPr>
              <w:spacing w:after="0"/>
              <w:rPr>
                <w:sz w:val="19"/>
                <w:szCs w:val="19"/>
                <w:color w:val="auto"/>
              </w:rPr>
            </w:pPr>
          </w:p>
        </w:tc>
      </w:tr>
      <w:tr>
        <w:trPr>
          <w:trHeight w:val="220"/>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2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(13,757)</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(10,588)</w:t>
            </w:r>
          </w:p>
        </w:tc>
        <w:tc>
          <w:tcPr>
            <w:tcW w:w="40" w:type="dxa"/>
            <w:vAlign w:val="bottom"/>
            <w:shd w:val="clear" w:color="auto" w:fill="CCEEFF"/>
          </w:tcPr>
          <w:p>
            <w:pPr>
              <w:spacing w:after="0"/>
              <w:rPr>
                <w:sz w:val="19"/>
                <w:szCs w:val="19"/>
                <w:color w:val="auto"/>
              </w:rPr>
            </w:pPr>
          </w:p>
        </w:tc>
      </w:tr>
      <w:tr>
        <w:trPr>
          <w:trHeight w:val="220"/>
        </w:trPr>
        <w:tc>
          <w:tcPr>
            <w:tcW w:w="4640" w:type="dxa"/>
            <w:vAlign w:val="bottom"/>
            <w:gridSpan w:val="2"/>
          </w:tcPr>
          <w:p>
            <w:pPr>
              <w:spacing w:after="0"/>
              <w:rPr>
                <w:sz w:val="20"/>
                <w:szCs w:val="20"/>
                <w:color w:val="auto"/>
              </w:rPr>
            </w:pPr>
            <w:r>
              <w:rPr>
                <w:rFonts w:ascii="Arial" w:cs="Arial" w:eastAsia="Arial" w:hAnsi="Arial"/>
                <w:sz w:val="17"/>
                <w:szCs w:val="17"/>
                <w:color w:val="auto"/>
              </w:rPr>
              <w:t>Amortization of prior service credits</w:t>
            </w: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(393)</w:t>
            </w:r>
          </w:p>
        </w:tc>
        <w:tc>
          <w:tcPr>
            <w:tcW w:w="40" w:type="dxa"/>
            <w:vAlign w:val="bottom"/>
          </w:tcPr>
          <w:p>
            <w:pPr>
              <w:spacing w:after="0"/>
              <w:rPr>
                <w:sz w:val="19"/>
                <w:szCs w:val="19"/>
                <w:color w:val="auto"/>
              </w:rPr>
            </w:pPr>
          </w:p>
        </w:tc>
      </w:tr>
      <w:tr>
        <w:trPr>
          <w:trHeight w:val="227"/>
        </w:trPr>
        <w:tc>
          <w:tcPr>
            <w:tcW w:w="4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Recognized net actuarial loss</w:t>
            </w:r>
          </w:p>
        </w:tc>
        <w:tc>
          <w:tcPr>
            <w:tcW w:w="2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3,746</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3,851</w:t>
            </w:r>
          </w:p>
        </w:tc>
        <w:tc>
          <w:tcPr>
            <w:tcW w:w="40" w:type="dxa"/>
            <w:vAlign w:val="bottom"/>
            <w:tcBorders>
              <w:bottom w:val="single" w:sz="8" w:color="CCEEFF"/>
            </w:tcBorders>
            <w:shd w:val="clear" w:color="auto" w:fill="CCEEFF"/>
          </w:tcPr>
          <w:p>
            <w:pPr>
              <w:spacing w:after="0"/>
              <w:rPr>
                <w:sz w:val="19"/>
                <w:szCs w:val="19"/>
                <w:color w:val="auto"/>
              </w:rPr>
            </w:pPr>
          </w:p>
        </w:tc>
      </w:tr>
      <w:tr>
        <w:trPr>
          <w:trHeight w:val="199"/>
        </w:trPr>
        <w:tc>
          <w:tcPr>
            <w:tcW w:w="4640" w:type="dxa"/>
            <w:vAlign w:val="bottom"/>
            <w:gridSpan w:val="2"/>
          </w:tcPr>
          <w:p>
            <w:pPr>
              <w:ind w:left="100"/>
              <w:spacing w:after="0" w:line="193" w:lineRule="exact"/>
              <w:rPr>
                <w:sz w:val="20"/>
                <w:szCs w:val="20"/>
                <w:color w:val="auto"/>
              </w:rPr>
            </w:pPr>
            <w:r>
              <w:rPr>
                <w:rFonts w:ascii="Arial" w:cs="Arial" w:eastAsia="Arial" w:hAnsi="Arial"/>
                <w:sz w:val="17"/>
                <w:szCs w:val="17"/>
                <w:color w:val="auto"/>
              </w:rPr>
              <w:t>Net periodic pension (benefit) cost</w:t>
            </w:r>
          </w:p>
        </w:tc>
        <w:tc>
          <w:tcPr>
            <w:tcW w:w="214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(753)</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13"/>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7,492</w:t>
            </w:r>
          </w:p>
        </w:tc>
        <w:tc>
          <w:tcPr>
            <w:tcW w:w="40" w:type="dxa"/>
            <w:vAlign w:val="bottom"/>
          </w:tcPr>
          <w:p>
            <w:pPr>
              <w:spacing w:after="0"/>
              <w:rPr>
                <w:sz w:val="17"/>
                <w:szCs w:val="17"/>
                <w:color w:val="auto"/>
              </w:rPr>
            </w:pPr>
          </w:p>
        </w:tc>
      </w:tr>
      <w:tr>
        <w:trPr>
          <w:trHeight w:val="168"/>
        </w:trPr>
        <w:tc>
          <w:tcPr>
            <w:tcW w:w="2260" w:type="dxa"/>
            <w:vAlign w:val="bottom"/>
            <w:tcBorders>
              <w:bottom w:val="single" w:sz="8" w:color="0D0D0D"/>
            </w:tcBorders>
          </w:tcPr>
          <w:p>
            <w:pPr>
              <w:spacing w:after="0"/>
              <w:rPr>
                <w:sz w:val="14"/>
                <w:szCs w:val="14"/>
                <w:color w:val="auto"/>
              </w:rPr>
            </w:pPr>
          </w:p>
        </w:tc>
        <w:tc>
          <w:tcPr>
            <w:tcW w:w="23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(1)Includes discontinued operations</w:t>
      </w:r>
    </w:p>
    <w:p>
      <w:pPr>
        <w:spacing w:after="0" w:line="231" w:lineRule="exact"/>
        <w:rPr>
          <w:sz w:val="20"/>
          <w:szCs w:val="20"/>
          <w:color w:val="auto"/>
        </w:rPr>
      </w:pPr>
    </w:p>
    <w:p>
      <w:pPr>
        <w:jc w:val="both"/>
        <w:ind w:firstLine="414"/>
        <w:spacing w:after="0" w:line="263" w:lineRule="auto"/>
        <w:rPr>
          <w:sz w:val="20"/>
          <w:szCs w:val="20"/>
          <w:color w:val="auto"/>
        </w:rPr>
      </w:pPr>
      <w:r>
        <w:rPr>
          <w:rFonts w:ascii="Arial" w:cs="Arial" w:eastAsia="Arial" w:hAnsi="Arial"/>
          <w:sz w:val="17"/>
          <w:szCs w:val="17"/>
          <w:color w:val="auto"/>
        </w:rPr>
        <w:t>The Company contributed $8.0 million to the Plans during the first quarter of fiscal 2018 and expects to make an additional contribution to the Plans of $8.0 million in the remainder of fiscal 2018. No contributions were made to the acquired PF plan as that plan has been closed. The Company expects to combine the Plans into a single plan to provide pension benefits to eligible U.S. employees beginning in January 2018.</w:t>
      </w:r>
    </w:p>
    <w:p>
      <w:pPr>
        <w:spacing w:after="0" w:line="178" w:lineRule="exact"/>
        <w:rPr>
          <w:sz w:val="20"/>
          <w:szCs w:val="20"/>
          <w:color w:val="auto"/>
        </w:rPr>
      </w:pPr>
    </w:p>
    <w:p>
      <w:pPr>
        <w:jc w:val="both"/>
        <w:ind w:firstLine="414"/>
        <w:spacing w:after="0" w:line="261" w:lineRule="auto"/>
        <w:rPr>
          <w:sz w:val="20"/>
          <w:szCs w:val="20"/>
          <w:color w:val="auto"/>
        </w:rPr>
      </w:pPr>
      <w:r>
        <w:rPr>
          <w:rFonts w:ascii="Arial" w:cs="Arial" w:eastAsia="Arial" w:hAnsi="Arial"/>
          <w:sz w:val="17"/>
          <w:szCs w:val="17"/>
          <w:color w:val="auto"/>
        </w:rPr>
        <w:t>The Plans meet the definition of defined benefit plans and as a result, the Company applies ASC 715 pension accounting to the Plans. The Plans, however, are cash balance plans that are similar in nature to defined contribution plans in that a participant’s benefit is defined in terms of stated account balances. The cash balance plans provides the Company with the benefit of applying any earnings on the Plan’s investments beyond the fixed return provided to participants, toward the Company’s future cash funding obligations.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5757545" cy="24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4" w:name="page15"/>
    <w:bookmarkEnd w:id="14"/>
    <w:p>
      <w:pPr>
        <w:ind w:left="1"/>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AVNET,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p>
      <w:pPr>
        <w:jc w:val="both"/>
        <w:ind w:left="1" w:firstLine="414"/>
        <w:spacing w:after="0" w:line="268" w:lineRule="auto"/>
        <w:rPr>
          <w:sz w:val="20"/>
          <w:szCs w:val="20"/>
          <w:color w:val="auto"/>
        </w:rPr>
      </w:pPr>
      <w:r>
        <w:rPr>
          <w:rFonts w:ascii="Arial" w:cs="Arial" w:eastAsia="Arial" w:hAnsi="Arial"/>
          <w:sz w:val="17"/>
          <w:szCs w:val="17"/>
          <w:color w:val="auto"/>
        </w:rPr>
        <w:t>Amounts reclassified out of accumulated other comprehensive income (loss), net of tax, to operating expenses during the first quarters of fiscal 2018 and fiscal 2017 were not material and substantially all related to net periodic pension costs including recognition of actuarial losses and amortization of prior service credits.</w:t>
      </w:r>
    </w:p>
    <w:p>
      <w:pPr>
        <w:spacing w:after="0" w:line="173" w:lineRule="exact"/>
        <w:rPr>
          <w:sz w:val="20"/>
          <w:szCs w:val="20"/>
          <w:color w:val="auto"/>
        </w:rPr>
      </w:pPr>
    </w:p>
    <w:p>
      <w:pPr>
        <w:jc w:val="both"/>
        <w:ind w:left="1" w:firstLine="414"/>
        <w:spacing w:after="0" w:line="261" w:lineRule="auto"/>
        <w:rPr>
          <w:sz w:val="20"/>
          <w:szCs w:val="20"/>
          <w:color w:val="auto"/>
        </w:rPr>
      </w:pPr>
      <w:r>
        <w:rPr>
          <w:rFonts w:ascii="Arial" w:cs="Arial" w:eastAsia="Arial" w:hAnsi="Arial"/>
          <w:sz w:val="17"/>
          <w:szCs w:val="17"/>
          <w:color w:val="auto"/>
        </w:rPr>
        <w:t>In connection with the sale of the TS business, a significant number of former employees became terminated vested employees under the Plan. If the aggregate amount of former employee withdrawals from their Plan balances reach a certain threshold during a fiscal year, a settlement charge is required under ASC 715 pension accounting in the period that such aggregate withdrawals exceed the threshold. The Company expects that this threshold will be exceeded in fiscal 2018 resulting in settlement charges of up to approximately $15 million.</w:t>
      </w:r>
    </w:p>
    <w:p>
      <w:pPr>
        <w:spacing w:after="0" w:line="173" w:lineRule="exact"/>
        <w:rPr>
          <w:sz w:val="20"/>
          <w:szCs w:val="20"/>
          <w:color w:val="auto"/>
        </w:rPr>
      </w:pPr>
    </w:p>
    <w:p>
      <w:pPr>
        <w:ind w:left="401" w:right="6800" w:hanging="401"/>
        <w:spacing w:after="0" w:line="580" w:lineRule="auto"/>
        <w:tabs>
          <w:tab w:leader="none" w:pos="25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Shareholders’ equity </w:t>
      </w:r>
      <w:r>
        <w:rPr>
          <w:rFonts w:ascii="Arial" w:cs="Arial" w:eastAsia="Arial" w:hAnsi="Arial"/>
          <w:sz w:val="15"/>
          <w:szCs w:val="15"/>
          <w:i w:val="1"/>
          <w:iCs w:val="1"/>
          <w:color w:val="auto"/>
        </w:rPr>
        <w:t>Share repurchase program</w:t>
      </w:r>
    </w:p>
    <w:p>
      <w:pPr>
        <w:jc w:val="both"/>
        <w:ind w:left="1" w:firstLine="410"/>
        <w:spacing w:after="0" w:line="261" w:lineRule="auto"/>
        <w:rPr>
          <w:sz w:val="20"/>
          <w:szCs w:val="20"/>
          <w:color w:val="auto"/>
        </w:rPr>
      </w:pPr>
      <w:r>
        <w:rPr>
          <w:rFonts w:ascii="Arial" w:cs="Arial" w:eastAsia="Arial" w:hAnsi="Arial"/>
          <w:sz w:val="17"/>
          <w:szCs w:val="17"/>
          <w:color w:val="auto"/>
        </w:rPr>
        <w:t>In February 2017, the Company’s Board of Directors amended the Company’s existing share repurchase program to authorize the repurchase of up to $1.75 billion of common stock in the open market or through privately negotiated transactions. The timing and actual number of shares repurchased will depend on a variety of factors such as share price, corporate and regulatory requirements, and prevailing market conditions. During the three months ended September 30, 2017, the Company repurchased 1.9 million shares under this program for a total cost of $72.1 million.</w:t>
      </w:r>
    </w:p>
    <w:p>
      <w:pPr>
        <w:spacing w:after="0" w:line="179" w:lineRule="exact"/>
        <w:rPr>
          <w:sz w:val="20"/>
          <w:szCs w:val="20"/>
          <w:color w:val="auto"/>
        </w:rPr>
      </w:pPr>
    </w:p>
    <w:p>
      <w:pPr>
        <w:ind w:left="401"/>
        <w:spacing w:after="0"/>
        <w:rPr>
          <w:sz w:val="20"/>
          <w:szCs w:val="20"/>
          <w:color w:val="auto"/>
        </w:rPr>
      </w:pPr>
      <w:r>
        <w:rPr>
          <w:rFonts w:ascii="Arial" w:cs="Arial" w:eastAsia="Arial" w:hAnsi="Arial"/>
          <w:sz w:val="17"/>
          <w:szCs w:val="17"/>
          <w:i w:val="1"/>
          <w:iCs w:val="1"/>
          <w:color w:val="auto"/>
        </w:rPr>
        <w:t>Common stock dividend</w:t>
      </w:r>
    </w:p>
    <w:p>
      <w:pPr>
        <w:spacing w:after="0" w:line="218" w:lineRule="exact"/>
        <w:rPr>
          <w:sz w:val="20"/>
          <w:szCs w:val="20"/>
          <w:color w:val="auto"/>
        </w:rPr>
      </w:pPr>
    </w:p>
    <w:p>
      <w:pPr>
        <w:jc w:val="both"/>
        <w:ind w:left="1" w:firstLine="414"/>
        <w:spacing w:after="0" w:line="283" w:lineRule="auto"/>
        <w:rPr>
          <w:sz w:val="20"/>
          <w:szCs w:val="20"/>
          <w:color w:val="auto"/>
        </w:rPr>
      </w:pPr>
      <w:r>
        <w:rPr>
          <w:rFonts w:ascii="Arial" w:cs="Arial" w:eastAsia="Arial" w:hAnsi="Arial"/>
          <w:sz w:val="17"/>
          <w:szCs w:val="17"/>
          <w:color w:val="auto"/>
        </w:rPr>
        <w:t>In August 2017, the Company’s Board of Directors approved a dividend of $0.18 per common share and dividend payments of $22.0 million were made in September 2017.</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5757545"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1"/>
          </w:cols>
          <w:pgMar w:left="1419" w:top="127" w:right="1419" w:bottom="1440" w:gutter="0" w:footer="0" w:header="0"/>
        </w:sectPr>
      </w:pPr>
    </w:p>
    <w:bookmarkStart w:id="15" w:name="page16"/>
    <w:bookmarkEnd w:id="1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AVNET,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60" w:type="dxa"/>
            <w:vAlign w:val="bottom"/>
          </w:tcPr>
          <w:p>
            <w:pPr>
              <w:spacing w:after="0"/>
              <w:rPr>
                <w:sz w:val="20"/>
                <w:szCs w:val="20"/>
                <w:color w:val="auto"/>
              </w:rPr>
            </w:pPr>
            <w:r>
              <w:rPr>
                <w:rFonts w:ascii="Arial" w:cs="Arial" w:eastAsia="Arial" w:hAnsi="Arial"/>
                <w:sz w:val="17"/>
                <w:szCs w:val="17"/>
                <w:b w:val="1"/>
                <w:bCs w:val="1"/>
                <w:color w:val="auto"/>
              </w:rPr>
              <w:t>11. Earnings per share</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97"/>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7"/>
          </w:tcPr>
          <w:p>
            <w:pPr>
              <w:jc w:val="center"/>
              <w:ind w:right="600"/>
              <w:spacing w:after="0"/>
              <w:rPr>
                <w:sz w:val="20"/>
                <w:szCs w:val="20"/>
                <w:color w:val="auto"/>
              </w:rPr>
            </w:pPr>
            <w:r>
              <w:rPr>
                <w:rFonts w:ascii="Arial" w:cs="Arial" w:eastAsia="Arial" w:hAnsi="Arial"/>
                <w:sz w:val="17"/>
                <w:szCs w:val="17"/>
                <w:b w:val="1"/>
                <w:bCs w:val="1"/>
                <w:color w:val="auto"/>
                <w:w w:val="93"/>
              </w:rPr>
              <w:t>First Quarters Ended</w:t>
            </w:r>
          </w:p>
        </w:tc>
      </w:tr>
      <w:tr>
        <w:trPr>
          <w:trHeight w:val="189"/>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Borders>
              <w:top w:val="single" w:sz="8" w:color="auto"/>
            </w:tcBorders>
            <w:gridSpan w:val="3"/>
          </w:tcPr>
          <w:p>
            <w:pPr>
              <w:jc w:val="right"/>
              <w:ind w:right="34"/>
              <w:spacing w:after="0" w:line="189" w:lineRule="exact"/>
              <w:rPr>
                <w:sz w:val="20"/>
                <w:szCs w:val="20"/>
                <w:color w:val="auto"/>
              </w:rPr>
            </w:pPr>
            <w:r>
              <w:rPr>
                <w:rFonts w:ascii="Arial" w:cs="Arial" w:eastAsia="Arial" w:hAnsi="Arial"/>
                <w:sz w:val="17"/>
                <w:szCs w:val="17"/>
                <w:b w:val="1"/>
                <w:bCs w:val="1"/>
                <w:color w:val="auto"/>
              </w:rPr>
              <w:t>September 30,</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ind w:left="80"/>
              <w:spacing w:after="0" w:line="189" w:lineRule="exact"/>
              <w:rPr>
                <w:sz w:val="20"/>
                <w:szCs w:val="20"/>
                <w:color w:val="auto"/>
              </w:rPr>
            </w:pPr>
            <w:r>
              <w:rPr>
                <w:rFonts w:ascii="Arial" w:cs="Arial" w:eastAsia="Arial" w:hAnsi="Arial"/>
                <w:sz w:val="17"/>
                <w:szCs w:val="17"/>
                <w:b w:val="1"/>
                <w:bCs w:val="1"/>
                <w:color w:val="auto"/>
              </w:rPr>
              <w:t>October 1,</w:t>
            </w:r>
          </w:p>
        </w:tc>
        <w:tc>
          <w:tcPr>
            <w:tcW w:w="40" w:type="dxa"/>
            <w:vAlign w:val="bottom"/>
          </w:tcPr>
          <w:p>
            <w:pPr>
              <w:spacing w:after="0"/>
              <w:rPr>
                <w:sz w:val="16"/>
                <w:szCs w:val="16"/>
                <w:color w:val="auto"/>
              </w:rPr>
            </w:pPr>
          </w:p>
        </w:tc>
      </w:tr>
      <w:tr>
        <w:trPr>
          <w:trHeight w:val="231"/>
        </w:trPr>
        <w:tc>
          <w:tcPr>
            <w:tcW w:w="6060" w:type="dxa"/>
            <w:vAlign w:val="bottom"/>
          </w:tcPr>
          <w:p>
            <w:pPr>
              <w:spacing w:after="0"/>
              <w:rPr>
                <w:sz w:val="20"/>
                <w:szCs w:val="20"/>
                <w:color w:val="auto"/>
              </w:rPr>
            </w:pPr>
          </w:p>
        </w:tc>
        <w:tc>
          <w:tcPr>
            <w:tcW w:w="1500" w:type="dxa"/>
            <w:vAlign w:val="bottom"/>
            <w:gridSpan w:val="4"/>
          </w:tcPr>
          <w:p>
            <w:pPr>
              <w:jc w:val="right"/>
              <w:ind w:right="394"/>
              <w:spacing w:after="0"/>
              <w:rPr>
                <w:sz w:val="20"/>
                <w:szCs w:val="20"/>
                <w:color w:val="auto"/>
              </w:rPr>
            </w:pPr>
            <w:r>
              <w:rPr>
                <w:rFonts w:ascii="Arial" w:cs="Arial" w:eastAsia="Arial" w:hAnsi="Arial"/>
                <w:sz w:val="17"/>
                <w:szCs w:val="17"/>
                <w:b w:val="1"/>
                <w:bCs w:val="1"/>
                <w:color w:val="auto"/>
              </w:rPr>
              <w:t>2017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34"/>
              <w:spacing w:after="0"/>
              <w:rPr>
                <w:sz w:val="20"/>
                <w:szCs w:val="20"/>
                <w:color w:val="auto"/>
              </w:rPr>
            </w:pPr>
            <w:r>
              <w:rPr>
                <w:rFonts w:ascii="Arial" w:cs="Arial" w:eastAsia="Arial" w:hAnsi="Arial"/>
                <w:sz w:val="17"/>
                <w:szCs w:val="17"/>
                <w:b w:val="1"/>
                <w:bCs w:val="1"/>
                <w:color w:val="auto"/>
              </w:rPr>
              <w:t>2016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7"/>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Borders>
              <w:top w:val="single" w:sz="8" w:color="auto"/>
            </w:tcBorders>
            <w:gridSpan w:val="8"/>
          </w:tcPr>
          <w:p>
            <w:pPr>
              <w:jc w:val="center"/>
              <w:spacing w:after="0"/>
              <w:rPr>
                <w:sz w:val="20"/>
                <w:szCs w:val="20"/>
                <w:color w:val="auto"/>
              </w:rPr>
            </w:pPr>
            <w:r>
              <w:rPr>
                <w:rFonts w:ascii="Arial" w:cs="Arial" w:eastAsia="Arial" w:hAnsi="Arial"/>
                <w:sz w:val="17"/>
                <w:szCs w:val="17"/>
                <w:b w:val="1"/>
                <w:bCs w:val="1"/>
                <w:color w:val="auto"/>
                <w:w w:val="90"/>
              </w:rPr>
              <w:t>(Thousands, except per share data)</w:t>
            </w:r>
          </w:p>
        </w:tc>
        <w:tc>
          <w:tcPr>
            <w:tcW w:w="40" w:type="dxa"/>
            <w:vAlign w:val="bottom"/>
          </w:tcPr>
          <w:p>
            <w:pPr>
              <w:spacing w:after="0"/>
              <w:rPr>
                <w:sz w:val="17"/>
                <w:szCs w:val="17"/>
                <w:color w:val="auto"/>
              </w:rPr>
            </w:pPr>
          </w:p>
        </w:tc>
      </w:tr>
      <w:tr>
        <w:trPr>
          <w:trHeight w:val="220"/>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0"/>
        </w:trPr>
        <w:tc>
          <w:tcPr>
            <w:tcW w:w="6060" w:type="dxa"/>
            <w:vAlign w:val="bottom"/>
          </w:tcPr>
          <w:p>
            <w:pPr>
              <w:spacing w:after="0"/>
              <w:rPr>
                <w:sz w:val="20"/>
                <w:szCs w:val="20"/>
                <w:color w:val="auto"/>
              </w:rPr>
            </w:pPr>
            <w:r>
              <w:rPr>
                <w:rFonts w:ascii="Arial" w:cs="Arial" w:eastAsia="Arial" w:hAnsi="Arial"/>
                <w:sz w:val="17"/>
                <w:szCs w:val="17"/>
                <w:color w:val="auto"/>
              </w:rPr>
              <w:t>Income from continuing operations</w:t>
            </w:r>
          </w:p>
        </w:tc>
        <w:tc>
          <w:tcPr>
            <w:tcW w:w="600" w:type="dxa"/>
            <w:vAlign w:val="bottom"/>
            <w:gridSpan w:val="2"/>
          </w:tcPr>
          <w:p>
            <w:pPr>
              <w:jc w:val="right"/>
              <w:ind w:right="23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58,182</w:t>
            </w:r>
          </w:p>
        </w:tc>
        <w:tc>
          <w:tcPr>
            <w:tcW w:w="34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67,688</w:t>
            </w:r>
          </w:p>
        </w:tc>
        <w:tc>
          <w:tcPr>
            <w:tcW w:w="40" w:type="dxa"/>
            <w:vAlign w:val="bottom"/>
          </w:tcPr>
          <w:p>
            <w:pPr>
              <w:spacing w:after="0"/>
              <w:rPr>
                <w:sz w:val="19"/>
                <w:szCs w:val="19"/>
                <w:color w:val="auto"/>
              </w:rPr>
            </w:pPr>
          </w:p>
        </w:tc>
      </w:tr>
      <w:tr>
        <w:trPr>
          <w:trHeight w:val="227"/>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from discontinued operations</w:t>
            </w: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1,155</w:t>
            </w:r>
          </w:p>
        </w:tc>
        <w:tc>
          <w:tcPr>
            <w:tcW w:w="40" w:type="dxa"/>
            <w:vAlign w:val="bottom"/>
            <w:tcBorders>
              <w:bottom w:val="single" w:sz="8" w:color="CCEEFF"/>
            </w:tcBorders>
            <w:shd w:val="clear" w:color="auto" w:fill="CCEEFF"/>
          </w:tcPr>
          <w:p>
            <w:pPr>
              <w:spacing w:after="0"/>
              <w:rPr>
                <w:sz w:val="19"/>
                <w:szCs w:val="19"/>
                <w:color w:val="auto"/>
              </w:rPr>
            </w:pPr>
          </w:p>
        </w:tc>
      </w:tr>
      <w:tr>
        <w:trPr>
          <w:trHeight w:val="199"/>
        </w:trPr>
        <w:tc>
          <w:tcPr>
            <w:tcW w:w="6060" w:type="dxa"/>
            <w:vAlign w:val="bottom"/>
            <w:tcBorders>
              <w:bottom w:val="single" w:sz="8" w:color="CCEEFF"/>
            </w:tcBorders>
          </w:tcPr>
          <w:p>
            <w:pPr>
              <w:spacing w:after="0" w:line="193" w:lineRule="exact"/>
              <w:rPr>
                <w:sz w:val="20"/>
                <w:szCs w:val="20"/>
                <w:color w:val="auto"/>
              </w:rPr>
            </w:pPr>
            <w:r>
              <w:rPr>
                <w:rFonts w:ascii="Arial" w:cs="Arial" w:eastAsia="Arial" w:hAnsi="Arial"/>
                <w:sz w:val="17"/>
                <w:szCs w:val="17"/>
                <w:color w:val="auto"/>
              </w:rPr>
              <w:t>Net income</w:t>
            </w:r>
          </w:p>
        </w:tc>
        <w:tc>
          <w:tcPr>
            <w:tcW w:w="1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34"/>
              <w:spacing w:after="0" w:line="193" w:lineRule="exact"/>
              <w:rPr>
                <w:sz w:val="20"/>
                <w:szCs w:val="20"/>
                <w:color w:val="auto"/>
              </w:rPr>
            </w:pPr>
            <w:r>
              <w:rPr>
                <w:rFonts w:ascii="Arial" w:cs="Arial" w:eastAsia="Arial" w:hAnsi="Arial"/>
                <w:sz w:val="17"/>
                <w:szCs w:val="17"/>
                <w:color w:val="auto"/>
                <w:w w:val="84"/>
              </w:rPr>
              <w:t>$</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58,303</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60"/>
              <w:spacing w:after="0" w:line="193" w:lineRule="exact"/>
              <w:rPr>
                <w:sz w:val="20"/>
                <w:szCs w:val="20"/>
                <w:color w:val="auto"/>
              </w:rPr>
            </w:pPr>
            <w:r>
              <w:rPr>
                <w:rFonts w:ascii="Arial" w:cs="Arial" w:eastAsia="Arial" w:hAnsi="Arial"/>
                <w:sz w:val="17"/>
                <w:szCs w:val="17"/>
                <w:color w:val="auto"/>
              </w:rPr>
              <w:t>68,843</w:t>
            </w:r>
          </w:p>
        </w:tc>
        <w:tc>
          <w:tcPr>
            <w:tcW w:w="40" w:type="dxa"/>
            <w:vAlign w:val="bottom"/>
            <w:tcBorders>
              <w:bottom w:val="single" w:sz="8" w:color="CCEEFF"/>
            </w:tcBorders>
          </w:tcPr>
          <w:p>
            <w:pPr>
              <w:spacing w:after="0"/>
              <w:rPr>
                <w:sz w:val="17"/>
                <w:szCs w:val="17"/>
                <w:color w:val="auto"/>
              </w:rPr>
            </w:pPr>
          </w:p>
        </w:tc>
      </w:tr>
      <w:tr>
        <w:trPr>
          <w:trHeight w:val="207"/>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20"/>
        </w:trPr>
        <w:tc>
          <w:tcPr>
            <w:tcW w:w="6060" w:type="dxa"/>
            <w:vAlign w:val="bottom"/>
          </w:tcPr>
          <w:p>
            <w:pPr>
              <w:spacing w:after="0"/>
              <w:rPr>
                <w:sz w:val="20"/>
                <w:szCs w:val="20"/>
                <w:color w:val="auto"/>
              </w:rPr>
            </w:pPr>
            <w:r>
              <w:rPr>
                <w:rFonts w:ascii="Arial" w:cs="Arial" w:eastAsia="Arial" w:hAnsi="Arial"/>
                <w:sz w:val="17"/>
                <w:szCs w:val="17"/>
                <w:color w:val="auto"/>
              </w:rPr>
              <w:t>Weighted average common shares for basic earnings per share</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122,685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127,531</w:t>
            </w:r>
          </w:p>
        </w:tc>
        <w:tc>
          <w:tcPr>
            <w:tcW w:w="40" w:type="dxa"/>
            <w:vAlign w:val="bottom"/>
          </w:tcPr>
          <w:p>
            <w:pPr>
              <w:spacing w:after="0"/>
              <w:rPr>
                <w:sz w:val="19"/>
                <w:szCs w:val="19"/>
                <w:color w:val="auto"/>
              </w:rPr>
            </w:pPr>
          </w:p>
        </w:tc>
      </w:tr>
      <w:tr>
        <w:trPr>
          <w:trHeight w:val="227"/>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effect of dilutive stock based compensation awards</w:t>
            </w: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1,299</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2,232</w:t>
            </w:r>
          </w:p>
        </w:tc>
        <w:tc>
          <w:tcPr>
            <w:tcW w:w="40" w:type="dxa"/>
            <w:vAlign w:val="bottom"/>
            <w:tcBorders>
              <w:bottom w:val="single" w:sz="8" w:color="CCEEFF"/>
            </w:tcBorders>
            <w:shd w:val="clear" w:color="auto" w:fill="CCEEFF"/>
          </w:tcPr>
          <w:p>
            <w:pPr>
              <w:spacing w:after="0"/>
              <w:rPr>
                <w:sz w:val="19"/>
                <w:szCs w:val="19"/>
                <w:color w:val="auto"/>
              </w:rPr>
            </w:pPr>
          </w:p>
        </w:tc>
      </w:tr>
      <w:tr>
        <w:trPr>
          <w:trHeight w:val="199"/>
        </w:trPr>
        <w:tc>
          <w:tcPr>
            <w:tcW w:w="6060" w:type="dxa"/>
            <w:vAlign w:val="bottom"/>
            <w:tcBorders>
              <w:bottom w:val="single" w:sz="8" w:color="CCEEFF"/>
            </w:tcBorders>
          </w:tcPr>
          <w:p>
            <w:pPr>
              <w:spacing w:after="0" w:line="193" w:lineRule="exact"/>
              <w:rPr>
                <w:sz w:val="20"/>
                <w:szCs w:val="20"/>
                <w:color w:val="auto"/>
              </w:rPr>
            </w:pPr>
            <w:r>
              <w:rPr>
                <w:rFonts w:ascii="Arial" w:cs="Arial" w:eastAsia="Arial" w:hAnsi="Arial"/>
                <w:sz w:val="17"/>
                <w:szCs w:val="17"/>
                <w:color w:val="auto"/>
              </w:rPr>
              <w:t>Weighted average common shares for diluted earnings per share</w:t>
            </w:r>
          </w:p>
        </w:tc>
        <w:tc>
          <w:tcPr>
            <w:tcW w:w="1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123,984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60"/>
              <w:spacing w:after="0" w:line="193" w:lineRule="exact"/>
              <w:rPr>
                <w:sz w:val="20"/>
                <w:szCs w:val="20"/>
                <w:color w:val="auto"/>
              </w:rPr>
            </w:pPr>
            <w:r>
              <w:rPr>
                <w:rFonts w:ascii="Arial" w:cs="Arial" w:eastAsia="Arial" w:hAnsi="Arial"/>
                <w:sz w:val="17"/>
                <w:szCs w:val="17"/>
                <w:color w:val="auto"/>
              </w:rPr>
              <w:t>129,763</w:t>
            </w:r>
          </w:p>
        </w:tc>
        <w:tc>
          <w:tcPr>
            <w:tcW w:w="40" w:type="dxa"/>
            <w:vAlign w:val="bottom"/>
            <w:tcBorders>
              <w:bottom w:val="single" w:sz="8" w:color="CCEEFF"/>
            </w:tcBorders>
          </w:tcPr>
          <w:p>
            <w:pPr>
              <w:spacing w:after="0"/>
              <w:rPr>
                <w:sz w:val="17"/>
                <w:szCs w:val="17"/>
                <w:color w:val="auto"/>
              </w:rPr>
            </w:pPr>
          </w:p>
        </w:tc>
      </w:tr>
      <w:tr>
        <w:trPr>
          <w:trHeight w:val="207"/>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Basic earnings per share - continuing operations</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0.53</w:t>
            </w:r>
          </w:p>
        </w:tc>
        <w:tc>
          <w:tcPr>
            <w:tcW w:w="40" w:type="dxa"/>
            <w:vAlign w:val="bottom"/>
            <w:shd w:val="clear" w:color="auto" w:fill="CCEEFF"/>
          </w:tcPr>
          <w:p>
            <w:pPr>
              <w:spacing w:after="0"/>
              <w:rPr>
                <w:sz w:val="17"/>
                <w:szCs w:val="17"/>
                <w:color w:val="auto"/>
              </w:rPr>
            </w:pPr>
          </w:p>
        </w:tc>
      </w:tr>
      <w:tr>
        <w:trPr>
          <w:trHeight w:val="213"/>
        </w:trPr>
        <w:tc>
          <w:tcPr>
            <w:tcW w:w="60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Basic earnings per share - discontinued operations</w:t>
            </w:r>
          </w:p>
        </w:tc>
        <w:tc>
          <w:tcPr>
            <w:tcW w:w="1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0.01</w:t>
            </w:r>
          </w:p>
        </w:tc>
        <w:tc>
          <w:tcPr>
            <w:tcW w:w="40" w:type="dxa"/>
            <w:vAlign w:val="bottom"/>
            <w:tcBorders>
              <w:bottom w:val="single" w:sz="8" w:color="CCEEFF"/>
            </w:tcBorders>
          </w:tcPr>
          <w:p>
            <w:pPr>
              <w:spacing w:after="0"/>
              <w:rPr>
                <w:sz w:val="18"/>
                <w:szCs w:val="18"/>
                <w:color w:val="auto"/>
              </w:rPr>
            </w:pPr>
          </w:p>
        </w:tc>
      </w:tr>
      <w:tr>
        <w:trPr>
          <w:trHeight w:val="227"/>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Basic earnings per share</w:t>
            </w: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0.48</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0.54</w:t>
            </w:r>
          </w:p>
        </w:tc>
        <w:tc>
          <w:tcPr>
            <w:tcW w:w="40" w:type="dxa"/>
            <w:vAlign w:val="bottom"/>
            <w:tcBorders>
              <w:bottom w:val="single" w:sz="8" w:color="CCEEFF"/>
            </w:tcBorders>
            <w:shd w:val="clear" w:color="auto" w:fill="CCEEFF"/>
          </w:tcPr>
          <w:p>
            <w:pPr>
              <w:spacing w:after="0"/>
              <w:rPr>
                <w:sz w:val="19"/>
                <w:szCs w:val="19"/>
                <w:color w:val="auto"/>
              </w:rPr>
            </w:pPr>
          </w:p>
        </w:tc>
      </w:tr>
      <w:tr>
        <w:trPr>
          <w:trHeight w:val="193"/>
        </w:trPr>
        <w:tc>
          <w:tcPr>
            <w:tcW w:w="6060" w:type="dxa"/>
            <w:vAlign w:val="bottom"/>
          </w:tcPr>
          <w:p>
            <w:pPr>
              <w:spacing w:after="0" w:line="193" w:lineRule="exact"/>
              <w:rPr>
                <w:sz w:val="20"/>
                <w:szCs w:val="20"/>
                <w:color w:val="auto"/>
              </w:rPr>
            </w:pPr>
            <w:r>
              <w:rPr>
                <w:rFonts w:ascii="Arial" w:cs="Arial" w:eastAsia="Arial" w:hAnsi="Arial"/>
                <w:sz w:val="17"/>
                <w:szCs w:val="17"/>
                <w:color w:val="auto"/>
              </w:rPr>
              <w:t>Diluted earnings per share - continuing operations</w:t>
            </w:r>
          </w:p>
        </w:tc>
        <w:tc>
          <w:tcPr>
            <w:tcW w:w="180" w:type="dxa"/>
            <w:vAlign w:val="bottom"/>
          </w:tcPr>
          <w:p>
            <w:pPr>
              <w:spacing w:after="0"/>
              <w:rPr>
                <w:sz w:val="16"/>
                <w:szCs w:val="16"/>
                <w:color w:val="auto"/>
              </w:rPr>
            </w:pPr>
          </w:p>
        </w:tc>
        <w:tc>
          <w:tcPr>
            <w:tcW w:w="420" w:type="dxa"/>
            <w:vAlign w:val="bottom"/>
          </w:tcPr>
          <w:p>
            <w:pPr>
              <w:jc w:val="right"/>
              <w:ind w:right="234"/>
              <w:spacing w:after="0" w:line="193" w:lineRule="exact"/>
              <w:rPr>
                <w:sz w:val="20"/>
                <w:szCs w:val="20"/>
                <w:color w:val="auto"/>
              </w:rPr>
            </w:pPr>
            <w:r>
              <w:rPr>
                <w:rFonts w:ascii="Arial" w:cs="Arial" w:eastAsia="Arial" w:hAnsi="Arial"/>
                <w:sz w:val="17"/>
                <w:szCs w:val="17"/>
                <w:color w:val="auto"/>
                <w:w w:val="84"/>
              </w:rPr>
              <w:t>$</w:t>
            </w:r>
          </w:p>
        </w:tc>
        <w:tc>
          <w:tcPr>
            <w:tcW w:w="140" w:type="dxa"/>
            <w:vAlign w:val="bottom"/>
          </w:tcPr>
          <w:p>
            <w:pPr>
              <w:spacing w:after="0"/>
              <w:rPr>
                <w:sz w:val="16"/>
                <w:szCs w:val="16"/>
                <w:color w:val="auto"/>
              </w:rPr>
            </w:pPr>
          </w:p>
        </w:tc>
        <w:tc>
          <w:tcPr>
            <w:tcW w:w="760" w:type="dxa"/>
            <w:vAlign w:val="bottom"/>
          </w:tcPr>
          <w:p>
            <w:pPr>
              <w:jc w:val="right"/>
              <w:spacing w:after="0" w:line="193" w:lineRule="exact"/>
              <w:rPr>
                <w:sz w:val="20"/>
                <w:szCs w:val="20"/>
                <w:color w:val="auto"/>
              </w:rPr>
            </w:pPr>
            <w:r>
              <w:rPr>
                <w:rFonts w:ascii="Arial" w:cs="Arial" w:eastAsia="Arial" w:hAnsi="Arial"/>
                <w:sz w:val="17"/>
                <w:szCs w:val="17"/>
                <w:color w:val="auto"/>
              </w:rPr>
              <w:t>0.47</w:t>
            </w:r>
          </w:p>
        </w:tc>
        <w:tc>
          <w:tcPr>
            <w:tcW w:w="16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6"/>
                <w:szCs w:val="16"/>
                <w:color w:val="auto"/>
              </w:rPr>
            </w:pPr>
          </w:p>
        </w:tc>
        <w:tc>
          <w:tcPr>
            <w:tcW w:w="940" w:type="dxa"/>
            <w:vAlign w:val="bottom"/>
            <w:gridSpan w:val="2"/>
          </w:tcPr>
          <w:p>
            <w:pPr>
              <w:jc w:val="right"/>
              <w:ind w:right="60"/>
              <w:spacing w:after="0" w:line="193" w:lineRule="exact"/>
              <w:rPr>
                <w:sz w:val="20"/>
                <w:szCs w:val="20"/>
                <w:color w:val="auto"/>
              </w:rPr>
            </w:pPr>
            <w:r>
              <w:rPr>
                <w:rFonts w:ascii="Arial" w:cs="Arial" w:eastAsia="Arial" w:hAnsi="Arial"/>
                <w:sz w:val="17"/>
                <w:szCs w:val="17"/>
                <w:color w:val="auto"/>
              </w:rPr>
              <w:t>0.52</w:t>
            </w:r>
          </w:p>
        </w:tc>
        <w:tc>
          <w:tcPr>
            <w:tcW w:w="40" w:type="dxa"/>
            <w:vAlign w:val="bottom"/>
          </w:tcPr>
          <w:p>
            <w:pPr>
              <w:spacing w:after="0"/>
              <w:rPr>
                <w:sz w:val="16"/>
                <w:szCs w:val="16"/>
                <w:color w:val="auto"/>
              </w:rPr>
            </w:pPr>
          </w:p>
        </w:tc>
      </w:tr>
      <w:tr>
        <w:trPr>
          <w:trHeight w:val="227"/>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Diluted earnings per share - discontinued operations</w:t>
            </w: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0.01</w:t>
            </w:r>
          </w:p>
        </w:tc>
        <w:tc>
          <w:tcPr>
            <w:tcW w:w="40" w:type="dxa"/>
            <w:vAlign w:val="bottom"/>
            <w:tcBorders>
              <w:bottom w:val="single" w:sz="8" w:color="CCEEFF"/>
            </w:tcBorders>
            <w:shd w:val="clear" w:color="auto" w:fill="CCEEFF"/>
          </w:tcPr>
          <w:p>
            <w:pPr>
              <w:spacing w:after="0"/>
              <w:rPr>
                <w:sz w:val="19"/>
                <w:szCs w:val="19"/>
                <w:color w:val="auto"/>
              </w:rPr>
            </w:pPr>
          </w:p>
        </w:tc>
      </w:tr>
      <w:tr>
        <w:trPr>
          <w:trHeight w:val="199"/>
        </w:trPr>
        <w:tc>
          <w:tcPr>
            <w:tcW w:w="6060" w:type="dxa"/>
            <w:vAlign w:val="bottom"/>
            <w:tcBorders>
              <w:bottom w:val="single" w:sz="8" w:color="CCEEFF"/>
            </w:tcBorders>
          </w:tcPr>
          <w:p>
            <w:pPr>
              <w:spacing w:after="0" w:line="193" w:lineRule="exact"/>
              <w:rPr>
                <w:sz w:val="20"/>
                <w:szCs w:val="20"/>
                <w:color w:val="auto"/>
              </w:rPr>
            </w:pPr>
            <w:r>
              <w:rPr>
                <w:rFonts w:ascii="Arial" w:cs="Arial" w:eastAsia="Arial" w:hAnsi="Arial"/>
                <w:sz w:val="17"/>
                <w:szCs w:val="17"/>
                <w:color w:val="auto"/>
              </w:rPr>
              <w:t>Diluted earnings per share</w:t>
            </w:r>
          </w:p>
        </w:tc>
        <w:tc>
          <w:tcPr>
            <w:tcW w:w="1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34"/>
              <w:spacing w:after="0" w:line="193" w:lineRule="exact"/>
              <w:rPr>
                <w:sz w:val="20"/>
                <w:szCs w:val="20"/>
                <w:color w:val="auto"/>
              </w:rPr>
            </w:pPr>
            <w:r>
              <w:rPr>
                <w:rFonts w:ascii="Arial" w:cs="Arial" w:eastAsia="Arial" w:hAnsi="Arial"/>
                <w:sz w:val="17"/>
                <w:szCs w:val="17"/>
                <w:color w:val="auto"/>
                <w:w w:val="84"/>
              </w:rPr>
              <w:t>$</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0.47</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60"/>
              <w:spacing w:after="0" w:line="193" w:lineRule="exact"/>
              <w:rPr>
                <w:sz w:val="20"/>
                <w:szCs w:val="20"/>
                <w:color w:val="auto"/>
              </w:rPr>
            </w:pPr>
            <w:r>
              <w:rPr>
                <w:rFonts w:ascii="Arial" w:cs="Arial" w:eastAsia="Arial" w:hAnsi="Arial"/>
                <w:sz w:val="17"/>
                <w:szCs w:val="17"/>
                <w:color w:val="auto"/>
              </w:rPr>
              <w:t>0.53</w:t>
            </w:r>
          </w:p>
        </w:tc>
        <w:tc>
          <w:tcPr>
            <w:tcW w:w="40" w:type="dxa"/>
            <w:vAlign w:val="bottom"/>
            <w:tcBorders>
              <w:bottom w:val="single" w:sz="8" w:color="CCEEFF"/>
            </w:tcBorders>
          </w:tcPr>
          <w:p>
            <w:pPr>
              <w:spacing w:after="0"/>
              <w:rPr>
                <w:sz w:val="17"/>
                <w:szCs w:val="17"/>
                <w:color w:val="auto"/>
              </w:rPr>
            </w:pPr>
          </w:p>
        </w:tc>
      </w:tr>
      <w:tr>
        <w:trPr>
          <w:trHeight w:val="207"/>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w w:val="95"/>
              </w:rPr>
              <w:t>Stock options excluded from earnings per share calculation due to anti-dilutive effect</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674</w:t>
            </w:r>
          </w:p>
        </w:tc>
        <w:tc>
          <w:tcPr>
            <w:tcW w:w="40" w:type="dxa"/>
            <w:vAlign w:val="bottom"/>
            <w:shd w:val="clear" w:color="auto" w:fill="CCEEFF"/>
          </w:tcPr>
          <w:p>
            <w:pPr>
              <w:spacing w:after="0"/>
              <w:rPr>
                <w:sz w:val="17"/>
                <w:szCs w:val="17"/>
                <w:color w:val="auto"/>
              </w:rPr>
            </w:pPr>
          </w:p>
        </w:tc>
      </w:tr>
      <w:tr>
        <w:trPr>
          <w:trHeight w:val="414"/>
        </w:trPr>
        <w:tc>
          <w:tcPr>
            <w:tcW w:w="6060" w:type="dxa"/>
            <w:vAlign w:val="bottom"/>
          </w:tcPr>
          <w:p>
            <w:pPr>
              <w:ind w:left="400"/>
              <w:spacing w:after="0"/>
              <w:rPr>
                <w:sz w:val="20"/>
                <w:szCs w:val="20"/>
                <w:color w:val="auto"/>
              </w:rPr>
            </w:pPr>
            <w:r>
              <w:rPr>
                <w:rFonts w:ascii="Arial" w:cs="Arial" w:eastAsia="Arial" w:hAnsi="Arial"/>
                <w:sz w:val="17"/>
                <w:szCs w:val="17"/>
                <w:color w:val="auto"/>
                <w:w w:val="96"/>
              </w:rPr>
              <w:t>See Note 3 for additional information on income from discontinued operations.</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0"/>
        </w:trPr>
        <w:tc>
          <w:tcPr>
            <w:tcW w:w="6060" w:type="dxa"/>
            <w:vAlign w:val="bottom"/>
          </w:tcPr>
          <w:p>
            <w:pPr>
              <w:spacing w:after="0"/>
              <w:rPr>
                <w:sz w:val="20"/>
                <w:szCs w:val="20"/>
                <w:color w:val="auto"/>
              </w:rPr>
            </w:pPr>
            <w:r>
              <w:rPr>
                <w:rFonts w:ascii="Arial" w:cs="Arial" w:eastAsia="Arial" w:hAnsi="Arial"/>
                <w:sz w:val="17"/>
                <w:szCs w:val="17"/>
                <w:b w:val="1"/>
                <w:bCs w:val="1"/>
                <w:color w:val="auto"/>
              </w:rPr>
              <w:t>12. Additional cash flow information</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6800" w:type="dxa"/>
            <w:vAlign w:val="bottom"/>
            <w:gridSpan w:val="4"/>
          </w:tcPr>
          <w:p>
            <w:pPr>
              <w:ind w:left="420"/>
              <w:spacing w:after="0"/>
              <w:rPr>
                <w:sz w:val="20"/>
                <w:szCs w:val="20"/>
                <w:color w:val="auto"/>
              </w:rPr>
            </w:pPr>
            <w:r>
              <w:rPr>
                <w:rFonts w:ascii="Arial" w:cs="Arial" w:eastAsia="Arial" w:hAnsi="Arial"/>
                <w:sz w:val="17"/>
                <w:szCs w:val="17"/>
                <w:color w:val="auto"/>
                <w:w w:val="98"/>
              </w:rPr>
              <w:t>Non-cash investing activities and supplemental cash flow information were as follows: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7"/>
          </w:tcPr>
          <w:p>
            <w:pPr>
              <w:ind w:left="220"/>
              <w:spacing w:after="0"/>
              <w:rPr>
                <w:sz w:val="20"/>
                <w:szCs w:val="20"/>
                <w:color w:val="auto"/>
              </w:rPr>
            </w:pPr>
            <w:r>
              <w:rPr>
                <w:rFonts w:ascii="Arial" w:cs="Arial" w:eastAsia="Arial" w:hAnsi="Arial"/>
                <w:sz w:val="17"/>
                <w:szCs w:val="17"/>
                <w:b w:val="1"/>
                <w:bCs w:val="1"/>
                <w:color w:val="auto"/>
              </w:rPr>
              <w:t>Three Months Ended</w:t>
            </w:r>
          </w:p>
        </w:tc>
      </w:tr>
      <w:tr>
        <w:trPr>
          <w:trHeight w:val="189"/>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Borders>
              <w:top w:val="single" w:sz="8" w:color="auto"/>
            </w:tcBorders>
            <w:gridSpan w:val="4"/>
          </w:tcPr>
          <w:p>
            <w:pPr>
              <w:jc w:val="right"/>
              <w:ind w:right="65"/>
              <w:spacing w:after="0" w:line="189" w:lineRule="exact"/>
              <w:rPr>
                <w:sz w:val="20"/>
                <w:szCs w:val="20"/>
                <w:color w:val="auto"/>
              </w:rPr>
            </w:pPr>
            <w:r>
              <w:rPr>
                <w:rFonts w:ascii="Arial" w:cs="Arial" w:eastAsia="Arial" w:hAnsi="Arial"/>
                <w:sz w:val="17"/>
                <w:szCs w:val="17"/>
                <w:b w:val="1"/>
                <w:bCs w:val="1"/>
                <w:color w:val="auto"/>
                <w:w w:val="92"/>
              </w:rPr>
              <w:t>September 30,</w:t>
            </w: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4"/>
              <w:spacing w:after="0" w:line="189" w:lineRule="exact"/>
              <w:rPr>
                <w:sz w:val="20"/>
                <w:szCs w:val="20"/>
                <w:color w:val="auto"/>
              </w:rPr>
            </w:pPr>
            <w:r>
              <w:rPr>
                <w:rFonts w:ascii="Arial" w:cs="Arial" w:eastAsia="Arial" w:hAnsi="Arial"/>
                <w:sz w:val="17"/>
                <w:szCs w:val="17"/>
                <w:b w:val="1"/>
                <w:bCs w:val="1"/>
                <w:color w:val="auto"/>
                <w:w w:val="90"/>
              </w:rPr>
              <w:t>October 1,</w:t>
            </w:r>
          </w:p>
        </w:tc>
        <w:tc>
          <w:tcPr>
            <w:tcW w:w="100" w:type="dxa"/>
            <w:vAlign w:val="bottom"/>
            <w:gridSpan w:val="2"/>
          </w:tcPr>
          <w:p>
            <w:pPr>
              <w:spacing w:after="0"/>
              <w:rPr>
                <w:sz w:val="16"/>
                <w:szCs w:val="16"/>
                <w:color w:val="auto"/>
              </w:rPr>
            </w:pPr>
          </w:p>
        </w:tc>
      </w:tr>
      <w:tr>
        <w:trPr>
          <w:trHeight w:val="231"/>
        </w:trPr>
        <w:tc>
          <w:tcPr>
            <w:tcW w:w="6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2017</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2016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7"/>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5"/>
          </w:tcPr>
          <w:p>
            <w:pPr>
              <w:jc w:val="right"/>
              <w:ind w:right="614"/>
              <w:spacing w:after="0"/>
              <w:rPr>
                <w:sz w:val="20"/>
                <w:szCs w:val="20"/>
                <w:color w:val="auto"/>
              </w:rPr>
            </w:pPr>
            <w:r>
              <w:rPr>
                <w:rFonts w:ascii="Arial" w:cs="Arial" w:eastAsia="Arial" w:hAnsi="Arial"/>
                <w:sz w:val="17"/>
                <w:szCs w:val="17"/>
                <w:b w:val="1"/>
                <w:bCs w:val="1"/>
                <w:color w:val="auto"/>
              </w:rPr>
              <w:t>(Thousands)</w:t>
            </w:r>
          </w:p>
        </w:tc>
        <w:tc>
          <w:tcPr>
            <w:tcW w:w="100" w:type="dxa"/>
            <w:vAlign w:val="bottom"/>
            <w:gridSpan w:val="2"/>
          </w:tcPr>
          <w:p>
            <w:pPr>
              <w:spacing w:after="0"/>
              <w:rPr>
                <w:sz w:val="18"/>
                <w:szCs w:val="18"/>
                <w:color w:val="auto"/>
              </w:rPr>
            </w:pPr>
          </w:p>
        </w:tc>
      </w:tr>
      <w:tr>
        <w:trPr>
          <w:trHeight w:val="219"/>
        </w:trPr>
        <w:tc>
          <w:tcPr>
            <w:tcW w:w="6060" w:type="dxa"/>
            <w:vAlign w:val="bottom"/>
          </w:tcPr>
          <w:p>
            <w:pPr>
              <w:spacing w:after="0"/>
              <w:rPr>
                <w:sz w:val="20"/>
                <w:szCs w:val="20"/>
                <w:color w:val="auto"/>
              </w:rPr>
            </w:pPr>
            <w:r>
              <w:rPr>
                <w:rFonts w:ascii="Arial" w:cs="Arial" w:eastAsia="Arial" w:hAnsi="Arial"/>
                <w:sz w:val="17"/>
                <w:szCs w:val="17"/>
                <w:color w:val="auto"/>
              </w:rPr>
              <w:t>Non-cash Investing Activities:</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6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Capital expenditures incurred but not paid</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65"/>
              <w:spacing w:after="0"/>
              <w:rPr>
                <w:sz w:val="20"/>
                <w:szCs w:val="20"/>
                <w:color w:val="auto"/>
              </w:rPr>
            </w:pPr>
            <w:r>
              <w:rPr>
                <w:rFonts w:ascii="Arial" w:cs="Arial" w:eastAsia="Arial" w:hAnsi="Arial"/>
                <w:sz w:val="17"/>
                <w:szCs w:val="17"/>
                <w:color w:val="auto"/>
              </w:rPr>
              <w:t>23,176</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0"/>
        </w:trPr>
        <w:tc>
          <w:tcPr>
            <w:tcW w:w="6060" w:type="dxa"/>
            <w:vAlign w:val="bottom"/>
          </w:tcPr>
          <w:p>
            <w:pPr>
              <w:spacing w:after="0"/>
              <w:rPr>
                <w:sz w:val="20"/>
                <w:szCs w:val="20"/>
                <w:color w:val="auto"/>
              </w:rPr>
            </w:pPr>
            <w:r>
              <w:rPr>
                <w:rFonts w:ascii="Arial" w:cs="Arial" w:eastAsia="Arial" w:hAnsi="Arial"/>
                <w:sz w:val="17"/>
                <w:szCs w:val="17"/>
                <w:color w:val="auto"/>
              </w:rPr>
              <w:t>Supplemental Cash Flow Information:</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60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Interest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65"/>
              <w:spacing w:after="0"/>
              <w:rPr>
                <w:sz w:val="20"/>
                <w:szCs w:val="20"/>
                <w:color w:val="auto"/>
              </w:rPr>
            </w:pPr>
            <w:r>
              <w:rPr>
                <w:rFonts w:ascii="Arial" w:cs="Arial" w:eastAsia="Arial" w:hAnsi="Arial"/>
                <w:sz w:val="17"/>
                <w:szCs w:val="17"/>
                <w:color w:val="auto"/>
              </w:rPr>
              <w:t>5,107</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18,840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0"/>
        </w:trPr>
        <w:tc>
          <w:tcPr>
            <w:tcW w:w="6060" w:type="dxa"/>
            <w:vAlign w:val="bottom"/>
          </w:tcPr>
          <w:p>
            <w:pPr>
              <w:ind w:left="100"/>
              <w:spacing w:after="0"/>
              <w:rPr>
                <w:sz w:val="20"/>
                <w:szCs w:val="20"/>
                <w:color w:val="auto"/>
              </w:rPr>
            </w:pPr>
            <w:r>
              <w:rPr>
                <w:rFonts w:ascii="Arial" w:cs="Arial" w:eastAsia="Arial" w:hAnsi="Arial"/>
                <w:sz w:val="17"/>
                <w:szCs w:val="17"/>
                <w:color w:val="auto"/>
              </w:rPr>
              <w:t>Income taxes</w:t>
            </w: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3"/>
          </w:tcPr>
          <w:p>
            <w:pPr>
              <w:jc w:val="right"/>
              <w:ind w:right="65"/>
              <w:spacing w:after="0"/>
              <w:rPr>
                <w:sz w:val="20"/>
                <w:szCs w:val="20"/>
                <w:color w:val="auto"/>
              </w:rPr>
            </w:pPr>
            <w:r>
              <w:rPr>
                <w:rFonts w:ascii="Arial" w:cs="Arial" w:eastAsia="Arial" w:hAnsi="Arial"/>
                <w:sz w:val="17"/>
                <w:szCs w:val="17"/>
                <w:color w:val="auto"/>
              </w:rPr>
              <w:t>18,362</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15,216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194" w:lineRule="exact"/>
        <w:rPr>
          <w:sz w:val="20"/>
          <w:szCs w:val="20"/>
          <w:color w:val="auto"/>
        </w:rPr>
      </w:pPr>
    </w:p>
    <w:p>
      <w:pPr>
        <w:jc w:val="both"/>
        <w:ind w:firstLine="414"/>
        <w:spacing w:after="0" w:line="268" w:lineRule="auto"/>
        <w:rPr>
          <w:sz w:val="20"/>
          <w:szCs w:val="20"/>
          <w:color w:val="auto"/>
        </w:rPr>
      </w:pPr>
      <w:r>
        <w:rPr>
          <w:rFonts w:ascii="Arial" w:cs="Arial" w:eastAsia="Arial" w:hAnsi="Arial"/>
          <w:sz w:val="17"/>
          <w:szCs w:val="17"/>
          <w:color w:val="auto"/>
        </w:rPr>
        <w:t>Non-cash financing activities of $4.0 million related to share repurchases that have been accrued, but not yet paid for as of September 30, 2017. Non-cash investing activities of $4.1 million related to share sales that have been accrued, but not yet received, as of September 30, 2017.</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5757545"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6" w:name="page17"/>
    <w:bookmarkEnd w:id="16"/>
    <w:p>
      <w:pPr>
        <w:ind w:left="1"/>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AVNET,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6" w:lineRule="exact"/>
        <w:rPr>
          <w:sz w:val="20"/>
          <w:szCs w:val="20"/>
          <w:color w:val="auto"/>
        </w:rPr>
      </w:pPr>
    </w:p>
    <w:p>
      <w:pPr>
        <w:jc w:val="both"/>
        <w:ind w:left="1" w:firstLine="414"/>
        <w:spacing w:after="0" w:line="268" w:lineRule="auto"/>
        <w:rPr>
          <w:sz w:val="20"/>
          <w:szCs w:val="20"/>
          <w:color w:val="auto"/>
        </w:rPr>
      </w:pPr>
      <w:r>
        <w:rPr>
          <w:rFonts w:ascii="Arial" w:cs="Arial" w:eastAsia="Arial" w:hAnsi="Arial"/>
          <w:sz w:val="17"/>
          <w:szCs w:val="17"/>
          <w:color w:val="auto"/>
        </w:rPr>
        <w:t>Included in cash and cash equivalents as of September 30, 2017, and July 1, 2017, was $5.5 million and $208.3 million, respectively, of cash equivalents, which was primarily comprised of investment grade money market funds and overnight time deposits.</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13. Segment information</w:t>
      </w:r>
    </w:p>
    <w:p>
      <w:pPr>
        <w:spacing w:after="0" w:line="224" w:lineRule="exact"/>
        <w:rPr>
          <w:sz w:val="20"/>
          <w:szCs w:val="20"/>
          <w:color w:val="auto"/>
        </w:rPr>
      </w:pPr>
    </w:p>
    <w:p>
      <w:pPr>
        <w:jc w:val="both"/>
        <w:ind w:left="1" w:firstLine="410"/>
        <w:spacing w:after="0" w:line="263" w:lineRule="auto"/>
        <w:rPr>
          <w:sz w:val="20"/>
          <w:szCs w:val="20"/>
          <w:color w:val="auto"/>
        </w:rPr>
      </w:pPr>
      <w:r>
        <w:rPr>
          <w:rFonts w:ascii="Arial" w:cs="Arial" w:eastAsia="Arial" w:hAnsi="Arial"/>
          <w:sz w:val="17"/>
          <w:szCs w:val="17"/>
          <w:color w:val="auto"/>
        </w:rPr>
        <w:t>Electronic Components (“EC”) and Premier Farnell (“PF”) are the Company’s reportable segments (“operating groups”). EC markets and sells semiconductors and interconnect, passive and electromechanical devices and integrated components to a diverse customer base serving many end-markets. PF distributes electronic components and related products to the electronic system design community utilizing multi-channel sales and marketing resources.</w:t>
      </w:r>
    </w:p>
    <w:p>
      <w:pPr>
        <w:spacing w:after="0" w:line="172" w:lineRule="exact"/>
        <w:rPr>
          <w:sz w:val="20"/>
          <w:szCs w:val="20"/>
          <w:color w:val="auto"/>
        </w:rPr>
      </w:pPr>
    </w:p>
    <w:tbl>
      <w:tblPr>
        <w:tblLayout w:type="fixed"/>
        <w:tblInd w:w="1"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tcPr>
          <w:p>
            <w:pPr>
              <w:ind w:left="280"/>
              <w:spacing w:after="0"/>
              <w:rPr>
                <w:sz w:val="20"/>
                <w:szCs w:val="20"/>
                <w:color w:val="auto"/>
              </w:rPr>
            </w:pPr>
            <w:r>
              <w:rPr>
                <w:rFonts w:ascii="Arial" w:cs="Arial" w:eastAsia="Arial" w:hAnsi="Arial"/>
                <w:sz w:val="17"/>
                <w:szCs w:val="17"/>
                <w:b w:val="1"/>
                <w:bCs w:val="1"/>
                <w:color w:val="auto"/>
              </w:rPr>
              <w:t>First Quarters Ended</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Borders>
              <w:top w:val="single" w:sz="8" w:color="auto"/>
            </w:tcBorders>
            <w:gridSpan w:val="2"/>
          </w:tcPr>
          <w:p>
            <w:pPr>
              <w:jc w:val="right"/>
              <w:spacing w:after="0" w:line="150" w:lineRule="exact"/>
              <w:rPr>
                <w:sz w:val="20"/>
                <w:szCs w:val="20"/>
                <w:color w:val="auto"/>
              </w:rPr>
            </w:pPr>
            <w:r>
              <w:rPr>
                <w:rFonts w:ascii="Arial" w:cs="Arial" w:eastAsia="Arial" w:hAnsi="Arial"/>
                <w:sz w:val="17"/>
                <w:szCs w:val="17"/>
                <w:b w:val="1"/>
                <w:bCs w:val="1"/>
                <w:color w:val="auto"/>
                <w:w w:val="92"/>
              </w:rPr>
              <w:t>September 30,</w:t>
            </w:r>
          </w:p>
        </w:tc>
        <w:tc>
          <w:tcPr>
            <w:tcW w:w="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94"/>
              <w:spacing w:after="0" w:line="150" w:lineRule="exact"/>
              <w:rPr>
                <w:sz w:val="20"/>
                <w:szCs w:val="20"/>
                <w:color w:val="auto"/>
              </w:rPr>
            </w:pPr>
            <w:r>
              <w:rPr>
                <w:rFonts w:ascii="Arial" w:cs="Arial" w:eastAsia="Arial" w:hAnsi="Arial"/>
                <w:sz w:val="17"/>
                <w:szCs w:val="17"/>
                <w:b w:val="1"/>
                <w:bCs w:val="1"/>
                <w:color w:val="auto"/>
                <w:w w:val="95"/>
              </w:rPr>
              <w:t>October 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2017</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40" w:type="dxa"/>
            <w:vAlign w:val="bottom"/>
            <w:gridSpan w:val="2"/>
            <w:vMerge w:val="restart"/>
          </w:tcPr>
          <w:p>
            <w:pPr>
              <w:spacing w:after="0"/>
              <w:rPr>
                <w:sz w:val="20"/>
                <w:szCs w:val="20"/>
                <w:color w:val="auto"/>
              </w:rPr>
            </w:pPr>
            <w:r>
              <w:rPr>
                <w:rFonts w:ascii="Arial" w:cs="Arial" w:eastAsia="Arial" w:hAnsi="Arial"/>
                <w:sz w:val="17"/>
                <w:szCs w:val="17"/>
                <w:color w:val="auto"/>
              </w:rPr>
              <w:t>Sales:</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gridSpan w:val="4"/>
          </w:tcPr>
          <w:p>
            <w:pPr>
              <w:jc w:val="right"/>
              <w:ind w:right="774"/>
              <w:spacing w:after="0"/>
              <w:rPr>
                <w:sz w:val="20"/>
                <w:szCs w:val="20"/>
                <w:color w:val="auto"/>
              </w:rPr>
            </w:pPr>
            <w:r>
              <w:rPr>
                <w:rFonts w:ascii="Arial" w:cs="Arial" w:eastAsia="Arial" w:hAnsi="Arial"/>
                <w:sz w:val="17"/>
                <w:szCs w:val="17"/>
                <w:b w:val="1"/>
                <w:bCs w:val="1"/>
                <w:color w:val="auto"/>
              </w:rPr>
              <w:t>(Thousands)</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4940" w:type="dxa"/>
            <w:vAlign w:val="bottom"/>
            <w:gridSpan w:val="2"/>
            <w:vMerge w:val="continue"/>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20" w:type="dxa"/>
            <w:vAlign w:val="bottom"/>
            <w:shd w:val="clear" w:color="auto" w:fill="CCEEFF"/>
          </w:tcPr>
          <w:p>
            <w:pPr>
              <w:spacing w:after="0" w:line="181" w:lineRule="exact"/>
              <w:rPr>
                <w:sz w:val="20"/>
                <w:szCs w:val="20"/>
                <w:color w:val="auto"/>
              </w:rPr>
            </w:pPr>
            <w:r>
              <w:rPr>
                <w:rFonts w:ascii="Arial" w:cs="Arial" w:eastAsia="Arial" w:hAnsi="Arial"/>
                <w:sz w:val="17"/>
                <w:szCs w:val="17"/>
                <w:color w:val="auto"/>
              </w:rPr>
              <w:t>Electronic Components</w:t>
            </w:r>
          </w:p>
        </w:tc>
        <w:tc>
          <w:tcPr>
            <w:tcW w:w="1580" w:type="dxa"/>
            <w:vAlign w:val="bottom"/>
            <w:gridSpan w:val="2"/>
            <w:shd w:val="clear" w:color="auto" w:fill="CCEEFF"/>
          </w:tcPr>
          <w:p>
            <w:pPr>
              <w:jc w:val="right"/>
              <w:ind w:right="81"/>
              <w:spacing w:after="0" w:line="181"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4,307,251</w:t>
            </w:r>
          </w:p>
        </w:tc>
        <w:tc>
          <w:tcPr>
            <w:tcW w:w="5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4,118,104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20" w:type="dxa"/>
            <w:vAlign w:val="bottom"/>
          </w:tcPr>
          <w:p>
            <w:pPr>
              <w:spacing w:after="0" w:line="181" w:lineRule="exact"/>
              <w:rPr>
                <w:sz w:val="20"/>
                <w:szCs w:val="20"/>
                <w:color w:val="auto"/>
              </w:rPr>
            </w:pPr>
            <w:r>
              <w:rPr>
                <w:rFonts w:ascii="Arial" w:cs="Arial" w:eastAsia="Arial" w:hAnsi="Arial"/>
                <w:sz w:val="17"/>
                <w:szCs w:val="17"/>
                <w:color w:val="auto"/>
              </w:rPr>
              <w:t>Premier Farnell</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7"/>
                <w:szCs w:val="17"/>
                <w:color w:val="auto"/>
              </w:rPr>
              <w:t>353,692</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00"/>
              <w:spacing w:after="0" w:line="181"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4,660,943</w:t>
            </w: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4,118,104</w:t>
            </w: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20" w:type="dxa"/>
            <w:vAlign w:val="bottom"/>
          </w:tcPr>
          <w:p>
            <w:pPr>
              <w:spacing w:after="0" w:line="181" w:lineRule="exact"/>
              <w:rPr>
                <w:sz w:val="20"/>
                <w:szCs w:val="20"/>
                <w:color w:val="auto"/>
              </w:rPr>
            </w:pPr>
            <w:r>
              <w:rPr>
                <w:rFonts w:ascii="Arial" w:cs="Arial" w:eastAsia="Arial" w:hAnsi="Arial"/>
                <w:sz w:val="17"/>
                <w:szCs w:val="17"/>
                <w:color w:val="auto"/>
              </w:rPr>
              <w:t>Operating income (loss):</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20" w:type="dxa"/>
            <w:vAlign w:val="bottom"/>
            <w:shd w:val="clear" w:color="auto" w:fill="CCEEFF"/>
          </w:tcPr>
          <w:p>
            <w:pPr>
              <w:spacing w:after="0" w:line="181" w:lineRule="exact"/>
              <w:rPr>
                <w:sz w:val="20"/>
                <w:szCs w:val="20"/>
                <w:color w:val="auto"/>
              </w:rPr>
            </w:pPr>
            <w:r>
              <w:rPr>
                <w:rFonts w:ascii="Arial" w:cs="Arial" w:eastAsia="Arial" w:hAnsi="Arial"/>
                <w:sz w:val="17"/>
                <w:szCs w:val="17"/>
                <w:color w:val="auto"/>
              </w:rPr>
              <w:t>Electronic Components</w:t>
            </w:r>
          </w:p>
        </w:tc>
        <w:tc>
          <w:tcPr>
            <w:tcW w:w="1580" w:type="dxa"/>
            <w:vAlign w:val="bottom"/>
            <w:gridSpan w:val="2"/>
            <w:shd w:val="clear" w:color="auto" w:fill="CCEEFF"/>
          </w:tcPr>
          <w:p>
            <w:pPr>
              <w:jc w:val="right"/>
              <w:ind w:right="81"/>
              <w:spacing w:after="0" w:line="181"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139,601</w:t>
            </w:r>
          </w:p>
        </w:tc>
        <w:tc>
          <w:tcPr>
            <w:tcW w:w="50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185,051</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20" w:type="dxa"/>
            <w:vAlign w:val="bottom"/>
          </w:tcPr>
          <w:p>
            <w:pPr>
              <w:spacing w:after="0" w:line="181" w:lineRule="exact"/>
              <w:rPr>
                <w:sz w:val="20"/>
                <w:szCs w:val="20"/>
                <w:color w:val="auto"/>
              </w:rPr>
            </w:pPr>
            <w:r>
              <w:rPr>
                <w:rFonts w:ascii="Arial" w:cs="Arial" w:eastAsia="Arial" w:hAnsi="Arial"/>
                <w:sz w:val="17"/>
                <w:szCs w:val="17"/>
                <w:color w:val="auto"/>
              </w:rPr>
              <w:t>Premier Farnell</w:t>
            </w: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7"/>
                <w:szCs w:val="17"/>
                <w:color w:val="auto"/>
              </w:rPr>
              <w:t>34,795</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00"/>
              <w:spacing w:after="0" w:line="181"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174,396</w:t>
            </w: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185,051</w:t>
            </w: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 xml:space="preserve">Corporate </w:t>
            </w:r>
            <w:r>
              <w:rPr>
                <w:rFonts w:ascii="Arial" w:cs="Arial" w:eastAsia="Arial" w:hAnsi="Arial"/>
                <w:sz w:val="8"/>
                <w:szCs w:val="8"/>
                <w:color w:val="auto"/>
              </w:rPr>
              <w:t>(1)</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(32,462)</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(23,690)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20" w:type="dxa"/>
            <w:vAlign w:val="bottom"/>
            <w:shd w:val="clear" w:color="auto" w:fill="CCEEFF"/>
          </w:tcPr>
          <w:p>
            <w:pPr>
              <w:spacing w:after="0" w:line="181" w:lineRule="exact"/>
              <w:rPr>
                <w:sz w:val="20"/>
                <w:szCs w:val="20"/>
                <w:color w:val="auto"/>
              </w:rPr>
            </w:pPr>
            <w:r>
              <w:rPr>
                <w:rFonts w:ascii="Arial" w:cs="Arial" w:eastAsia="Arial" w:hAnsi="Arial"/>
                <w:sz w:val="17"/>
                <w:szCs w:val="17"/>
                <w:color w:val="auto"/>
              </w:rPr>
              <w:t>Restructuring, integration and other expenses</w:t>
            </w:r>
          </w:p>
        </w:tc>
        <w:tc>
          <w:tcPr>
            <w:tcW w:w="1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(46,394)</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(29,469)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20" w:type="dxa"/>
            <w:vAlign w:val="bottom"/>
            <w:tcBorders>
              <w:bottom w:val="single" w:sz="8" w:color="CCEEFF"/>
            </w:tcBorders>
          </w:tcPr>
          <w:p>
            <w:pPr>
              <w:spacing w:after="0" w:line="181" w:lineRule="exact"/>
              <w:rPr>
                <w:sz w:val="20"/>
                <w:szCs w:val="20"/>
                <w:color w:val="auto"/>
              </w:rPr>
            </w:pPr>
            <w:r>
              <w:rPr>
                <w:rFonts w:ascii="Arial" w:cs="Arial" w:eastAsia="Arial" w:hAnsi="Arial"/>
                <w:sz w:val="17"/>
                <w:szCs w:val="17"/>
                <w:color w:val="auto"/>
              </w:rPr>
              <w:t>Amortization of acquired intangible assets and other</w:t>
            </w:r>
          </w:p>
        </w:tc>
        <w:tc>
          <w:tcPr>
            <w:tcW w:w="1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(25,585)</w:t>
            </w:r>
          </w:p>
        </w:tc>
        <w:tc>
          <w:tcPr>
            <w:tcW w:w="3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7"/>
                <w:szCs w:val="17"/>
                <w:color w:val="auto"/>
              </w:rPr>
              <w:t>(2,378)</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2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7"/>
                <w:szCs w:val="17"/>
                <w:color w:val="auto"/>
              </w:rPr>
              <w:t>Operating Income</w:t>
            </w:r>
          </w:p>
        </w:tc>
        <w:tc>
          <w:tcPr>
            <w:tcW w:w="13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69,955</w:t>
            </w: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129,514</w:t>
            </w: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49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920" w:type="dxa"/>
            <w:vAlign w:val="bottom"/>
            <w:shd w:val="clear" w:color="auto" w:fill="CCEEFF"/>
          </w:tcPr>
          <w:p>
            <w:pPr>
              <w:spacing w:after="0" w:line="181" w:lineRule="exact"/>
              <w:rPr>
                <w:sz w:val="20"/>
                <w:szCs w:val="20"/>
                <w:color w:val="auto"/>
              </w:rPr>
            </w:pPr>
            <w:r>
              <w:rPr>
                <w:rFonts w:ascii="Arial" w:cs="Arial" w:eastAsia="Arial" w:hAnsi="Arial"/>
                <w:sz w:val="17"/>
                <w:szCs w:val="17"/>
                <w:color w:val="auto"/>
              </w:rPr>
              <w:t>Sales, by geographic area:</w:t>
            </w:r>
          </w:p>
        </w:tc>
        <w:tc>
          <w:tcPr>
            <w:tcW w:w="1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 xml:space="preserve">Americas </w:t>
            </w:r>
            <w:r>
              <w:rPr>
                <w:rFonts w:ascii="Arial" w:cs="Arial" w:eastAsia="Arial" w:hAnsi="Arial"/>
                <w:sz w:val="8"/>
                <w:szCs w:val="8"/>
                <w:color w:val="auto"/>
              </w:rPr>
              <w:t>(2)</w:t>
            </w:r>
          </w:p>
        </w:tc>
        <w:tc>
          <w:tcPr>
            <w:tcW w:w="1580" w:type="dxa"/>
            <w:vAlign w:val="bottom"/>
            <w:gridSpan w:val="2"/>
          </w:tcPr>
          <w:p>
            <w:pPr>
              <w:jc w:val="right"/>
              <w:ind w:right="81"/>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1,185,485</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1,250,508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20" w:type="dxa"/>
            <w:vAlign w:val="bottom"/>
            <w:shd w:val="clear" w:color="auto" w:fill="CCEEFF"/>
          </w:tcPr>
          <w:p>
            <w:pPr>
              <w:ind w:left="80"/>
              <w:spacing w:after="0"/>
              <w:rPr>
                <w:sz w:val="20"/>
                <w:szCs w:val="20"/>
                <w:color w:val="auto"/>
              </w:rPr>
            </w:pPr>
            <w:r>
              <w:rPr>
                <w:rFonts w:ascii="Arial" w:cs="Arial" w:eastAsia="Arial" w:hAnsi="Arial"/>
                <w:sz w:val="17"/>
                <w:szCs w:val="17"/>
                <w:color w:val="auto"/>
              </w:rPr>
              <w:t xml:space="preserve">EMEA </w:t>
            </w:r>
            <w:r>
              <w:rPr>
                <w:rFonts w:ascii="Arial" w:cs="Arial" w:eastAsia="Arial" w:hAnsi="Arial"/>
                <w:sz w:val="8"/>
                <w:szCs w:val="8"/>
                <w:color w:val="auto"/>
              </w:rPr>
              <w:t>(3)</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1,692,985</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1,265,294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20" w:type="dxa"/>
            <w:vAlign w:val="bottom"/>
            <w:tcBorders>
              <w:bottom w:val="single" w:sz="8" w:color="CCEEFF"/>
            </w:tcBorders>
          </w:tcPr>
          <w:p>
            <w:pPr>
              <w:ind w:left="80"/>
              <w:spacing w:after="0" w:line="194" w:lineRule="exact"/>
              <w:rPr>
                <w:sz w:val="20"/>
                <w:szCs w:val="20"/>
                <w:color w:val="auto"/>
              </w:rPr>
            </w:pPr>
            <w:r>
              <w:rPr>
                <w:rFonts w:ascii="Arial" w:cs="Arial" w:eastAsia="Arial" w:hAnsi="Arial"/>
                <w:sz w:val="17"/>
                <w:szCs w:val="17"/>
                <w:color w:val="auto"/>
              </w:rPr>
              <w:t xml:space="preserve">Asia/Pacific </w:t>
            </w:r>
            <w:r>
              <w:rPr>
                <w:rFonts w:ascii="Arial" w:cs="Arial" w:eastAsia="Arial" w:hAnsi="Arial"/>
                <w:sz w:val="8"/>
                <w:szCs w:val="8"/>
                <w:color w:val="auto"/>
              </w:rPr>
              <w:t>(4)</w:t>
            </w:r>
          </w:p>
        </w:tc>
        <w:tc>
          <w:tcPr>
            <w:tcW w:w="13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1,782,473</w:t>
            </w:r>
          </w:p>
        </w:tc>
        <w:tc>
          <w:tcPr>
            <w:tcW w:w="3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1,602,302</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20" w:type="dxa"/>
            <w:vAlign w:val="bottom"/>
            <w:tcBorders>
              <w:bottom w:val="single" w:sz="8" w:color="CCEEFF"/>
            </w:tcBorders>
            <w:shd w:val="clear" w:color="auto" w:fill="CCEEFF"/>
          </w:tcPr>
          <w:p>
            <w:pPr>
              <w:spacing w:after="0" w:line="181" w:lineRule="exact"/>
              <w:rPr>
                <w:sz w:val="20"/>
                <w:szCs w:val="20"/>
                <w:color w:val="auto"/>
              </w:rPr>
            </w:pPr>
            <w:r>
              <w:rPr>
                <w:rFonts w:ascii="Arial" w:cs="Arial" w:eastAsia="Arial" w:hAnsi="Arial"/>
                <w:sz w:val="17"/>
                <w:szCs w:val="17"/>
                <w:color w:val="auto"/>
              </w:rPr>
              <w:t>Sales</w:t>
            </w:r>
          </w:p>
        </w:tc>
        <w:tc>
          <w:tcPr>
            <w:tcW w:w="13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4,660,943</w:t>
            </w: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4,118,104</w:t>
            </w: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156210</wp:posOffset>
            </wp:positionV>
            <wp:extent cx="14376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37640" cy="8255"/>
                    </a:xfrm>
                    <a:prstGeom prst="rect">
                      <a:avLst/>
                    </a:prstGeom>
                    <a:noFill/>
                  </pic:spPr>
                </pic:pic>
              </a:graphicData>
            </a:graphic>
          </wp:anchor>
        </w:drawing>
      </w:r>
    </w:p>
    <w:p>
      <w:pPr>
        <w:spacing w:after="0" w:line="330" w:lineRule="exact"/>
        <w:rPr>
          <w:sz w:val="20"/>
          <w:szCs w:val="20"/>
          <w:color w:val="auto"/>
        </w:rPr>
      </w:pPr>
    </w:p>
    <w:p>
      <w:pPr>
        <w:jc w:val="both"/>
        <w:ind w:left="301" w:hanging="301"/>
        <w:spacing w:after="0" w:line="268" w:lineRule="auto"/>
        <w:tabs>
          <w:tab w:leader="none" w:pos="246" w:val="left"/>
        </w:tabs>
        <w:numPr>
          <w:ilvl w:val="0"/>
          <w:numId w:val="5"/>
        </w:numPr>
        <w:rPr>
          <w:rFonts w:ascii="Arial" w:cs="Arial" w:eastAsia="Arial" w:hAnsi="Arial"/>
          <w:sz w:val="9"/>
          <w:szCs w:val="9"/>
          <w:color w:val="auto"/>
        </w:rPr>
      </w:pPr>
      <w:r>
        <w:rPr>
          <w:rFonts w:ascii="Arial" w:cs="Arial" w:eastAsia="Arial" w:hAnsi="Arial"/>
          <w:sz w:val="17"/>
          <w:szCs w:val="17"/>
          <w:color w:val="auto"/>
        </w:rPr>
        <w:t>Corporate is not a reportable segment and represents certain centrally incurred overhead expenses and assets that are not included in the EC and PF measures of profitability or assets. Corporate amounts represent a reconciling item between segment measures and total Avnet amounts reported in the consolidated financial statements.</w:t>
      </w:r>
    </w:p>
    <w:p>
      <w:pPr>
        <w:spacing w:after="0" w:line="172" w:lineRule="exact"/>
        <w:rPr>
          <w:rFonts w:ascii="Arial" w:cs="Arial" w:eastAsia="Arial" w:hAnsi="Arial"/>
          <w:sz w:val="9"/>
          <w:szCs w:val="9"/>
          <w:color w:val="auto"/>
        </w:rPr>
      </w:pPr>
    </w:p>
    <w:p>
      <w:pPr>
        <w:ind w:left="301" w:hanging="301"/>
        <w:spacing w:after="0" w:line="283" w:lineRule="auto"/>
        <w:tabs>
          <w:tab w:leader="none" w:pos="246" w:val="left"/>
        </w:tabs>
        <w:numPr>
          <w:ilvl w:val="0"/>
          <w:numId w:val="5"/>
        </w:numPr>
        <w:rPr>
          <w:rFonts w:ascii="Arial" w:cs="Arial" w:eastAsia="Arial" w:hAnsi="Arial"/>
          <w:sz w:val="9"/>
          <w:szCs w:val="9"/>
          <w:color w:val="auto"/>
        </w:rPr>
      </w:pPr>
      <w:r>
        <w:rPr>
          <w:rFonts w:ascii="Arial" w:cs="Arial" w:eastAsia="Arial" w:hAnsi="Arial"/>
          <w:sz w:val="17"/>
          <w:szCs w:val="17"/>
          <w:color w:val="auto"/>
        </w:rPr>
        <w:t>Includes sales from the United States of $1.10 billion and $1.17 billion for the first quarters ended September 30, 2017, and October 1, 2016, respectively.</w:t>
      </w:r>
    </w:p>
    <w:p>
      <w:pPr>
        <w:spacing w:after="0" w:line="159" w:lineRule="exact"/>
        <w:rPr>
          <w:rFonts w:ascii="Arial" w:cs="Arial" w:eastAsia="Arial" w:hAnsi="Arial"/>
          <w:sz w:val="9"/>
          <w:szCs w:val="9"/>
          <w:color w:val="auto"/>
        </w:rPr>
      </w:pPr>
    </w:p>
    <w:p>
      <w:pPr>
        <w:jc w:val="both"/>
        <w:ind w:left="301" w:hanging="301"/>
        <w:spacing w:after="0" w:line="268" w:lineRule="auto"/>
        <w:tabs>
          <w:tab w:leader="none" w:pos="246" w:val="left"/>
        </w:tabs>
        <w:numPr>
          <w:ilvl w:val="0"/>
          <w:numId w:val="5"/>
        </w:numPr>
        <w:rPr>
          <w:rFonts w:ascii="Arial" w:cs="Arial" w:eastAsia="Arial" w:hAnsi="Arial"/>
          <w:sz w:val="9"/>
          <w:szCs w:val="9"/>
          <w:color w:val="auto"/>
        </w:rPr>
      </w:pPr>
      <w:r>
        <w:rPr>
          <w:rFonts w:ascii="Arial" w:cs="Arial" w:eastAsia="Arial" w:hAnsi="Arial"/>
          <w:sz w:val="17"/>
          <w:szCs w:val="17"/>
          <w:color w:val="auto"/>
        </w:rPr>
        <w:t>Includes sales from Germany and Belgium of $681.0 million and $262.5 million, respectively, for the first quarter ended September 30, 2017. Includes sales from Germany and Belgium of $521.4 million and $202.7 million, respectively, for the first quarter ended October 1, 2016.</w:t>
      </w:r>
    </w:p>
    <w:p>
      <w:pPr>
        <w:spacing w:after="0" w:line="172" w:lineRule="exact"/>
        <w:rPr>
          <w:rFonts w:ascii="Arial" w:cs="Arial" w:eastAsia="Arial" w:hAnsi="Arial"/>
          <w:sz w:val="9"/>
          <w:szCs w:val="9"/>
          <w:color w:val="auto"/>
        </w:rPr>
      </w:pPr>
    </w:p>
    <w:p>
      <w:pPr>
        <w:jc w:val="both"/>
        <w:ind w:left="301" w:hanging="301"/>
        <w:spacing w:after="0" w:line="268" w:lineRule="auto"/>
        <w:tabs>
          <w:tab w:leader="none" w:pos="246" w:val="left"/>
        </w:tabs>
        <w:numPr>
          <w:ilvl w:val="0"/>
          <w:numId w:val="5"/>
        </w:numPr>
        <w:rPr>
          <w:rFonts w:ascii="Arial" w:cs="Arial" w:eastAsia="Arial" w:hAnsi="Arial"/>
          <w:sz w:val="9"/>
          <w:szCs w:val="9"/>
          <w:color w:val="auto"/>
        </w:rPr>
      </w:pPr>
      <w:r>
        <w:rPr>
          <w:rFonts w:ascii="Arial" w:cs="Arial" w:eastAsia="Arial" w:hAnsi="Arial"/>
          <w:sz w:val="17"/>
          <w:szCs w:val="17"/>
          <w:color w:val="auto"/>
        </w:rPr>
        <w:t>Includes sales from China (including Hong Kong) and Taiwan of $655.4 million and $657.5 million, respectively, for the first quarter ended September 30, 2017. Includes sales from China (including Hong Kong) and Taiwan of $624.8 million and $589.5 million, respectively, for the first quarter ended October 1, 2016.</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5757545"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1"/>
          </w:cols>
          <w:pgMar w:left="1419" w:top="127" w:right="1419" w:bottom="1440" w:gutter="0" w:footer="0" w:header="0"/>
        </w:sectPr>
      </w:pPr>
    </w:p>
    <w:bookmarkStart w:id="17" w:name="page18"/>
    <w:bookmarkEnd w:id="17"/>
    <w:tbl>
      <w:tblPr>
        <w:tblLayout w:type="fixed"/>
        <w:tblInd w:w="1" w:type="dxa"/>
        <w:tblCellMar>
          <w:top w:w="0" w:type="dxa"/>
          <w:left w:w="0" w:type="dxa"/>
          <w:bottom w:w="0" w:type="dxa"/>
          <w:right w:w="0" w:type="dxa"/>
        </w:tblCellMar>
      </w:tblPr>
      <w:tr>
        <w:trPr>
          <w:trHeight w:val="195"/>
        </w:trPr>
        <w:tc>
          <w:tcPr>
            <w:tcW w:w="6260" w:type="dxa"/>
            <w:vAlign w:val="bottom"/>
            <w:gridSpan w:val="2"/>
          </w:tcPr>
          <w:p>
            <w:pPr>
              <w:spacing w:after="0"/>
              <w:rPr>
                <w:rFonts w:ascii="Arial" w:cs="Arial" w:eastAsia="Arial" w:hAnsi="Arial"/>
                <w:sz w:val="17"/>
                <w:szCs w:val="17"/>
                <w:color w:val="0563C1"/>
              </w:rPr>
            </w:pPr>
            <w:hyperlink w:anchor="page2">
              <w:r>
                <w:rPr>
                  <w:rFonts w:ascii="Arial" w:cs="Arial" w:eastAsia="Arial" w:hAnsi="Arial"/>
                  <w:sz w:val="17"/>
                  <w:szCs w:val="17"/>
                  <w:color w:val="0563C1"/>
                </w:rPr>
                <w:t>Table of Contents</w:t>
              </w:r>
            </w:hyperlink>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725"/>
        </w:trPr>
        <w:tc>
          <w:tcPr>
            <w:tcW w:w="1220" w:type="dxa"/>
            <w:vAlign w:val="bottom"/>
            <w:tcBorders>
              <w:top w:val="single" w:sz="8" w:color="0563C1"/>
            </w:tcBorders>
          </w:tcPr>
          <w:p>
            <w:pPr>
              <w:spacing w:after="0"/>
              <w:rPr>
                <w:sz w:val="24"/>
                <w:szCs w:val="24"/>
                <w:color w:val="auto"/>
              </w:rPr>
            </w:pPr>
          </w:p>
        </w:tc>
        <w:tc>
          <w:tcPr>
            <w:tcW w:w="5040" w:type="dxa"/>
            <w:vAlign w:val="bottom"/>
          </w:tcPr>
          <w:p>
            <w:pPr>
              <w:ind w:left="1960"/>
              <w:spacing w:after="0"/>
              <w:rPr>
                <w:sz w:val="20"/>
                <w:szCs w:val="20"/>
                <w:color w:val="auto"/>
              </w:rPr>
            </w:pPr>
            <w:r>
              <w:rPr>
                <w:rFonts w:ascii="Arial" w:cs="Arial" w:eastAsia="Arial" w:hAnsi="Arial"/>
                <w:sz w:val="17"/>
                <w:szCs w:val="17"/>
                <w:b w:val="1"/>
                <w:bCs w:val="1"/>
                <w:color w:val="auto"/>
              </w:rPr>
              <w:t>AVNET, INC. AND SUBSIDIARIES</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6"/>
        </w:trPr>
        <w:tc>
          <w:tcPr>
            <w:tcW w:w="1220" w:type="dxa"/>
            <w:vAlign w:val="bottom"/>
          </w:tcPr>
          <w:p>
            <w:pPr>
              <w:spacing w:after="0"/>
              <w:rPr>
                <w:sz w:val="19"/>
                <w:szCs w:val="19"/>
                <w:color w:val="auto"/>
              </w:rPr>
            </w:pPr>
          </w:p>
        </w:tc>
        <w:tc>
          <w:tcPr>
            <w:tcW w:w="6580" w:type="dxa"/>
            <w:vAlign w:val="bottom"/>
            <w:gridSpan w:val="4"/>
          </w:tcPr>
          <w:p>
            <w:pPr>
              <w:jc w:val="right"/>
              <w:ind w:right="394"/>
              <w:spacing w:after="0"/>
              <w:rPr>
                <w:sz w:val="20"/>
                <w:szCs w:val="20"/>
                <w:color w:val="auto"/>
              </w:rPr>
            </w:pPr>
            <w:r>
              <w:rPr>
                <w:rFonts w:ascii="Arial" w:cs="Arial" w:eastAsia="Arial" w:hAnsi="Arial"/>
                <w:sz w:val="17"/>
                <w:szCs w:val="17"/>
                <w:b w:val="1"/>
                <w:bCs w:val="1"/>
                <w:color w:val="auto"/>
              </w:rPr>
              <w:t>NOTES TO CONSOLIDATED FINANCIAL STATEMENTS - (Continued)</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628"/>
        </w:trPr>
        <w:tc>
          <w:tcPr>
            <w:tcW w:w="12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b w:val="1"/>
                <w:bCs w:val="1"/>
                <w:color w:val="auto"/>
                <w:w w:val="92"/>
              </w:rPr>
              <w:t>September 30,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7"/>
                <w:szCs w:val="17"/>
                <w:b w:val="1"/>
                <w:bCs w:val="1"/>
                <w:color w:val="auto"/>
              </w:rPr>
              <w:t>July 1,</w:t>
            </w:r>
          </w:p>
        </w:tc>
      </w:tr>
      <w:tr>
        <w:trPr>
          <w:trHeight w:val="231"/>
        </w:trPr>
        <w:tc>
          <w:tcPr>
            <w:tcW w:w="12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2017</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2017</w:t>
            </w:r>
          </w:p>
        </w:tc>
        <w:tc>
          <w:tcPr>
            <w:tcW w:w="180" w:type="dxa"/>
            <w:vAlign w:val="bottom"/>
          </w:tcPr>
          <w:p>
            <w:pPr>
              <w:spacing w:after="0"/>
              <w:rPr>
                <w:sz w:val="20"/>
                <w:szCs w:val="20"/>
                <w:color w:val="auto"/>
              </w:rPr>
            </w:pPr>
          </w:p>
        </w:tc>
      </w:tr>
      <w:tr>
        <w:trPr>
          <w:trHeight w:val="207"/>
        </w:trPr>
        <w:tc>
          <w:tcPr>
            <w:tcW w:w="12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gridSpan w:val="4"/>
          </w:tcPr>
          <w:p>
            <w:pPr>
              <w:jc w:val="right"/>
              <w:ind w:right="554"/>
              <w:spacing w:after="0"/>
              <w:rPr>
                <w:sz w:val="20"/>
                <w:szCs w:val="20"/>
                <w:color w:val="auto"/>
              </w:rPr>
            </w:pPr>
            <w:r>
              <w:rPr>
                <w:rFonts w:ascii="Arial" w:cs="Arial" w:eastAsia="Arial" w:hAnsi="Arial"/>
                <w:sz w:val="17"/>
                <w:szCs w:val="17"/>
                <w:b w:val="1"/>
                <w:bCs w:val="1"/>
                <w:color w:val="auto"/>
              </w:rPr>
              <w:t>(Thousands)</w:t>
            </w:r>
          </w:p>
        </w:tc>
        <w:tc>
          <w:tcPr>
            <w:tcW w:w="180" w:type="dxa"/>
            <w:vAlign w:val="bottom"/>
          </w:tcPr>
          <w:p>
            <w:pPr>
              <w:spacing w:after="0"/>
              <w:rPr>
                <w:sz w:val="17"/>
                <w:szCs w:val="17"/>
                <w:color w:val="auto"/>
              </w:rPr>
            </w:pPr>
          </w:p>
        </w:tc>
      </w:tr>
      <w:tr>
        <w:trPr>
          <w:trHeight w:val="207"/>
        </w:trPr>
        <w:tc>
          <w:tcPr>
            <w:tcW w:w="6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plant, and equipment, net, by geographic area:</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7"/>
        </w:trPr>
        <w:tc>
          <w:tcPr>
            <w:tcW w:w="6260" w:type="dxa"/>
            <w:vAlign w:val="bottom"/>
            <w:gridSpan w:val="2"/>
          </w:tcPr>
          <w:p>
            <w:pPr>
              <w:ind w:left="100"/>
              <w:spacing w:after="0"/>
              <w:rPr>
                <w:sz w:val="20"/>
                <w:szCs w:val="20"/>
                <w:color w:val="auto"/>
              </w:rPr>
            </w:pPr>
            <w:r>
              <w:rPr>
                <w:rFonts w:ascii="Arial" w:cs="Arial" w:eastAsia="Arial" w:hAnsi="Arial"/>
                <w:sz w:val="17"/>
                <w:szCs w:val="17"/>
                <w:color w:val="auto"/>
              </w:rPr>
              <w:t xml:space="preserve">Americas </w:t>
            </w:r>
            <w:r>
              <w:rPr>
                <w:rFonts w:ascii="Arial" w:cs="Arial" w:eastAsia="Arial" w:hAnsi="Arial"/>
                <w:sz w:val="8"/>
                <w:szCs w:val="8"/>
                <w:color w:val="auto"/>
              </w:rPr>
              <w:t>(1)</w:t>
            </w:r>
          </w:p>
        </w:tc>
        <w:tc>
          <w:tcPr>
            <w:tcW w:w="640" w:type="dxa"/>
            <w:vAlign w:val="bottom"/>
            <w:gridSpan w:val="2"/>
          </w:tcPr>
          <w:p>
            <w:pPr>
              <w:jc w:val="right"/>
              <w:ind w:right="79"/>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278,435</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296,038</w:t>
            </w:r>
          </w:p>
        </w:tc>
        <w:tc>
          <w:tcPr>
            <w:tcW w:w="180" w:type="dxa"/>
            <w:vAlign w:val="bottom"/>
          </w:tcPr>
          <w:p>
            <w:pPr>
              <w:spacing w:after="0"/>
              <w:rPr>
                <w:sz w:val="17"/>
                <w:szCs w:val="17"/>
                <w:color w:val="auto"/>
              </w:rPr>
            </w:pPr>
          </w:p>
        </w:tc>
      </w:tr>
      <w:tr>
        <w:trPr>
          <w:trHeight w:val="207"/>
        </w:trPr>
        <w:tc>
          <w:tcPr>
            <w:tcW w:w="6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 xml:space="preserve">EMEA </w:t>
            </w:r>
            <w:r>
              <w:rPr>
                <w:rFonts w:ascii="Arial" w:cs="Arial" w:eastAsia="Arial" w:hAnsi="Arial"/>
                <w:sz w:val="8"/>
                <w:szCs w:val="8"/>
                <w:color w:val="auto"/>
              </w:rPr>
              <w:t>(2)</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193,756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186,127</w:t>
            </w:r>
          </w:p>
        </w:tc>
        <w:tc>
          <w:tcPr>
            <w:tcW w:w="180" w:type="dxa"/>
            <w:vAlign w:val="bottom"/>
            <w:shd w:val="clear" w:color="auto" w:fill="CCEEFF"/>
          </w:tcPr>
          <w:p>
            <w:pPr>
              <w:spacing w:after="0"/>
              <w:rPr>
                <w:sz w:val="17"/>
                <w:szCs w:val="17"/>
                <w:color w:val="auto"/>
              </w:rPr>
            </w:pPr>
          </w:p>
        </w:tc>
      </w:tr>
      <w:tr>
        <w:trPr>
          <w:trHeight w:val="213"/>
        </w:trPr>
        <w:tc>
          <w:tcPr>
            <w:tcW w:w="626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Asia/Pacific</w:t>
            </w:r>
          </w:p>
        </w:tc>
        <w:tc>
          <w:tcPr>
            <w:tcW w:w="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38,112</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37,410</w:t>
            </w:r>
          </w:p>
        </w:tc>
        <w:tc>
          <w:tcPr>
            <w:tcW w:w="180" w:type="dxa"/>
            <w:vAlign w:val="bottom"/>
            <w:tcBorders>
              <w:bottom w:val="single" w:sz="8" w:color="CCEEFF"/>
            </w:tcBorders>
          </w:tcPr>
          <w:p>
            <w:pPr>
              <w:spacing w:after="0"/>
              <w:rPr>
                <w:sz w:val="18"/>
                <w:szCs w:val="18"/>
                <w:color w:val="auto"/>
              </w:rPr>
            </w:pPr>
          </w:p>
        </w:tc>
      </w:tr>
      <w:tr>
        <w:trPr>
          <w:trHeight w:val="213"/>
        </w:trPr>
        <w:tc>
          <w:tcPr>
            <w:tcW w:w="6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4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510,303</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519,575</w:t>
            </w:r>
          </w:p>
        </w:tc>
        <w:tc>
          <w:tcPr>
            <w:tcW w:w="18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14376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37640" cy="8255"/>
                    </a:xfrm>
                    <a:prstGeom prst="rect">
                      <a:avLst/>
                    </a:prstGeom>
                    <a:noFill/>
                  </pic:spPr>
                </pic:pic>
              </a:graphicData>
            </a:graphic>
          </wp:anchor>
        </w:drawing>
      </w:r>
    </w:p>
    <w:p>
      <w:pPr>
        <w:spacing w:after="0" w:line="278" w:lineRule="exact"/>
        <w:rPr>
          <w:sz w:val="20"/>
          <w:szCs w:val="20"/>
          <w:color w:val="auto"/>
        </w:rPr>
      </w:pPr>
    </w:p>
    <w:p>
      <w:pPr>
        <w:ind w:left="301" w:right="180" w:hanging="301"/>
        <w:spacing w:after="0" w:line="283" w:lineRule="auto"/>
        <w:tabs>
          <w:tab w:leader="none" w:pos="246" w:val="left"/>
        </w:tabs>
        <w:numPr>
          <w:ilvl w:val="0"/>
          <w:numId w:val="6"/>
        </w:numPr>
        <w:rPr>
          <w:rFonts w:ascii="Arial" w:cs="Arial" w:eastAsia="Arial" w:hAnsi="Arial"/>
          <w:sz w:val="9"/>
          <w:szCs w:val="9"/>
          <w:color w:val="auto"/>
        </w:rPr>
      </w:pPr>
      <w:r>
        <w:rPr>
          <w:rFonts w:ascii="Arial" w:cs="Arial" w:eastAsia="Arial" w:hAnsi="Arial"/>
          <w:sz w:val="17"/>
          <w:szCs w:val="17"/>
          <w:color w:val="auto"/>
        </w:rPr>
        <w:t>Includes property, plant and equipment, net, of $272.5 million and $289.1 million as of September 30, 2017, and July 1, 2017, respectively, in the United States.</w:t>
      </w:r>
    </w:p>
    <w:p>
      <w:pPr>
        <w:spacing w:after="0" w:line="159" w:lineRule="exact"/>
        <w:rPr>
          <w:rFonts w:ascii="Arial" w:cs="Arial" w:eastAsia="Arial" w:hAnsi="Arial"/>
          <w:sz w:val="9"/>
          <w:szCs w:val="9"/>
          <w:color w:val="auto"/>
        </w:rPr>
      </w:pPr>
    </w:p>
    <w:p>
      <w:pPr>
        <w:jc w:val="both"/>
        <w:ind w:left="301" w:right="180" w:hanging="301"/>
        <w:spacing w:after="0" w:line="268" w:lineRule="auto"/>
        <w:tabs>
          <w:tab w:leader="none" w:pos="246" w:val="left"/>
        </w:tabs>
        <w:numPr>
          <w:ilvl w:val="0"/>
          <w:numId w:val="6"/>
        </w:numPr>
        <w:rPr>
          <w:rFonts w:ascii="Arial" w:cs="Arial" w:eastAsia="Arial" w:hAnsi="Arial"/>
          <w:sz w:val="9"/>
          <w:szCs w:val="9"/>
          <w:color w:val="auto"/>
        </w:rPr>
      </w:pPr>
      <w:r>
        <w:rPr>
          <w:rFonts w:ascii="Arial" w:cs="Arial" w:eastAsia="Arial" w:hAnsi="Arial"/>
          <w:sz w:val="17"/>
          <w:szCs w:val="17"/>
          <w:color w:val="auto"/>
        </w:rPr>
        <w:t>Includes property, plant and equipment, net, of $91.9 million, $52.2 million and $40.6 million in Germany, UK and Belgium, respectively, as of September 30, 2017, and $85.6 million, $52.1 million and $39.8 million in Germany, UK and Belgium, respectively, as of July 1, 2017.</w:t>
      </w:r>
    </w:p>
    <w:p>
      <w:pPr>
        <w:spacing w:after="0" w:line="167" w:lineRule="exact"/>
        <w:rPr>
          <w:sz w:val="20"/>
          <w:szCs w:val="20"/>
          <w:color w:val="auto"/>
        </w:rPr>
      </w:pPr>
    </w:p>
    <w:p>
      <w:pPr>
        <w:ind w:left="401" w:right="7260" w:hanging="401"/>
        <w:spacing w:after="0" w:line="580" w:lineRule="auto"/>
        <w:tabs>
          <w:tab w:leader="none" w:pos="250"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Restructuring expenses </w:t>
      </w:r>
      <w:r>
        <w:rPr>
          <w:rFonts w:ascii="Arial" w:cs="Arial" w:eastAsia="Arial" w:hAnsi="Arial"/>
          <w:sz w:val="15"/>
          <w:szCs w:val="15"/>
          <w:i w:val="1"/>
          <w:iCs w:val="1"/>
          <w:color w:val="auto"/>
        </w:rPr>
        <w:t>Fiscal 2018</w:t>
      </w:r>
    </w:p>
    <w:p>
      <w:pPr>
        <w:jc w:val="both"/>
        <w:ind w:left="1" w:right="180" w:firstLine="414"/>
        <w:spacing w:after="0" w:line="263" w:lineRule="auto"/>
        <w:rPr>
          <w:sz w:val="20"/>
          <w:szCs w:val="20"/>
          <w:color w:val="auto"/>
        </w:rPr>
      </w:pPr>
      <w:r>
        <w:rPr>
          <w:rFonts w:ascii="Arial" w:cs="Arial" w:eastAsia="Arial" w:hAnsi="Arial"/>
          <w:sz w:val="17"/>
          <w:szCs w:val="17"/>
          <w:color w:val="auto"/>
        </w:rPr>
        <w:t>During fiscal 2018, the Company took certain restructuring actions in an effort to integrate acquisitions and reduce future operating expenses. Restructuring expenses are included as a component of restructuring, integration and other expenses in the consolidated statements of operations. The activity related to the restructuring liabilities established during fiscal 2018 is presented in the following table:</w:t>
      </w:r>
    </w:p>
    <w:p>
      <w:pPr>
        <w:spacing w:after="0" w:line="215" w:lineRule="exact"/>
        <w:rPr>
          <w:sz w:val="20"/>
          <w:szCs w:val="20"/>
          <w:color w:val="auto"/>
        </w:rPr>
      </w:pPr>
    </w:p>
    <w:tbl>
      <w:tblPr>
        <w:tblLayout w:type="fixed"/>
        <w:tblInd w:w="1" w:type="dxa"/>
        <w:tblCellMar>
          <w:top w:w="0" w:type="dxa"/>
          <w:left w:w="0" w:type="dxa"/>
          <w:bottom w:w="0" w:type="dxa"/>
          <w:right w:w="0" w:type="dxa"/>
        </w:tblCellMar>
      </w:tblPr>
      <w:tr>
        <w:trPr>
          <w:trHeight w:val="202"/>
        </w:trPr>
        <w:tc>
          <w:tcPr>
            <w:tcW w:w="3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20"/>
              <w:spacing w:after="0"/>
              <w:rPr>
                <w:sz w:val="20"/>
                <w:szCs w:val="20"/>
                <w:color w:val="auto"/>
              </w:rPr>
            </w:pPr>
            <w:r>
              <w:rPr>
                <w:rFonts w:ascii="Arial" w:cs="Arial" w:eastAsia="Arial" w:hAnsi="Arial"/>
                <w:sz w:val="16"/>
                <w:szCs w:val="16"/>
                <w:b w:val="1"/>
                <w:bCs w:val="1"/>
                <w:color w:val="auto"/>
              </w:rPr>
              <w:t>Facility</w:t>
            </w: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Asset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auto"/>
                <w:w w:val="84"/>
              </w:rPr>
              <w:t>Severance</w:t>
            </w:r>
          </w:p>
        </w:tc>
        <w:tc>
          <w:tcPr>
            <w:tcW w:w="180" w:type="dxa"/>
            <w:vAlign w:val="bottom"/>
          </w:tcPr>
          <w:p>
            <w:pPr>
              <w:spacing w:after="0"/>
              <w:rPr>
                <w:sz w:val="19"/>
                <w:szCs w:val="19"/>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w w:val="86"/>
              </w:rPr>
              <w:t>Exit Costs</w:t>
            </w: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Impairments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w w:val="95"/>
              </w:rPr>
              <w:t>(Thousands)</w:t>
            </w: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Fiscal 2018 restructuring expenses</w:t>
            </w:r>
          </w:p>
        </w:tc>
        <w:tc>
          <w:tcPr>
            <w:tcW w:w="106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21,286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840" w:type="dxa"/>
            <w:vAlign w:val="bottom"/>
          </w:tcPr>
          <w:p>
            <w:pPr>
              <w:ind w:left="100"/>
              <w:spacing w:after="0"/>
              <w:rPr>
                <w:sz w:val="20"/>
                <w:szCs w:val="20"/>
                <w:color w:val="auto"/>
              </w:rPr>
            </w:pPr>
            <w:r>
              <w:rPr>
                <w:rFonts w:ascii="Arial" w:cs="Arial" w:eastAsia="Arial" w:hAnsi="Arial"/>
                <w:sz w:val="16"/>
                <w:szCs w:val="16"/>
                <w:color w:val="auto"/>
              </w:rPr>
              <w:t>Cash payments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(3,054)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4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(3,067)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Non-cash amounts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8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principally foreign currency translation</w:t>
            </w:r>
          </w:p>
        </w:tc>
        <w:tc>
          <w:tcPr>
            <w:tcW w:w="9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September 30, 2017</w:t>
            </w:r>
          </w:p>
        </w:tc>
        <w:tc>
          <w:tcPr>
            <w:tcW w:w="9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17,490</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84"/>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17,596</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1" w:right="180" w:firstLine="414"/>
        <w:spacing w:after="0" w:line="298" w:lineRule="auto"/>
        <w:rPr>
          <w:sz w:val="20"/>
          <w:szCs w:val="20"/>
          <w:color w:val="auto"/>
        </w:rPr>
      </w:pPr>
      <w:r>
        <w:rPr>
          <w:rFonts w:ascii="Arial" w:cs="Arial" w:eastAsia="Arial" w:hAnsi="Arial"/>
          <w:sz w:val="15"/>
          <w:szCs w:val="15"/>
          <w:color w:val="auto"/>
        </w:rPr>
        <w:t>Severance expense recorded in the first quarter of fiscal 2018 related to the reduction, or planned reduction of 461 employees, primarily in executive management, operations, warehouse, sales and business support functions. Facility exit costs (if any) primarily consist of liabilities for remaining lease obligations for exited facilities. Asset impairments relate to the impairment of property, plant and equipment as a result of the underlying restructuring activities. Other restructuring costs related primarily to other miscellaneous restructuring and exit costs. Of the $21.3 million in restructuring expenses recorded during the first quarter of fiscal 2018, $17.7 million related to EC, $2.4 million related to PF and $1.2 million related to corporate executive and business support functions. The Company expects the majority of the remaining amounts to be paid by the end of fiscal 2018.</w:t>
      </w:r>
    </w:p>
    <w:p>
      <w:pPr>
        <w:spacing w:after="0" w:line="200" w:lineRule="exact"/>
        <w:rPr>
          <w:sz w:val="20"/>
          <w:szCs w:val="20"/>
          <w:color w:val="auto"/>
        </w:rPr>
      </w:pP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5757545" cy="24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241"/>
          </w:cols>
          <w:pgMar w:left="1419" w:top="112" w:right="1239" w:bottom="1440" w:gutter="0" w:footer="0" w:header="0"/>
        </w:sectPr>
      </w:pPr>
    </w:p>
    <w:bookmarkStart w:id="18" w:name="page19"/>
    <w:bookmarkEnd w:id="1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AVNET, INC. AND SUBSIDIARIES</w:t>
      </w:r>
    </w:p>
    <w:p>
      <w:pPr>
        <w:spacing w:after="0" w:line="30"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Fiscal 2017</w:t>
      </w:r>
    </w:p>
    <w:p>
      <w:pPr>
        <w:spacing w:after="0" w:line="218" w:lineRule="exact"/>
        <w:rPr>
          <w:sz w:val="20"/>
          <w:szCs w:val="20"/>
          <w:color w:val="auto"/>
        </w:rPr>
      </w:pPr>
    </w:p>
    <w:p>
      <w:pPr>
        <w:jc w:val="both"/>
        <w:ind w:right="180" w:firstLine="414"/>
        <w:spacing w:after="0" w:line="263" w:lineRule="auto"/>
        <w:rPr>
          <w:sz w:val="20"/>
          <w:szCs w:val="20"/>
          <w:color w:val="auto"/>
        </w:rPr>
      </w:pPr>
      <w:r>
        <w:rPr>
          <w:rFonts w:ascii="Arial" w:cs="Arial" w:eastAsia="Arial" w:hAnsi="Arial"/>
          <w:sz w:val="17"/>
          <w:szCs w:val="17"/>
          <w:color w:val="auto"/>
        </w:rPr>
        <w:t>During fiscal 2017, the Company incurred restructuring expenses related to various restructuring actions intended to achieve planned synergies from acquired businesses and to reduce future operating expenses. The following table presents the activity during the first three months of fiscal 2018 related to the remaining restructuring liabilities from continuing operations established during fiscal 2017:</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34"/>
              <w:spacing w:after="0"/>
              <w:rPr>
                <w:sz w:val="20"/>
                <w:szCs w:val="20"/>
                <w:color w:val="auto"/>
              </w:rPr>
            </w:pPr>
            <w:r>
              <w:rPr>
                <w:rFonts w:ascii="Arial" w:cs="Arial" w:eastAsia="Arial" w:hAnsi="Arial"/>
                <w:sz w:val="17"/>
                <w:szCs w:val="17"/>
                <w:b w:val="1"/>
                <w:bCs w:val="1"/>
                <w:color w:val="auto"/>
                <w:w w:val="92"/>
              </w:rPr>
              <w:t>Facility</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1"/>
        </w:trPr>
        <w:tc>
          <w:tcPr>
            <w:tcW w:w="4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89"/>
              </w:rPr>
              <w:t>Severance</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1"/>
              </w:rPr>
              <w:t>Exit Costs</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Other</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98"/>
              </w:rPr>
              <w:t>Total</w:t>
            </w:r>
          </w:p>
        </w:tc>
      </w:tr>
      <w:tr>
        <w:trPr>
          <w:trHeight w:val="207"/>
        </w:trPr>
        <w:tc>
          <w:tcPr>
            <w:tcW w:w="4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5"/>
          </w:tcPr>
          <w:p>
            <w:pPr>
              <w:ind w:left="200"/>
              <w:spacing w:after="0"/>
              <w:rPr>
                <w:sz w:val="20"/>
                <w:szCs w:val="20"/>
                <w:color w:val="auto"/>
              </w:rPr>
            </w:pPr>
            <w:r>
              <w:rPr>
                <w:rFonts w:ascii="Arial" w:cs="Arial" w:eastAsia="Arial" w:hAnsi="Arial"/>
                <w:sz w:val="17"/>
                <w:szCs w:val="17"/>
                <w:b w:val="1"/>
                <w:bCs w:val="1"/>
                <w:color w:val="auto"/>
              </w:rPr>
              <w:t>(Thousands)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7"/>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Balance at July 1, 2017</w:t>
            </w:r>
          </w:p>
        </w:tc>
        <w:tc>
          <w:tcPr>
            <w:tcW w:w="138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12,262</w:t>
            </w:r>
          </w:p>
        </w:tc>
      </w:tr>
      <w:tr>
        <w:trPr>
          <w:trHeight w:val="207"/>
        </w:trPr>
        <w:tc>
          <w:tcPr>
            <w:tcW w:w="4500" w:type="dxa"/>
            <w:vAlign w:val="bottom"/>
          </w:tcPr>
          <w:p>
            <w:pPr>
              <w:ind w:left="100"/>
              <w:spacing w:after="0"/>
              <w:rPr>
                <w:sz w:val="20"/>
                <w:szCs w:val="20"/>
                <w:color w:val="auto"/>
              </w:rPr>
            </w:pPr>
            <w:r>
              <w:rPr>
                <w:rFonts w:ascii="Arial" w:cs="Arial" w:eastAsia="Arial" w:hAnsi="Arial"/>
                <w:sz w:val="17"/>
                <w:szCs w:val="17"/>
                <w:color w:val="auto"/>
              </w:rPr>
              <w:t>Cash payments</w:t>
            </w: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(4,506)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(4,579)</w:t>
            </w:r>
          </w:p>
        </w:tc>
      </w:tr>
      <w:tr>
        <w:trPr>
          <w:trHeight w:val="207"/>
        </w:trPr>
        <w:tc>
          <w:tcPr>
            <w:tcW w:w="45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Changes in estimates, net</w:t>
            </w: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r>
      <w:tr>
        <w:trPr>
          <w:trHeight w:val="207"/>
        </w:trPr>
        <w:tc>
          <w:tcPr>
            <w:tcW w:w="4500" w:type="dxa"/>
            <w:vAlign w:val="bottom"/>
          </w:tcPr>
          <w:p>
            <w:pPr>
              <w:ind w:left="100"/>
              <w:spacing w:after="0"/>
              <w:rPr>
                <w:sz w:val="20"/>
                <w:szCs w:val="20"/>
                <w:color w:val="auto"/>
              </w:rPr>
            </w:pPr>
            <w:r>
              <w:rPr>
                <w:rFonts w:ascii="Arial" w:cs="Arial" w:eastAsia="Arial" w:hAnsi="Arial"/>
                <w:sz w:val="17"/>
                <w:szCs w:val="17"/>
                <w:color w:val="auto"/>
              </w:rPr>
              <w:t>Non-cash amounts</w:t>
            </w: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45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 principally foreign currency translation</w:t>
            </w: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r>
      <w:tr>
        <w:trPr>
          <w:trHeight w:val="199"/>
        </w:trPr>
        <w:tc>
          <w:tcPr>
            <w:tcW w:w="4500" w:type="dxa"/>
            <w:vAlign w:val="bottom"/>
            <w:tcBorders>
              <w:top w:val="single" w:sz="8" w:color="CCEEFF"/>
            </w:tcBorders>
          </w:tcPr>
          <w:p>
            <w:pPr>
              <w:spacing w:after="0" w:line="193" w:lineRule="exact"/>
              <w:rPr>
                <w:sz w:val="20"/>
                <w:szCs w:val="20"/>
                <w:color w:val="auto"/>
              </w:rPr>
            </w:pPr>
            <w:r>
              <w:rPr>
                <w:rFonts w:ascii="Arial" w:cs="Arial" w:eastAsia="Arial" w:hAnsi="Arial"/>
                <w:sz w:val="17"/>
                <w:szCs w:val="17"/>
                <w:color w:val="auto"/>
              </w:rPr>
              <w:t>Balance at September 30, 2017</w:t>
            </w:r>
          </w:p>
        </w:tc>
        <w:tc>
          <w:tcPr>
            <w:tcW w:w="12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7,876</w:t>
            </w: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5</w:t>
            </w: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300"/>
              <w:spacing w:after="0" w:line="193"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7,881</w:t>
            </w:r>
          </w:p>
        </w:tc>
      </w:tr>
    </w:tbl>
    <w:p>
      <w:pPr>
        <w:spacing w:after="0" w:line="19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 expects the majority of the remaining amounts to be paid by the end of fiscal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5757545" cy="24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240"/>
          </w:cols>
          <w:pgMar w:left="1420" w:top="127" w:right="1239" w:bottom="1440" w:gutter="0" w:footer="0" w:header="0"/>
        </w:sectPr>
      </w:pPr>
    </w:p>
    <w:bookmarkStart w:id="19" w:name="page20"/>
    <w:bookmarkEnd w:id="1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3"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4" w:lineRule="exact"/>
        <w:rPr>
          <w:sz w:val="20"/>
          <w:szCs w:val="20"/>
          <w:color w:val="auto"/>
        </w:rPr>
      </w:pPr>
    </w:p>
    <w:p>
      <w:pPr>
        <w:jc w:val="both"/>
        <w:ind w:firstLine="414"/>
        <w:spacing w:after="0" w:line="261" w:lineRule="auto"/>
        <w:rPr>
          <w:sz w:val="20"/>
          <w:szCs w:val="20"/>
          <w:color w:val="auto"/>
        </w:rPr>
      </w:pPr>
      <w:r>
        <w:rPr>
          <w:rFonts w:ascii="Arial" w:cs="Arial" w:eastAsia="Arial" w:hAnsi="Arial"/>
          <w:sz w:val="17"/>
          <w:szCs w:val="17"/>
          <w:color w:val="auto"/>
        </w:rPr>
        <w:t xml:space="preserve">For a description of the Company’s critical accounting policies and an understanding of the significant factors that influenced the Company’s performance during the quarter ended September 30, 2017, this </w:t>
      </w:r>
      <w:r>
        <w:rPr>
          <w:rFonts w:ascii="Arial" w:cs="Arial" w:eastAsia="Arial" w:hAnsi="Arial"/>
          <w:sz w:val="17"/>
          <w:szCs w:val="17"/>
          <w:i w:val="1"/>
          <w:iCs w:val="1"/>
          <w:color w:val="auto"/>
        </w:rPr>
        <w:t>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Condition and Results of Operations </w:t>
      </w:r>
      <w:r>
        <w:rPr>
          <w:rFonts w:ascii="Arial" w:cs="Arial" w:eastAsia="Arial" w:hAnsi="Arial"/>
          <w:sz w:val="17"/>
          <w:szCs w:val="17"/>
          <w:color w:val="auto"/>
        </w:rPr>
        <w:t>(“MD&amp;A”) should be read in conjunction with the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including the related notes, appearing in Item 1 of this Quarterly Report on Form 10-Q, as well as the Company’s Annual Report on Form 10-K for the fiscal year ended July 1, 2017.</w:t>
      </w:r>
    </w:p>
    <w:p>
      <w:pPr>
        <w:spacing w:after="0" w:line="179" w:lineRule="exact"/>
        <w:rPr>
          <w:sz w:val="20"/>
          <w:szCs w:val="20"/>
          <w:color w:val="auto"/>
        </w:rPr>
      </w:pPr>
    </w:p>
    <w:p>
      <w:pPr>
        <w:jc w:val="both"/>
        <w:ind w:firstLine="414"/>
        <w:spacing w:after="0" w:line="258" w:lineRule="auto"/>
        <w:rPr>
          <w:sz w:val="20"/>
          <w:szCs w:val="20"/>
          <w:color w:val="auto"/>
        </w:rPr>
      </w:pPr>
      <w:r>
        <w:rPr>
          <w:rFonts w:ascii="Arial" w:cs="Arial" w:eastAsia="Arial" w:hAnsi="Arial"/>
          <w:sz w:val="17"/>
          <w:szCs w:val="17"/>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subsidiaries in Europe, the Middle East and Africa (“EMEA”) and Asia/Pacific, are referred to as “excluding the translation impact of changes in foreign currency exchange rates” or “constant currency.”</w:t>
      </w:r>
    </w:p>
    <w:p>
      <w:pPr>
        <w:spacing w:after="0" w:line="181" w:lineRule="exact"/>
        <w:rPr>
          <w:sz w:val="20"/>
          <w:szCs w:val="20"/>
          <w:color w:val="auto"/>
        </w:rPr>
      </w:pPr>
    </w:p>
    <w:p>
      <w:pPr>
        <w:jc w:val="both"/>
        <w:ind w:firstLine="414"/>
        <w:spacing w:after="0" w:line="283" w:lineRule="auto"/>
        <w:rPr>
          <w:sz w:val="20"/>
          <w:szCs w:val="20"/>
          <w:color w:val="auto"/>
        </w:rPr>
      </w:pPr>
      <w:r>
        <w:rPr>
          <w:rFonts w:ascii="Arial" w:cs="Arial" w:eastAsia="Arial" w:hAnsi="Arial"/>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60" w:lineRule="exact"/>
        <w:rPr>
          <w:sz w:val="20"/>
          <w:szCs w:val="20"/>
          <w:color w:val="auto"/>
        </w:rPr>
      </w:pPr>
    </w:p>
    <w:p>
      <w:pPr>
        <w:jc w:val="both"/>
        <w:ind w:left="620" w:hanging="310"/>
        <w:spacing w:after="0" w:line="320" w:lineRule="auto"/>
        <w:tabs>
          <w:tab w:leader="none" w:pos="620" w:val="left"/>
        </w:tabs>
        <w:numPr>
          <w:ilvl w:val="0"/>
          <w:numId w:val="8"/>
        </w:numPr>
        <w:rPr>
          <w:rFonts w:ascii="Arial" w:cs="Arial" w:eastAsia="Arial" w:hAnsi="Arial"/>
          <w:sz w:val="15"/>
          <w:szCs w:val="15"/>
          <w:color w:val="auto"/>
        </w:rPr>
      </w:pPr>
      <w:r>
        <w:rPr>
          <w:rFonts w:ascii="Arial" w:cs="Arial" w:eastAsia="Arial" w:hAnsi="Arial"/>
          <w:sz w:val="15"/>
          <w:szCs w:val="15"/>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Sales taking into account these adjustments are referred to as “organic sales.”</w:t>
      </w:r>
    </w:p>
    <w:p>
      <w:pPr>
        <w:spacing w:after="0" w:line="137" w:lineRule="exact"/>
        <w:rPr>
          <w:rFonts w:ascii="Arial" w:cs="Arial" w:eastAsia="Arial" w:hAnsi="Arial"/>
          <w:sz w:val="15"/>
          <w:szCs w:val="15"/>
          <w:color w:val="auto"/>
        </w:rPr>
      </w:pPr>
    </w:p>
    <w:p>
      <w:pPr>
        <w:jc w:val="both"/>
        <w:ind w:left="620" w:hanging="310"/>
        <w:spacing w:after="0" w:line="268"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Operating income excluding (i) restructuring, integration and other expenses (see </w:t>
      </w:r>
      <w:r>
        <w:rPr>
          <w:rFonts w:ascii="Arial" w:cs="Arial" w:eastAsia="Arial" w:hAnsi="Arial"/>
          <w:sz w:val="17"/>
          <w:szCs w:val="17"/>
          <w:i w:val="1"/>
          <w:iCs w:val="1"/>
          <w:color w:val="auto"/>
        </w:rPr>
        <w:t>Restructuring, Integration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Expenses </w:t>
      </w:r>
      <w:r>
        <w:rPr>
          <w:rFonts w:ascii="Arial" w:cs="Arial" w:eastAsia="Arial" w:hAnsi="Arial"/>
          <w:sz w:val="17"/>
          <w:szCs w:val="17"/>
          <w:color w:val="auto"/>
        </w:rPr>
        <w:t>in this MD&amp;A), and (ii) amortization of acquired intangible assets and other. Operating income excluding such</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is referred to as “adjusted operating income.”</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reconciliation of operating income to adjusted operating income is presented in the following table: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6"/>
          </w:tcPr>
          <w:p>
            <w:pPr>
              <w:jc w:val="right"/>
              <w:ind w:right="500"/>
              <w:spacing w:after="0"/>
              <w:rPr>
                <w:sz w:val="20"/>
                <w:szCs w:val="20"/>
                <w:color w:val="auto"/>
              </w:rPr>
            </w:pPr>
            <w:r>
              <w:rPr>
                <w:rFonts w:ascii="Arial" w:cs="Arial" w:eastAsia="Arial" w:hAnsi="Arial"/>
                <w:sz w:val="17"/>
                <w:szCs w:val="17"/>
                <w:b w:val="1"/>
                <w:bCs w:val="1"/>
                <w:color w:val="auto"/>
                <w:w w:val="99"/>
              </w:rPr>
              <w:t>First Quarters Ended</w:t>
            </w:r>
          </w:p>
        </w:tc>
      </w:tr>
      <w:tr>
        <w:trPr>
          <w:trHeight w:val="189"/>
        </w:trPr>
        <w:tc>
          <w:tcPr>
            <w:tcW w:w="5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40" w:type="dxa"/>
            <w:vAlign w:val="bottom"/>
            <w:tcBorders>
              <w:top w:val="single" w:sz="8" w:color="auto"/>
            </w:tcBorders>
            <w:gridSpan w:val="3"/>
          </w:tcPr>
          <w:p>
            <w:pPr>
              <w:spacing w:after="0" w:line="189" w:lineRule="exact"/>
              <w:rPr>
                <w:sz w:val="20"/>
                <w:szCs w:val="20"/>
                <w:color w:val="auto"/>
              </w:rPr>
            </w:pPr>
            <w:r>
              <w:rPr>
                <w:rFonts w:ascii="Arial" w:cs="Arial" w:eastAsia="Arial" w:hAnsi="Arial"/>
                <w:sz w:val="17"/>
                <w:szCs w:val="17"/>
                <w:b w:val="1"/>
                <w:bCs w:val="1"/>
                <w:color w:val="auto"/>
              </w:rPr>
              <w:t>September 30,</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4"/>
              <w:spacing w:after="0" w:line="189" w:lineRule="exact"/>
              <w:rPr>
                <w:sz w:val="20"/>
                <w:szCs w:val="20"/>
                <w:color w:val="auto"/>
              </w:rPr>
            </w:pPr>
            <w:r>
              <w:rPr>
                <w:rFonts w:ascii="Arial" w:cs="Arial" w:eastAsia="Arial" w:hAnsi="Arial"/>
                <w:sz w:val="17"/>
                <w:szCs w:val="17"/>
                <w:b w:val="1"/>
                <w:bCs w:val="1"/>
                <w:color w:val="auto"/>
                <w:w w:val="90"/>
              </w:rPr>
              <w:t>October 1,</w:t>
            </w:r>
          </w:p>
        </w:tc>
        <w:tc>
          <w:tcPr>
            <w:tcW w:w="160" w:type="dxa"/>
            <w:vAlign w:val="bottom"/>
          </w:tcPr>
          <w:p>
            <w:pPr>
              <w:spacing w:after="0"/>
              <w:rPr>
                <w:sz w:val="16"/>
                <w:szCs w:val="16"/>
                <w:color w:val="auto"/>
              </w:rPr>
            </w:pPr>
          </w:p>
        </w:tc>
      </w:tr>
      <w:tr>
        <w:trPr>
          <w:trHeight w:val="231"/>
        </w:trPr>
        <w:tc>
          <w:tcPr>
            <w:tcW w:w="5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2017</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2016</w:t>
            </w:r>
          </w:p>
        </w:tc>
        <w:tc>
          <w:tcPr>
            <w:tcW w:w="160" w:type="dxa"/>
            <w:vAlign w:val="bottom"/>
          </w:tcPr>
          <w:p>
            <w:pPr>
              <w:spacing w:after="0"/>
              <w:rPr>
                <w:sz w:val="20"/>
                <w:szCs w:val="20"/>
                <w:color w:val="auto"/>
              </w:rPr>
            </w:pPr>
          </w:p>
        </w:tc>
      </w:tr>
      <w:tr>
        <w:trPr>
          <w:trHeight w:val="207"/>
        </w:trPr>
        <w:tc>
          <w:tcPr>
            <w:tcW w:w="5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5"/>
          </w:tcPr>
          <w:p>
            <w:pPr>
              <w:jc w:val="right"/>
              <w:ind w:right="574"/>
              <w:spacing w:after="0"/>
              <w:rPr>
                <w:sz w:val="20"/>
                <w:szCs w:val="20"/>
                <w:color w:val="auto"/>
              </w:rPr>
            </w:pPr>
            <w:r>
              <w:rPr>
                <w:rFonts w:ascii="Arial" w:cs="Arial" w:eastAsia="Arial" w:hAnsi="Arial"/>
                <w:sz w:val="17"/>
                <w:szCs w:val="17"/>
                <w:b w:val="1"/>
                <w:bCs w:val="1"/>
                <w:color w:val="auto"/>
              </w:rPr>
              <w:t>(Thousands)</w:t>
            </w:r>
          </w:p>
        </w:tc>
        <w:tc>
          <w:tcPr>
            <w:tcW w:w="160" w:type="dxa"/>
            <w:vAlign w:val="bottom"/>
          </w:tcPr>
          <w:p>
            <w:pPr>
              <w:spacing w:after="0"/>
              <w:rPr>
                <w:sz w:val="17"/>
                <w:szCs w:val="17"/>
                <w:color w:val="auto"/>
              </w:rPr>
            </w:pPr>
          </w:p>
        </w:tc>
      </w:tr>
      <w:tr>
        <w:trPr>
          <w:trHeight w:val="220"/>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680" w:type="dxa"/>
            <w:vAlign w:val="bottom"/>
            <w:gridSpan w:val="2"/>
            <w:shd w:val="clear" w:color="auto" w:fill="CCEEFF"/>
          </w:tcPr>
          <w:p>
            <w:pPr>
              <w:ind w:left="14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69,955</w:t>
            </w:r>
          </w:p>
        </w:tc>
        <w:tc>
          <w:tcPr>
            <w:tcW w:w="1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129,514</w:t>
            </w:r>
          </w:p>
        </w:tc>
        <w:tc>
          <w:tcPr>
            <w:tcW w:w="160" w:type="dxa"/>
            <w:vAlign w:val="bottom"/>
            <w:shd w:val="clear" w:color="auto" w:fill="CCEEFF"/>
          </w:tcPr>
          <w:p>
            <w:pPr>
              <w:spacing w:after="0"/>
              <w:rPr>
                <w:sz w:val="19"/>
                <w:szCs w:val="19"/>
                <w:color w:val="auto"/>
              </w:rPr>
            </w:pPr>
          </w:p>
        </w:tc>
      </w:tr>
      <w:tr>
        <w:trPr>
          <w:trHeight w:val="220"/>
        </w:trPr>
        <w:tc>
          <w:tcPr>
            <w:tcW w:w="5180" w:type="dxa"/>
            <w:vAlign w:val="bottom"/>
          </w:tcPr>
          <w:p>
            <w:pPr>
              <w:ind w:left="100"/>
              <w:spacing w:after="0"/>
              <w:rPr>
                <w:sz w:val="20"/>
                <w:szCs w:val="20"/>
                <w:color w:val="auto"/>
              </w:rPr>
            </w:pPr>
            <w:r>
              <w:rPr>
                <w:rFonts w:ascii="Arial" w:cs="Arial" w:eastAsia="Arial" w:hAnsi="Arial"/>
                <w:sz w:val="17"/>
                <w:szCs w:val="17"/>
                <w:color w:val="auto"/>
              </w:rPr>
              <w:t>Restructuring, integration and other expenses</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46,394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29,469</w:t>
            </w:r>
          </w:p>
        </w:tc>
        <w:tc>
          <w:tcPr>
            <w:tcW w:w="160" w:type="dxa"/>
            <w:vAlign w:val="bottom"/>
          </w:tcPr>
          <w:p>
            <w:pPr>
              <w:spacing w:after="0"/>
              <w:rPr>
                <w:sz w:val="19"/>
                <w:szCs w:val="19"/>
                <w:color w:val="auto"/>
              </w:rPr>
            </w:pPr>
          </w:p>
        </w:tc>
      </w:tr>
      <w:tr>
        <w:trPr>
          <w:trHeight w:val="227"/>
        </w:trPr>
        <w:tc>
          <w:tcPr>
            <w:tcW w:w="5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Amortization of acquired intangible assets and other</w:t>
            </w:r>
          </w:p>
        </w:tc>
        <w:tc>
          <w:tcPr>
            <w:tcW w:w="14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25,585</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2,378</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199"/>
        </w:trPr>
        <w:tc>
          <w:tcPr>
            <w:tcW w:w="5180" w:type="dxa"/>
            <w:vAlign w:val="bottom"/>
          </w:tcPr>
          <w:p>
            <w:pPr>
              <w:spacing w:after="0" w:line="193" w:lineRule="exact"/>
              <w:rPr>
                <w:sz w:val="20"/>
                <w:szCs w:val="20"/>
                <w:color w:val="auto"/>
              </w:rPr>
            </w:pPr>
            <w:r>
              <w:rPr>
                <w:rFonts w:ascii="Arial" w:cs="Arial" w:eastAsia="Arial" w:hAnsi="Arial"/>
                <w:sz w:val="17"/>
                <w:szCs w:val="17"/>
                <w:color w:val="auto"/>
              </w:rPr>
              <w:t>Adjusted operating income</w:t>
            </w:r>
          </w:p>
        </w:tc>
        <w:tc>
          <w:tcPr>
            <w:tcW w:w="1460" w:type="dxa"/>
            <w:vAlign w:val="bottom"/>
          </w:tcPr>
          <w:p>
            <w:pPr>
              <w:spacing w:after="0"/>
              <w:rPr>
                <w:sz w:val="17"/>
                <w:szCs w:val="17"/>
                <w:color w:val="auto"/>
              </w:rPr>
            </w:pPr>
          </w:p>
        </w:tc>
        <w:tc>
          <w:tcPr>
            <w:tcW w:w="220" w:type="dxa"/>
            <w:vAlign w:val="bottom"/>
            <w:tcBorders>
              <w:bottom w:val="single" w:sz="8" w:color="auto"/>
            </w:tcBorders>
          </w:tcPr>
          <w:p>
            <w:pPr>
              <w:spacing w:after="0" w:line="19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141,934</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161,361</w:t>
            </w:r>
          </w:p>
        </w:tc>
        <w:tc>
          <w:tcPr>
            <w:tcW w:w="160" w:type="dxa"/>
            <w:vAlign w:val="bottom"/>
          </w:tcPr>
          <w:p>
            <w:pPr>
              <w:spacing w:after="0"/>
              <w:rPr>
                <w:sz w:val="17"/>
                <w:szCs w:val="17"/>
                <w:color w:val="auto"/>
              </w:rPr>
            </w:pPr>
          </w:p>
        </w:tc>
      </w:tr>
    </w:tbl>
    <w:p>
      <w:pPr>
        <w:spacing w:after="0" w:line="195" w:lineRule="exact"/>
        <w:rPr>
          <w:sz w:val="20"/>
          <w:szCs w:val="20"/>
          <w:color w:val="auto"/>
        </w:rPr>
      </w:pPr>
    </w:p>
    <w:p>
      <w:pPr>
        <w:jc w:val="both"/>
        <w:ind w:firstLine="414"/>
        <w:spacing w:after="0" w:line="260" w:lineRule="auto"/>
        <w:rPr>
          <w:sz w:val="20"/>
          <w:szCs w:val="20"/>
          <w:color w:val="auto"/>
        </w:rPr>
      </w:pPr>
      <w:r>
        <w:rPr>
          <w:rFonts w:ascii="Arial" w:cs="Arial" w:eastAsia="Arial" w:hAnsi="Arial"/>
          <w:sz w:val="17"/>
          <w:szCs w:val="17"/>
          <w:color w:val="auto"/>
        </w:rPr>
        <w:t>Management believes that providing this additional information is useful to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5757545" cy="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0" w:name="page21"/>
    <w:bookmarkEnd w:id="2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OVERVIEW</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Organization</w:t>
      </w:r>
    </w:p>
    <w:p>
      <w:pPr>
        <w:spacing w:after="0" w:line="218" w:lineRule="exact"/>
        <w:rPr>
          <w:sz w:val="20"/>
          <w:szCs w:val="20"/>
          <w:color w:val="auto"/>
        </w:rPr>
      </w:pPr>
    </w:p>
    <w:p>
      <w:pPr>
        <w:jc w:val="both"/>
        <w:ind w:firstLine="414"/>
        <w:spacing w:after="0" w:line="260" w:lineRule="auto"/>
        <w:rPr>
          <w:sz w:val="20"/>
          <w:szCs w:val="20"/>
          <w:color w:val="auto"/>
        </w:rPr>
      </w:pPr>
      <w:r>
        <w:rPr>
          <w:rFonts w:ascii="Arial" w:cs="Arial" w:eastAsia="Arial" w:hAnsi="Arial"/>
          <w:sz w:val="17"/>
          <w:szCs w:val="17"/>
          <w:color w:val="auto"/>
        </w:rPr>
        <w:t>Avnet, Inc., founded in 1921 and incorporated in New York in 1955, together with its consolidated subsidiaries (the “Company” or “Avnet”), is a global value-added distributor of electronic components. Avnet creates a vital link in the technology supply chain that connects the world’s leading electronic component manufacturers with a global customer base primarily comprised of original equipment manufacturers, electronic manufacturing services providers and original design manufacturers. Avnet distributes electronic components, as received from its suppliers or through a customized integrated solution, and offers assembly and other value-added services.</w:t>
      </w:r>
    </w:p>
    <w:p>
      <w:pPr>
        <w:spacing w:after="0" w:line="178" w:lineRule="exact"/>
        <w:rPr>
          <w:sz w:val="20"/>
          <w:szCs w:val="20"/>
          <w:color w:val="auto"/>
        </w:rPr>
      </w:pPr>
    </w:p>
    <w:p>
      <w:pPr>
        <w:jc w:val="both"/>
        <w:ind w:firstLine="414"/>
        <w:spacing w:after="0" w:line="263" w:lineRule="auto"/>
        <w:rPr>
          <w:sz w:val="20"/>
          <w:szCs w:val="20"/>
          <w:color w:val="auto"/>
        </w:rPr>
      </w:pPr>
      <w:r>
        <w:rPr>
          <w:rFonts w:ascii="Arial" w:cs="Arial" w:eastAsia="Arial" w:hAnsi="Arial"/>
          <w:sz w:val="17"/>
          <w:szCs w:val="17"/>
          <w:color w:val="auto"/>
        </w:rPr>
        <w:t>Avnet’s two operating groups – Electronic Components (“EC”) and Premier Farnell (“PF”) - have operations in each of the three major economic regions of the world: the Americas; EMEA; and Asia/Pacific, consisting of Asia, Australia and New Zealand (“Asia”). A summary of each operating group is provided in Note 13, “Segment information” to the Company’s consolidated financial statements included in this Quarterly Report on Form 10-Q.</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Executive Summary</w:t>
      </w:r>
    </w:p>
    <w:p>
      <w:pPr>
        <w:spacing w:after="0" w:line="218" w:lineRule="exact"/>
        <w:rPr>
          <w:sz w:val="20"/>
          <w:szCs w:val="20"/>
          <w:color w:val="auto"/>
        </w:rPr>
      </w:pPr>
    </w:p>
    <w:p>
      <w:pPr>
        <w:jc w:val="both"/>
        <w:ind w:firstLine="414"/>
        <w:spacing w:after="0" w:line="283" w:lineRule="auto"/>
        <w:rPr>
          <w:sz w:val="20"/>
          <w:szCs w:val="20"/>
          <w:color w:val="auto"/>
        </w:rPr>
      </w:pPr>
      <w:r>
        <w:rPr>
          <w:rFonts w:ascii="Arial" w:cs="Arial" w:eastAsia="Arial" w:hAnsi="Arial"/>
          <w:sz w:val="17"/>
          <w:szCs w:val="17"/>
          <w:color w:val="auto"/>
        </w:rPr>
        <w:t>Avnet’s sales and gross profit increased year-over-year primarily as a result of the Company’s acquisition of PF and improvements in the EMEA and Asia regions, partially offset by declines in the Americas region.</w:t>
      </w:r>
    </w:p>
    <w:p>
      <w:pPr>
        <w:spacing w:after="0" w:line="160" w:lineRule="exact"/>
        <w:rPr>
          <w:sz w:val="20"/>
          <w:szCs w:val="20"/>
          <w:color w:val="auto"/>
        </w:rPr>
      </w:pPr>
    </w:p>
    <w:p>
      <w:pPr>
        <w:jc w:val="both"/>
        <w:ind w:firstLine="414"/>
        <w:spacing w:after="0" w:line="268" w:lineRule="auto"/>
        <w:rPr>
          <w:sz w:val="20"/>
          <w:szCs w:val="20"/>
          <w:color w:val="auto"/>
        </w:rPr>
      </w:pPr>
      <w:r>
        <w:rPr>
          <w:rFonts w:ascii="Arial" w:cs="Arial" w:eastAsia="Arial" w:hAnsi="Arial"/>
          <w:sz w:val="17"/>
          <w:szCs w:val="17"/>
          <w:color w:val="auto"/>
        </w:rPr>
        <w:t>Sales of $4.66 billion in the first quarter of fiscal 2018 increased 13.2% over the first quarter of fiscal 2017 sales of $4.12 billion and increased 11.8% in constant currency. Excluding the impact of the PF acquisition, Avnet’s organic sales increased 4.8% or 3.5% in constant currency.</w:t>
      </w:r>
    </w:p>
    <w:p>
      <w:pPr>
        <w:spacing w:after="0" w:line="173" w:lineRule="exact"/>
        <w:rPr>
          <w:sz w:val="20"/>
          <w:szCs w:val="20"/>
          <w:color w:val="auto"/>
        </w:rPr>
      </w:pPr>
    </w:p>
    <w:p>
      <w:pPr>
        <w:jc w:val="both"/>
        <w:ind w:firstLine="414"/>
        <w:spacing w:after="0" w:line="283" w:lineRule="auto"/>
        <w:rPr>
          <w:sz w:val="20"/>
          <w:szCs w:val="20"/>
          <w:color w:val="auto"/>
        </w:rPr>
      </w:pPr>
      <w:r>
        <w:rPr>
          <w:rFonts w:ascii="Arial" w:cs="Arial" w:eastAsia="Arial" w:hAnsi="Arial"/>
          <w:sz w:val="17"/>
          <w:szCs w:val="17"/>
          <w:color w:val="auto"/>
        </w:rPr>
        <w:t>Gross profit margin of 13.1% increased 45 basis points over the prior year first quarter as increases from the acquisition of PF were partially offset by declines across all three EC regions.</w:t>
      </w:r>
    </w:p>
    <w:p>
      <w:pPr>
        <w:spacing w:after="0" w:line="160" w:lineRule="exact"/>
        <w:rPr>
          <w:sz w:val="20"/>
          <w:szCs w:val="20"/>
          <w:color w:val="auto"/>
        </w:rPr>
      </w:pPr>
    </w:p>
    <w:p>
      <w:pPr>
        <w:jc w:val="both"/>
        <w:ind w:firstLine="414"/>
        <w:spacing w:after="0" w:line="263" w:lineRule="auto"/>
        <w:rPr>
          <w:sz w:val="20"/>
          <w:szCs w:val="20"/>
          <w:color w:val="auto"/>
        </w:rPr>
      </w:pPr>
      <w:r>
        <w:rPr>
          <w:rFonts w:ascii="Arial" w:cs="Arial" w:eastAsia="Arial" w:hAnsi="Arial"/>
          <w:sz w:val="17"/>
          <w:szCs w:val="17"/>
          <w:color w:val="auto"/>
        </w:rPr>
        <w:t>Operating income margin was 1.5% in the first quarter of fiscal 2018 as compared with 3.1% in the first quarter of fiscal 2017 and adjusted operating income margin was 3.0% in the first quarter of fiscal 2018 as compared to 3.9% in the first quarter of fiscal 2017. The decline in adjusted operating income margin was driven by the western EC regions, partially offset by the acquisition of PF.</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tables present the reconciliation of reported sales to organic sales for the first quarters of fiscal 2018 and fiscal</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2017.</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5757545"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1" w:name="page22"/>
    <w:bookmarkEnd w:id="21"/>
    <w:p>
      <w:pPr>
        <w:ind w:left="1"/>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 w:type="dxa"/>
        <w:tblCellMar>
          <w:top w:w="0" w:type="dxa"/>
          <w:left w:w="0" w:type="dxa"/>
          <w:bottom w:w="0" w:type="dxa"/>
          <w:right w:w="0" w:type="dxa"/>
        </w:tblCellMar>
      </w:tblPr>
      <w:tr>
        <w:trPr>
          <w:trHeight w:val="201"/>
        </w:trPr>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First Quarters Ended</w:t>
            </w:r>
          </w:p>
        </w:tc>
        <w:tc>
          <w:tcPr>
            <w:tcW w:w="8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1"/>
              </w:rPr>
              <w:t>Sales</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Organic</w:t>
            </w:r>
          </w:p>
        </w:tc>
      </w:tr>
      <w:tr>
        <w:trPr>
          <w:trHeight w:val="141"/>
        </w:trPr>
        <w:tc>
          <w:tcPr>
            <w:tcW w:w="1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122"/>
              <w:spacing w:after="0" w:line="142" w:lineRule="exact"/>
              <w:rPr>
                <w:sz w:val="20"/>
                <w:szCs w:val="20"/>
                <w:color w:val="auto"/>
              </w:rPr>
            </w:pPr>
            <w:r>
              <w:rPr>
                <w:rFonts w:ascii="Arial" w:cs="Arial" w:eastAsia="Arial" w:hAnsi="Arial"/>
                <w:sz w:val="16"/>
                <w:szCs w:val="16"/>
                <w:b w:val="1"/>
                <w:bCs w:val="1"/>
                <w:color w:val="auto"/>
                <w:w w:val="81"/>
              </w:rPr>
              <w:t>Sales</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20"/>
              <w:spacing w:after="0" w:line="142" w:lineRule="exact"/>
              <w:rPr>
                <w:sz w:val="20"/>
                <w:szCs w:val="20"/>
                <w:color w:val="auto"/>
              </w:rPr>
            </w:pPr>
            <w:r>
              <w:rPr>
                <w:rFonts w:ascii="Arial" w:cs="Arial" w:eastAsia="Arial" w:hAnsi="Arial"/>
                <w:sz w:val="16"/>
                <w:szCs w:val="16"/>
                <w:b w:val="1"/>
                <w:bCs w:val="1"/>
                <w:color w:val="auto"/>
                <w:w w:val="86"/>
              </w:rPr>
              <w:t>As Reported</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60"/>
              <w:spacing w:after="0" w:line="142" w:lineRule="exact"/>
              <w:rPr>
                <w:sz w:val="20"/>
                <w:szCs w:val="20"/>
                <w:color w:val="auto"/>
              </w:rPr>
            </w:pPr>
            <w:r>
              <w:rPr>
                <w:rFonts w:ascii="Arial" w:cs="Arial" w:eastAsia="Arial" w:hAnsi="Arial"/>
                <w:sz w:val="16"/>
                <w:szCs w:val="16"/>
                <w:b w:val="1"/>
                <w:bCs w:val="1"/>
                <w:color w:val="auto"/>
                <w:w w:val="81"/>
              </w:rPr>
              <w:t>Sales</w:t>
            </w:r>
          </w:p>
        </w:tc>
      </w:tr>
      <w:tr>
        <w:trPr>
          <w:trHeight w:val="168"/>
        </w:trPr>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jc w:val="center"/>
              <w:ind w:right="22"/>
              <w:spacing w:after="0" w:line="168" w:lineRule="exact"/>
              <w:rPr>
                <w:sz w:val="20"/>
                <w:szCs w:val="20"/>
                <w:color w:val="auto"/>
              </w:rPr>
            </w:pPr>
            <w:r>
              <w:rPr>
                <w:rFonts w:ascii="Arial" w:cs="Arial" w:eastAsia="Arial" w:hAnsi="Arial"/>
                <w:sz w:val="16"/>
                <w:szCs w:val="16"/>
                <w:b w:val="1"/>
                <w:bCs w:val="1"/>
                <w:color w:val="auto"/>
                <w:w w:val="88"/>
              </w:rPr>
              <w:t>As Reported</w:t>
            </w:r>
          </w:p>
        </w:tc>
        <w:tc>
          <w:tcPr>
            <w:tcW w:w="240" w:type="dxa"/>
            <w:vAlign w:val="bottom"/>
          </w:tcPr>
          <w:p>
            <w:pPr>
              <w:spacing w:after="0"/>
              <w:rPr>
                <w:sz w:val="14"/>
                <w:szCs w:val="14"/>
                <w:color w:val="auto"/>
              </w:rPr>
            </w:pPr>
          </w:p>
        </w:tc>
        <w:tc>
          <w:tcPr>
            <w:tcW w:w="860" w:type="dxa"/>
            <w:vAlign w:val="bottom"/>
          </w:tcPr>
          <w:p>
            <w:pPr>
              <w:jc w:val="center"/>
              <w:ind w:right="82"/>
              <w:spacing w:after="0" w:line="168" w:lineRule="exact"/>
              <w:rPr>
                <w:sz w:val="20"/>
                <w:szCs w:val="20"/>
                <w:color w:val="auto"/>
              </w:rPr>
            </w:pPr>
            <w:r>
              <w:rPr>
                <w:rFonts w:ascii="Arial" w:cs="Arial" w:eastAsia="Arial" w:hAnsi="Arial"/>
                <w:sz w:val="16"/>
                <w:szCs w:val="16"/>
                <w:b w:val="1"/>
                <w:bCs w:val="1"/>
                <w:color w:val="auto"/>
                <w:w w:val="81"/>
              </w:rPr>
              <w:t>Sales</w:t>
            </w:r>
          </w:p>
        </w:tc>
        <w:tc>
          <w:tcPr>
            <w:tcW w:w="200" w:type="dxa"/>
            <w:vAlign w:val="bottom"/>
          </w:tcPr>
          <w:p>
            <w:pPr>
              <w:spacing w:after="0"/>
              <w:rPr>
                <w:sz w:val="14"/>
                <w:szCs w:val="14"/>
                <w:color w:val="auto"/>
              </w:rPr>
            </w:pPr>
          </w:p>
        </w:tc>
        <w:tc>
          <w:tcPr>
            <w:tcW w:w="940" w:type="dxa"/>
            <w:vAlign w:val="bottom"/>
            <w:gridSpan w:val="2"/>
          </w:tcPr>
          <w:p>
            <w:pPr>
              <w:jc w:val="center"/>
              <w:ind w:right="240"/>
              <w:spacing w:after="0" w:line="168" w:lineRule="exact"/>
              <w:rPr>
                <w:sz w:val="20"/>
                <w:szCs w:val="20"/>
                <w:color w:val="auto"/>
              </w:rPr>
            </w:pPr>
            <w:r>
              <w:rPr>
                <w:rFonts w:ascii="Arial" w:cs="Arial" w:eastAsia="Arial" w:hAnsi="Arial"/>
                <w:sz w:val="16"/>
                <w:szCs w:val="16"/>
                <w:b w:val="1"/>
                <w:bCs w:val="1"/>
                <w:color w:val="auto"/>
                <w:w w:val="81"/>
              </w:rPr>
              <w:t>Sales</w:t>
            </w:r>
          </w:p>
        </w:tc>
        <w:tc>
          <w:tcPr>
            <w:tcW w:w="1000" w:type="dxa"/>
            <w:vAlign w:val="bottom"/>
            <w:gridSpan w:val="2"/>
          </w:tcPr>
          <w:p>
            <w:pPr>
              <w:jc w:val="center"/>
              <w:ind w:right="100"/>
              <w:spacing w:after="0" w:line="168" w:lineRule="exact"/>
              <w:rPr>
                <w:sz w:val="20"/>
                <w:szCs w:val="20"/>
                <w:color w:val="auto"/>
              </w:rPr>
            </w:pPr>
            <w:r>
              <w:rPr>
                <w:rFonts w:ascii="Arial" w:cs="Arial" w:eastAsia="Arial" w:hAnsi="Arial"/>
                <w:sz w:val="16"/>
                <w:szCs w:val="16"/>
                <w:b w:val="1"/>
                <w:bCs w:val="1"/>
                <w:color w:val="auto"/>
                <w:w w:val="81"/>
              </w:rPr>
              <w:t>Sales</w:t>
            </w:r>
          </w:p>
        </w:tc>
        <w:tc>
          <w:tcPr>
            <w:tcW w:w="1020" w:type="dxa"/>
            <w:vAlign w:val="bottom"/>
            <w:gridSpan w:val="2"/>
          </w:tcPr>
          <w:p>
            <w:pPr>
              <w:jc w:val="center"/>
              <w:ind w:right="120"/>
              <w:spacing w:after="0" w:line="168" w:lineRule="exact"/>
              <w:rPr>
                <w:sz w:val="20"/>
                <w:szCs w:val="20"/>
                <w:color w:val="auto"/>
              </w:rPr>
            </w:pPr>
            <w:r>
              <w:rPr>
                <w:rFonts w:ascii="Arial" w:cs="Arial" w:eastAsia="Arial" w:hAnsi="Arial"/>
                <w:sz w:val="16"/>
                <w:szCs w:val="16"/>
                <w:b w:val="1"/>
                <w:bCs w:val="1"/>
                <w:color w:val="auto"/>
                <w:w w:val="92"/>
              </w:rPr>
              <w:t>Year-Year %</w:t>
            </w:r>
          </w:p>
        </w:tc>
        <w:tc>
          <w:tcPr>
            <w:tcW w:w="900" w:type="dxa"/>
            <w:vAlign w:val="bottom"/>
            <w:gridSpan w:val="2"/>
          </w:tcPr>
          <w:p>
            <w:pPr>
              <w:jc w:val="center"/>
              <w:ind w:right="80"/>
              <w:spacing w:after="0" w:line="168" w:lineRule="exact"/>
              <w:rPr>
                <w:sz w:val="20"/>
                <w:szCs w:val="20"/>
                <w:color w:val="auto"/>
              </w:rPr>
            </w:pPr>
            <w:r>
              <w:rPr>
                <w:rFonts w:ascii="Arial" w:cs="Arial" w:eastAsia="Arial" w:hAnsi="Arial"/>
                <w:sz w:val="16"/>
                <w:szCs w:val="16"/>
                <w:b w:val="1"/>
                <w:bCs w:val="1"/>
                <w:color w:val="auto"/>
                <w:w w:val="89"/>
              </w:rPr>
              <w:t>Organic</w:t>
            </w:r>
          </w:p>
        </w:tc>
        <w:tc>
          <w:tcPr>
            <w:tcW w:w="960" w:type="dxa"/>
            <w:vAlign w:val="bottom"/>
            <w:gridSpan w:val="2"/>
          </w:tcPr>
          <w:p>
            <w:pPr>
              <w:jc w:val="center"/>
              <w:ind w:right="60"/>
              <w:spacing w:after="0" w:line="168" w:lineRule="exact"/>
              <w:rPr>
                <w:sz w:val="20"/>
                <w:szCs w:val="20"/>
                <w:color w:val="auto"/>
              </w:rPr>
            </w:pPr>
            <w:r>
              <w:rPr>
                <w:rFonts w:ascii="Arial" w:cs="Arial" w:eastAsia="Arial" w:hAnsi="Arial"/>
                <w:sz w:val="16"/>
                <w:szCs w:val="16"/>
                <w:b w:val="1"/>
                <w:bCs w:val="1"/>
                <w:color w:val="auto"/>
                <w:w w:val="92"/>
              </w:rPr>
              <w:t>Year-Year %</w:t>
            </w:r>
          </w:p>
        </w:tc>
      </w:tr>
      <w:tr>
        <w:trPr>
          <w:trHeight w:val="168"/>
        </w:trPr>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jc w:val="center"/>
              <w:ind w:right="22"/>
              <w:spacing w:after="0" w:line="168" w:lineRule="exact"/>
              <w:rPr>
                <w:sz w:val="20"/>
                <w:szCs w:val="20"/>
                <w:color w:val="auto"/>
              </w:rPr>
            </w:pPr>
            <w:r>
              <w:rPr>
                <w:rFonts w:ascii="Arial" w:cs="Arial" w:eastAsia="Arial" w:hAnsi="Arial"/>
                <w:sz w:val="16"/>
                <w:szCs w:val="16"/>
                <w:b w:val="1"/>
                <w:bCs w:val="1"/>
                <w:color w:val="auto"/>
                <w:w w:val="89"/>
              </w:rPr>
              <w:t>and Organic</w:t>
            </w:r>
          </w:p>
        </w:tc>
        <w:tc>
          <w:tcPr>
            <w:tcW w:w="1100" w:type="dxa"/>
            <w:vAlign w:val="bottom"/>
            <w:gridSpan w:val="2"/>
          </w:tcPr>
          <w:p>
            <w:pPr>
              <w:jc w:val="center"/>
              <w:spacing w:after="0" w:line="168" w:lineRule="exact"/>
              <w:rPr>
                <w:sz w:val="20"/>
                <w:szCs w:val="20"/>
                <w:color w:val="auto"/>
              </w:rPr>
            </w:pPr>
            <w:r>
              <w:rPr>
                <w:rFonts w:ascii="Arial" w:cs="Arial" w:eastAsia="Arial" w:hAnsi="Arial"/>
                <w:sz w:val="16"/>
                <w:szCs w:val="16"/>
                <w:b w:val="1"/>
                <w:bCs w:val="1"/>
                <w:color w:val="auto"/>
                <w:w w:val="88"/>
              </w:rPr>
              <w:t>As Reported</w:t>
            </w:r>
          </w:p>
        </w:tc>
        <w:tc>
          <w:tcPr>
            <w:tcW w:w="200" w:type="dxa"/>
            <w:vAlign w:val="bottom"/>
          </w:tcPr>
          <w:p>
            <w:pPr>
              <w:spacing w:after="0"/>
              <w:rPr>
                <w:sz w:val="14"/>
                <w:szCs w:val="14"/>
                <w:color w:val="auto"/>
              </w:rPr>
            </w:pPr>
          </w:p>
        </w:tc>
        <w:tc>
          <w:tcPr>
            <w:tcW w:w="940" w:type="dxa"/>
            <w:vAlign w:val="bottom"/>
            <w:gridSpan w:val="2"/>
          </w:tcPr>
          <w:p>
            <w:pPr>
              <w:jc w:val="center"/>
              <w:ind w:right="240"/>
              <w:spacing w:after="0" w:line="168" w:lineRule="exact"/>
              <w:rPr>
                <w:sz w:val="20"/>
                <w:szCs w:val="20"/>
                <w:color w:val="auto"/>
              </w:rPr>
            </w:pPr>
            <w:r>
              <w:rPr>
                <w:rFonts w:ascii="Arial" w:cs="Arial" w:eastAsia="Arial" w:hAnsi="Arial"/>
                <w:sz w:val="16"/>
                <w:szCs w:val="16"/>
                <w:b w:val="1"/>
                <w:bCs w:val="1"/>
                <w:color w:val="auto"/>
                <w:w w:val="89"/>
              </w:rPr>
              <w:t>Organic</w:t>
            </w:r>
          </w:p>
        </w:tc>
        <w:tc>
          <w:tcPr>
            <w:tcW w:w="1000" w:type="dxa"/>
            <w:vAlign w:val="bottom"/>
            <w:gridSpan w:val="2"/>
          </w:tcPr>
          <w:p>
            <w:pPr>
              <w:jc w:val="center"/>
              <w:ind w:right="100"/>
              <w:spacing w:after="0" w:line="168" w:lineRule="exact"/>
              <w:rPr>
                <w:sz w:val="20"/>
                <w:szCs w:val="20"/>
                <w:color w:val="auto"/>
              </w:rPr>
            </w:pPr>
            <w:r>
              <w:rPr>
                <w:rFonts w:ascii="Arial" w:cs="Arial" w:eastAsia="Arial" w:hAnsi="Arial"/>
                <w:sz w:val="16"/>
                <w:szCs w:val="16"/>
                <w:b w:val="1"/>
                <w:bCs w:val="1"/>
                <w:color w:val="auto"/>
                <w:w w:val="86"/>
              </w:rPr>
              <w:t>As Reported</w:t>
            </w:r>
          </w:p>
        </w:tc>
        <w:tc>
          <w:tcPr>
            <w:tcW w:w="1020" w:type="dxa"/>
            <w:vAlign w:val="bottom"/>
            <w:gridSpan w:val="2"/>
          </w:tcPr>
          <w:p>
            <w:pPr>
              <w:jc w:val="center"/>
              <w:ind w:right="140"/>
              <w:spacing w:after="0" w:line="168" w:lineRule="exact"/>
              <w:rPr>
                <w:sz w:val="20"/>
                <w:szCs w:val="20"/>
                <w:color w:val="auto"/>
              </w:rPr>
            </w:pPr>
            <w:r>
              <w:rPr>
                <w:rFonts w:ascii="Arial" w:cs="Arial" w:eastAsia="Arial" w:hAnsi="Arial"/>
                <w:sz w:val="16"/>
                <w:szCs w:val="16"/>
                <w:b w:val="1"/>
                <w:bCs w:val="1"/>
                <w:color w:val="auto"/>
                <w:w w:val="87"/>
              </w:rPr>
              <w:t>Change in</w:t>
            </w:r>
          </w:p>
        </w:tc>
        <w:tc>
          <w:tcPr>
            <w:tcW w:w="900" w:type="dxa"/>
            <w:vAlign w:val="bottom"/>
            <w:gridSpan w:val="2"/>
          </w:tcPr>
          <w:p>
            <w:pPr>
              <w:jc w:val="center"/>
              <w:ind w:right="80"/>
              <w:spacing w:after="0" w:line="168" w:lineRule="exact"/>
              <w:rPr>
                <w:sz w:val="20"/>
                <w:szCs w:val="20"/>
                <w:color w:val="auto"/>
              </w:rPr>
            </w:pPr>
            <w:r>
              <w:rPr>
                <w:rFonts w:ascii="Arial" w:cs="Arial" w:eastAsia="Arial" w:hAnsi="Arial"/>
                <w:sz w:val="16"/>
                <w:szCs w:val="16"/>
                <w:b w:val="1"/>
                <w:bCs w:val="1"/>
                <w:color w:val="auto"/>
                <w:w w:val="81"/>
              </w:rPr>
              <w:t>Sales</w:t>
            </w:r>
          </w:p>
        </w:tc>
        <w:tc>
          <w:tcPr>
            <w:tcW w:w="960" w:type="dxa"/>
            <w:vAlign w:val="bottom"/>
            <w:gridSpan w:val="2"/>
          </w:tcPr>
          <w:p>
            <w:pPr>
              <w:jc w:val="center"/>
              <w:ind w:right="40"/>
              <w:spacing w:after="0" w:line="168" w:lineRule="exact"/>
              <w:rPr>
                <w:sz w:val="20"/>
                <w:szCs w:val="20"/>
                <w:color w:val="auto"/>
              </w:rPr>
            </w:pPr>
            <w:r>
              <w:rPr>
                <w:rFonts w:ascii="Arial" w:cs="Arial" w:eastAsia="Arial" w:hAnsi="Arial"/>
                <w:sz w:val="16"/>
                <w:szCs w:val="16"/>
                <w:b w:val="1"/>
                <w:bCs w:val="1"/>
                <w:color w:val="auto"/>
                <w:w w:val="87"/>
              </w:rPr>
              <w:t>Change in</w:t>
            </w:r>
          </w:p>
        </w:tc>
      </w:tr>
      <w:tr>
        <w:trPr>
          <w:trHeight w:val="168"/>
        </w:trPr>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142"/>
              <w:spacing w:after="0" w:line="168" w:lineRule="exact"/>
              <w:rPr>
                <w:sz w:val="20"/>
                <w:szCs w:val="20"/>
                <w:color w:val="auto"/>
              </w:rPr>
            </w:pPr>
            <w:r>
              <w:rPr>
                <w:rFonts w:ascii="Arial" w:cs="Arial" w:eastAsia="Arial" w:hAnsi="Arial"/>
                <w:sz w:val="16"/>
                <w:szCs w:val="16"/>
                <w:b w:val="1"/>
                <w:bCs w:val="1"/>
                <w:color w:val="auto"/>
                <w:w w:val="88"/>
              </w:rPr>
              <w:t>Q1-Fiscal</w:t>
            </w:r>
          </w:p>
        </w:tc>
        <w:tc>
          <w:tcPr>
            <w:tcW w:w="240" w:type="dxa"/>
            <w:vAlign w:val="bottom"/>
          </w:tcPr>
          <w:p>
            <w:pPr>
              <w:spacing w:after="0"/>
              <w:rPr>
                <w:sz w:val="14"/>
                <w:szCs w:val="14"/>
                <w:color w:val="auto"/>
              </w:rPr>
            </w:pPr>
          </w:p>
        </w:tc>
        <w:tc>
          <w:tcPr>
            <w:tcW w:w="860" w:type="dxa"/>
            <w:vAlign w:val="bottom"/>
          </w:tcPr>
          <w:p>
            <w:pPr>
              <w:jc w:val="center"/>
              <w:ind w:right="102"/>
              <w:spacing w:after="0" w:line="168" w:lineRule="exact"/>
              <w:rPr>
                <w:sz w:val="20"/>
                <w:szCs w:val="20"/>
                <w:color w:val="auto"/>
              </w:rPr>
            </w:pPr>
            <w:r>
              <w:rPr>
                <w:rFonts w:ascii="Arial" w:cs="Arial" w:eastAsia="Arial" w:hAnsi="Arial"/>
                <w:sz w:val="16"/>
                <w:szCs w:val="16"/>
                <w:b w:val="1"/>
                <w:bCs w:val="1"/>
                <w:color w:val="auto"/>
                <w:w w:val="88"/>
              </w:rPr>
              <w:t>Q1-Fiscal</w:t>
            </w:r>
          </w:p>
        </w:tc>
        <w:tc>
          <w:tcPr>
            <w:tcW w:w="200" w:type="dxa"/>
            <w:vAlign w:val="bottom"/>
          </w:tcPr>
          <w:p>
            <w:pPr>
              <w:spacing w:after="0"/>
              <w:rPr>
                <w:sz w:val="14"/>
                <w:szCs w:val="14"/>
                <w:color w:val="auto"/>
              </w:rPr>
            </w:pPr>
          </w:p>
        </w:tc>
        <w:tc>
          <w:tcPr>
            <w:tcW w:w="940" w:type="dxa"/>
            <w:vAlign w:val="bottom"/>
            <w:gridSpan w:val="2"/>
          </w:tcPr>
          <w:p>
            <w:pPr>
              <w:jc w:val="center"/>
              <w:ind w:right="260"/>
              <w:spacing w:after="0" w:line="168" w:lineRule="exact"/>
              <w:rPr>
                <w:sz w:val="20"/>
                <w:szCs w:val="20"/>
                <w:color w:val="auto"/>
              </w:rPr>
            </w:pPr>
            <w:r>
              <w:rPr>
                <w:rFonts w:ascii="Arial" w:cs="Arial" w:eastAsia="Arial" w:hAnsi="Arial"/>
                <w:sz w:val="16"/>
                <w:szCs w:val="16"/>
                <w:b w:val="1"/>
                <w:bCs w:val="1"/>
                <w:color w:val="auto"/>
                <w:w w:val="88"/>
              </w:rPr>
              <w:t>Q1-Fiscal</w:t>
            </w:r>
          </w:p>
        </w:tc>
        <w:tc>
          <w:tcPr>
            <w:tcW w:w="1000" w:type="dxa"/>
            <w:vAlign w:val="bottom"/>
            <w:gridSpan w:val="2"/>
          </w:tcPr>
          <w:p>
            <w:pPr>
              <w:jc w:val="center"/>
              <w:ind w:right="100"/>
              <w:spacing w:after="0" w:line="168" w:lineRule="exact"/>
              <w:rPr>
                <w:sz w:val="20"/>
                <w:szCs w:val="20"/>
                <w:color w:val="auto"/>
              </w:rPr>
            </w:pPr>
            <w:r>
              <w:rPr>
                <w:rFonts w:ascii="Arial" w:cs="Arial" w:eastAsia="Arial" w:hAnsi="Arial"/>
                <w:sz w:val="16"/>
                <w:szCs w:val="16"/>
                <w:b w:val="1"/>
                <w:bCs w:val="1"/>
                <w:color w:val="auto"/>
                <w:w w:val="88"/>
              </w:rPr>
              <w:t>Year-Year</w:t>
            </w:r>
          </w:p>
        </w:tc>
        <w:tc>
          <w:tcPr>
            <w:tcW w:w="1020" w:type="dxa"/>
            <w:vAlign w:val="bottom"/>
            <w:gridSpan w:val="2"/>
          </w:tcPr>
          <w:p>
            <w:pPr>
              <w:jc w:val="center"/>
              <w:ind w:right="140"/>
              <w:spacing w:after="0" w:line="168" w:lineRule="exact"/>
              <w:rPr>
                <w:sz w:val="20"/>
                <w:szCs w:val="20"/>
                <w:color w:val="auto"/>
              </w:rPr>
            </w:pPr>
            <w:r>
              <w:rPr>
                <w:rFonts w:ascii="Arial" w:cs="Arial" w:eastAsia="Arial" w:hAnsi="Arial"/>
                <w:sz w:val="16"/>
                <w:szCs w:val="16"/>
                <w:b w:val="1"/>
                <w:bCs w:val="1"/>
                <w:color w:val="auto"/>
                <w:w w:val="86"/>
              </w:rPr>
              <w:t>Constant</w:t>
            </w:r>
          </w:p>
        </w:tc>
        <w:tc>
          <w:tcPr>
            <w:tcW w:w="900" w:type="dxa"/>
            <w:vAlign w:val="bottom"/>
            <w:gridSpan w:val="2"/>
          </w:tcPr>
          <w:p>
            <w:pPr>
              <w:jc w:val="center"/>
              <w:ind w:right="80"/>
              <w:spacing w:after="0" w:line="168" w:lineRule="exact"/>
              <w:rPr>
                <w:sz w:val="20"/>
                <w:szCs w:val="20"/>
                <w:color w:val="auto"/>
              </w:rPr>
            </w:pPr>
            <w:r>
              <w:rPr>
                <w:rFonts w:ascii="Arial" w:cs="Arial" w:eastAsia="Arial" w:hAnsi="Arial"/>
                <w:sz w:val="16"/>
                <w:szCs w:val="16"/>
                <w:b w:val="1"/>
                <w:bCs w:val="1"/>
                <w:color w:val="auto"/>
                <w:w w:val="88"/>
              </w:rPr>
              <w:t>Year-Year</w:t>
            </w:r>
          </w:p>
        </w:tc>
        <w:tc>
          <w:tcPr>
            <w:tcW w:w="960" w:type="dxa"/>
            <w:vAlign w:val="bottom"/>
            <w:gridSpan w:val="2"/>
          </w:tcPr>
          <w:p>
            <w:pPr>
              <w:jc w:val="center"/>
              <w:ind w:right="40"/>
              <w:spacing w:after="0" w:line="168" w:lineRule="exact"/>
              <w:rPr>
                <w:sz w:val="20"/>
                <w:szCs w:val="20"/>
                <w:color w:val="auto"/>
              </w:rPr>
            </w:pPr>
            <w:r>
              <w:rPr>
                <w:rFonts w:ascii="Arial" w:cs="Arial" w:eastAsia="Arial" w:hAnsi="Arial"/>
                <w:sz w:val="16"/>
                <w:szCs w:val="16"/>
                <w:b w:val="1"/>
                <w:bCs w:val="1"/>
                <w:color w:val="auto"/>
                <w:w w:val="86"/>
              </w:rPr>
              <w:t>Constant</w:t>
            </w:r>
          </w:p>
        </w:tc>
      </w:tr>
      <w:tr>
        <w:trPr>
          <w:trHeight w:val="214"/>
        </w:trPr>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22"/>
              <w:spacing w:after="0"/>
              <w:rPr>
                <w:sz w:val="20"/>
                <w:szCs w:val="20"/>
                <w:color w:val="auto"/>
              </w:rPr>
            </w:pPr>
            <w:r>
              <w:rPr>
                <w:rFonts w:ascii="Arial" w:cs="Arial" w:eastAsia="Arial" w:hAnsi="Arial"/>
                <w:sz w:val="16"/>
                <w:szCs w:val="16"/>
                <w:b w:val="1"/>
                <w:bCs w:val="1"/>
                <w:color w:val="auto"/>
                <w:w w:val="84"/>
              </w:rPr>
              <w:t>2018</w:t>
            </w:r>
          </w:p>
        </w:tc>
        <w:tc>
          <w:tcPr>
            <w:tcW w:w="240" w:type="dxa"/>
            <w:vAlign w:val="bottom"/>
          </w:tcPr>
          <w:p>
            <w:pPr>
              <w:spacing w:after="0"/>
              <w:rPr>
                <w:sz w:val="18"/>
                <w:szCs w:val="18"/>
                <w:color w:val="auto"/>
              </w:rPr>
            </w:pPr>
          </w:p>
        </w:tc>
        <w:tc>
          <w:tcPr>
            <w:tcW w:w="860" w:type="dxa"/>
            <w:vAlign w:val="bottom"/>
          </w:tcPr>
          <w:p>
            <w:pPr>
              <w:jc w:val="center"/>
              <w:ind w:right="102"/>
              <w:spacing w:after="0"/>
              <w:rPr>
                <w:sz w:val="20"/>
                <w:szCs w:val="20"/>
                <w:color w:val="auto"/>
              </w:rPr>
            </w:pPr>
            <w:r>
              <w:rPr>
                <w:rFonts w:ascii="Arial" w:cs="Arial" w:eastAsia="Arial" w:hAnsi="Arial"/>
                <w:sz w:val="16"/>
                <w:szCs w:val="16"/>
                <w:b w:val="1"/>
                <w:bCs w:val="1"/>
                <w:color w:val="auto"/>
                <w:w w:val="89"/>
              </w:rPr>
              <w:t>2017</w:t>
            </w:r>
          </w:p>
        </w:tc>
        <w:tc>
          <w:tcPr>
            <w:tcW w:w="200" w:type="dxa"/>
            <w:vAlign w:val="bottom"/>
          </w:tcPr>
          <w:p>
            <w:pPr>
              <w:spacing w:after="0"/>
              <w:rPr>
                <w:sz w:val="18"/>
                <w:szCs w:val="18"/>
                <w:color w:val="auto"/>
              </w:rPr>
            </w:pPr>
          </w:p>
        </w:tc>
        <w:tc>
          <w:tcPr>
            <w:tcW w:w="800" w:type="dxa"/>
            <w:vAlign w:val="bottom"/>
          </w:tcPr>
          <w:p>
            <w:pPr>
              <w:jc w:val="center"/>
              <w:ind w:right="42"/>
              <w:spacing w:after="0"/>
              <w:rPr>
                <w:sz w:val="20"/>
                <w:szCs w:val="20"/>
                <w:color w:val="auto"/>
              </w:rPr>
            </w:pPr>
            <w:r>
              <w:rPr>
                <w:rFonts w:ascii="Arial" w:cs="Arial" w:eastAsia="Arial" w:hAnsi="Arial"/>
                <w:sz w:val="16"/>
                <w:szCs w:val="16"/>
                <w:b w:val="1"/>
                <w:bCs w:val="1"/>
                <w:color w:val="auto"/>
                <w:w w:val="81"/>
              </w:rPr>
              <w:t xml:space="preserve">2017 </w:t>
            </w:r>
            <w:r>
              <w:rPr>
                <w:rFonts w:ascii="Arial" w:cs="Arial" w:eastAsia="Arial" w:hAnsi="Arial"/>
                <w:sz w:val="17"/>
                <w:szCs w:val="17"/>
                <w:b w:val="1"/>
                <w:bCs w:val="1"/>
                <w:color w:val="auto"/>
                <w:w w:val="81"/>
                <w:vertAlign w:val="superscript"/>
              </w:rPr>
              <w:t>(1)</w:t>
            </w:r>
          </w:p>
        </w:tc>
        <w:tc>
          <w:tcPr>
            <w:tcW w:w="14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 Change</w:t>
            </w: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Currency</w:t>
            </w:r>
          </w:p>
        </w:tc>
        <w:tc>
          <w:tcPr>
            <w:tcW w:w="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 Change</w:t>
            </w:r>
          </w:p>
        </w:tc>
        <w:tc>
          <w:tcPr>
            <w:tcW w:w="9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1"/>
              </w:rPr>
              <w:t>Currency</w:t>
            </w:r>
          </w:p>
        </w:tc>
      </w:tr>
      <w:tr>
        <w:trPr>
          <w:trHeight w:val="147"/>
        </w:trPr>
        <w:tc>
          <w:tcPr>
            <w:tcW w:w="1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4"/>
          </w:tcPr>
          <w:p>
            <w:pPr>
              <w:jc w:val="right"/>
              <w:spacing w:after="0" w:line="148" w:lineRule="exact"/>
              <w:rPr>
                <w:sz w:val="20"/>
                <w:szCs w:val="20"/>
                <w:color w:val="auto"/>
              </w:rPr>
            </w:pPr>
            <w:r>
              <w:rPr>
                <w:rFonts w:ascii="Arial" w:cs="Arial" w:eastAsia="Arial" w:hAnsi="Arial"/>
                <w:sz w:val="16"/>
                <w:szCs w:val="16"/>
                <w:b w:val="1"/>
                <w:bCs w:val="1"/>
                <w:color w:val="auto"/>
              </w:rPr>
              <w:t>(Dollars in thousands)</w:t>
            </w: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89"/>
        </w:trPr>
        <w:tc>
          <w:tcPr>
            <w:tcW w:w="1520" w:type="dxa"/>
            <w:vAlign w:val="bottom"/>
          </w:tcPr>
          <w:p>
            <w:pPr>
              <w:ind w:left="100"/>
              <w:spacing w:after="0"/>
              <w:rPr>
                <w:sz w:val="20"/>
                <w:szCs w:val="20"/>
                <w:color w:val="auto"/>
              </w:rPr>
            </w:pPr>
            <w:r>
              <w:rPr>
                <w:rFonts w:ascii="Arial" w:cs="Arial" w:eastAsia="Arial" w:hAnsi="Arial"/>
                <w:sz w:val="16"/>
                <w:szCs w:val="16"/>
                <w:color w:val="auto"/>
              </w:rPr>
              <w:t>Avnet</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4,660,943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4,118,104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4,446,817</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13.2 %</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11.8 %</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4.8 %</w:t>
            </w:r>
          </w:p>
        </w:tc>
        <w:tc>
          <w:tcPr>
            <w:tcW w:w="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3.5 %</w:t>
            </w:r>
          </w:p>
        </w:tc>
        <w:tc>
          <w:tcPr>
            <w:tcW w:w="40" w:type="dxa"/>
            <w:vAlign w:val="bottom"/>
          </w:tcPr>
          <w:p>
            <w:pPr>
              <w:spacing w:after="0"/>
              <w:rPr>
                <w:sz w:val="16"/>
                <w:szCs w:val="16"/>
                <w:color w:val="auto"/>
              </w:rPr>
            </w:pPr>
          </w:p>
        </w:tc>
      </w:tr>
      <w:tr>
        <w:trPr>
          <w:trHeight w:val="168"/>
        </w:trPr>
        <w:tc>
          <w:tcPr>
            <w:tcW w:w="152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rPr>
              <w:t>Avnet by region</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8"/>
        </w:trPr>
        <w:tc>
          <w:tcPr>
            <w:tcW w:w="1520" w:type="dxa"/>
            <w:vAlign w:val="bottom"/>
          </w:tcPr>
          <w:p>
            <w:pPr>
              <w:ind w:left="100"/>
              <w:spacing w:after="0" w:line="168" w:lineRule="exact"/>
              <w:rPr>
                <w:sz w:val="20"/>
                <w:szCs w:val="20"/>
                <w:color w:val="auto"/>
              </w:rPr>
            </w:pPr>
            <w:r>
              <w:rPr>
                <w:rFonts w:ascii="Arial" w:cs="Arial" w:eastAsia="Arial" w:hAnsi="Arial"/>
                <w:sz w:val="16"/>
                <w:szCs w:val="16"/>
                <w:color w:val="auto"/>
              </w:rPr>
              <w:t>Americas</w:t>
            </w:r>
          </w:p>
        </w:tc>
        <w:tc>
          <w:tcPr>
            <w:tcW w:w="52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62"/>
              <w:spacing w:after="0" w:line="168" w:lineRule="exact"/>
              <w:rPr>
                <w:sz w:val="20"/>
                <w:szCs w:val="20"/>
                <w:color w:val="auto"/>
              </w:rPr>
            </w:pPr>
            <w:r>
              <w:rPr>
                <w:rFonts w:ascii="Arial" w:cs="Arial" w:eastAsia="Arial" w:hAnsi="Arial"/>
                <w:sz w:val="16"/>
                <w:szCs w:val="16"/>
                <w:color w:val="auto"/>
              </w:rPr>
              <w:t>1,185,485</w:t>
            </w:r>
          </w:p>
        </w:tc>
        <w:tc>
          <w:tcPr>
            <w:tcW w:w="24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line="168" w:lineRule="exact"/>
              <w:rPr>
                <w:sz w:val="20"/>
                <w:szCs w:val="20"/>
                <w:color w:val="auto"/>
              </w:rPr>
            </w:pPr>
            <w:r>
              <w:rPr>
                <w:rFonts w:ascii="Arial" w:cs="Arial" w:eastAsia="Arial" w:hAnsi="Arial"/>
                <w:sz w:val="16"/>
                <w:szCs w:val="16"/>
                <w:color w:val="auto"/>
              </w:rPr>
              <w:t>1,250,508</w:t>
            </w:r>
          </w:p>
        </w:tc>
        <w:tc>
          <w:tcPr>
            <w:tcW w:w="2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68" w:lineRule="exact"/>
              <w:rPr>
                <w:sz w:val="20"/>
                <w:szCs w:val="20"/>
                <w:color w:val="auto"/>
              </w:rPr>
            </w:pPr>
            <w:r>
              <w:rPr>
                <w:rFonts w:ascii="Arial" w:cs="Arial" w:eastAsia="Arial" w:hAnsi="Arial"/>
                <w:sz w:val="16"/>
                <w:szCs w:val="16"/>
                <w:color w:val="auto"/>
              </w:rPr>
              <w:t>1,386,652</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Arial" w:cs="Arial" w:eastAsia="Arial" w:hAnsi="Arial"/>
                <w:sz w:val="16"/>
                <w:szCs w:val="16"/>
                <w:color w:val="auto"/>
              </w:rPr>
              <w:t>(5.2)%</w:t>
            </w:r>
          </w:p>
        </w:tc>
        <w:tc>
          <w:tcPr>
            <w:tcW w:w="80" w:type="dxa"/>
            <w:vAlign w:val="bottom"/>
          </w:tcPr>
          <w:p>
            <w:pPr>
              <w:spacing w:after="0"/>
              <w:rPr>
                <w:sz w:val="14"/>
                <w:szCs w:val="14"/>
                <w:color w:val="auto"/>
              </w:rPr>
            </w:pPr>
          </w:p>
        </w:tc>
        <w:tc>
          <w:tcPr>
            <w:tcW w:w="1020" w:type="dxa"/>
            <w:vAlign w:val="bottom"/>
            <w:gridSpan w:val="2"/>
          </w:tcPr>
          <w:p>
            <w:pPr>
              <w:jc w:val="right"/>
              <w:ind w:right="300"/>
              <w:spacing w:after="0" w:line="168"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68" w:lineRule="exact"/>
              <w:rPr>
                <w:sz w:val="20"/>
                <w:szCs w:val="20"/>
                <w:color w:val="auto"/>
              </w:rPr>
            </w:pPr>
            <w:r>
              <w:rPr>
                <w:rFonts w:ascii="Arial" w:cs="Arial" w:eastAsia="Arial" w:hAnsi="Arial"/>
                <w:sz w:val="16"/>
                <w:szCs w:val="16"/>
                <w:color w:val="auto"/>
              </w:rPr>
              <w:t>(14.5)%</w:t>
            </w:r>
          </w:p>
        </w:tc>
        <w:tc>
          <w:tcPr>
            <w:tcW w:w="60" w:type="dxa"/>
            <w:vAlign w:val="bottom"/>
          </w:tcPr>
          <w:p>
            <w:pPr>
              <w:spacing w:after="0"/>
              <w:rPr>
                <w:sz w:val="14"/>
                <w:szCs w:val="14"/>
                <w:color w:val="auto"/>
              </w:rPr>
            </w:pPr>
          </w:p>
        </w:tc>
        <w:tc>
          <w:tcPr>
            <w:tcW w:w="960" w:type="dxa"/>
            <w:vAlign w:val="bottom"/>
            <w:gridSpan w:val="2"/>
          </w:tcPr>
          <w:p>
            <w:pPr>
              <w:jc w:val="right"/>
              <w:ind w:right="220"/>
              <w:spacing w:after="0" w:line="168" w:lineRule="exact"/>
              <w:rPr>
                <w:sz w:val="20"/>
                <w:szCs w:val="20"/>
                <w:color w:val="auto"/>
              </w:rPr>
            </w:pPr>
            <w:r>
              <w:rPr>
                <w:rFonts w:ascii="Arial" w:cs="Arial" w:eastAsia="Arial" w:hAnsi="Arial"/>
                <w:sz w:val="16"/>
                <w:szCs w:val="16"/>
                <w:color w:val="auto"/>
              </w:rPr>
              <w:t>—</w:t>
            </w:r>
          </w:p>
        </w:tc>
      </w:tr>
      <w:tr>
        <w:trPr>
          <w:trHeight w:val="168"/>
        </w:trPr>
        <w:tc>
          <w:tcPr>
            <w:tcW w:w="1520" w:type="dxa"/>
            <w:vAlign w:val="bottom"/>
            <w:shd w:val="clear" w:color="auto" w:fill="CCEEFF"/>
          </w:tcPr>
          <w:p>
            <w:pPr>
              <w:ind w:left="100"/>
              <w:spacing w:after="0" w:line="168" w:lineRule="exact"/>
              <w:rPr>
                <w:sz w:val="20"/>
                <w:szCs w:val="20"/>
                <w:color w:val="auto"/>
              </w:rPr>
            </w:pPr>
            <w:r>
              <w:rPr>
                <w:rFonts w:ascii="Arial" w:cs="Arial" w:eastAsia="Arial" w:hAnsi="Arial"/>
                <w:sz w:val="16"/>
                <w:szCs w:val="16"/>
                <w:color w:val="auto"/>
              </w:rPr>
              <w:t>EMEA</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2"/>
              <w:spacing w:after="0" w:line="168" w:lineRule="exact"/>
              <w:rPr>
                <w:sz w:val="20"/>
                <w:szCs w:val="20"/>
                <w:color w:val="auto"/>
              </w:rPr>
            </w:pPr>
            <w:r>
              <w:rPr>
                <w:rFonts w:ascii="Arial" w:cs="Arial" w:eastAsia="Arial" w:hAnsi="Arial"/>
                <w:sz w:val="16"/>
                <w:szCs w:val="16"/>
                <w:color w:val="auto"/>
              </w:rPr>
              <w:t>1,692,985</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2"/>
              <w:spacing w:after="0" w:line="168" w:lineRule="exact"/>
              <w:rPr>
                <w:sz w:val="20"/>
                <w:szCs w:val="20"/>
                <w:color w:val="auto"/>
              </w:rPr>
            </w:pPr>
            <w:r>
              <w:rPr>
                <w:rFonts w:ascii="Arial" w:cs="Arial" w:eastAsia="Arial" w:hAnsi="Arial"/>
                <w:sz w:val="16"/>
                <w:szCs w:val="16"/>
                <w:color w:val="auto"/>
              </w:rPr>
              <w:t>1,265,294</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1,417,615</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22"/>
              <w:spacing w:after="0" w:line="168" w:lineRule="exact"/>
              <w:rPr>
                <w:sz w:val="20"/>
                <w:szCs w:val="20"/>
                <w:color w:val="auto"/>
              </w:rPr>
            </w:pPr>
            <w:r>
              <w:rPr>
                <w:rFonts w:ascii="Arial" w:cs="Arial" w:eastAsia="Arial" w:hAnsi="Arial"/>
                <w:sz w:val="16"/>
                <w:szCs w:val="16"/>
                <w:color w:val="auto"/>
              </w:rPr>
              <w:t>33.8</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28.0 %</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2"/>
              <w:spacing w:after="0" w:line="168" w:lineRule="exact"/>
              <w:rPr>
                <w:sz w:val="20"/>
                <w:szCs w:val="20"/>
                <w:color w:val="auto"/>
              </w:rPr>
            </w:pPr>
            <w:r>
              <w:rPr>
                <w:rFonts w:ascii="Arial" w:cs="Arial" w:eastAsia="Arial" w:hAnsi="Arial"/>
                <w:sz w:val="16"/>
                <w:szCs w:val="16"/>
                <w:color w:val="auto"/>
              </w:rPr>
              <w:t>19.4</w:t>
            </w: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14.3 %</w:t>
            </w:r>
          </w:p>
        </w:tc>
        <w:tc>
          <w:tcPr>
            <w:tcW w:w="40" w:type="dxa"/>
            <w:vAlign w:val="bottom"/>
            <w:shd w:val="clear" w:color="auto" w:fill="CCEEFF"/>
          </w:tcPr>
          <w:p>
            <w:pPr>
              <w:spacing w:after="0"/>
              <w:rPr>
                <w:sz w:val="14"/>
                <w:szCs w:val="14"/>
                <w:color w:val="auto"/>
              </w:rPr>
            </w:pPr>
          </w:p>
        </w:tc>
      </w:tr>
      <w:tr>
        <w:trPr>
          <w:trHeight w:val="168"/>
        </w:trPr>
        <w:tc>
          <w:tcPr>
            <w:tcW w:w="1520" w:type="dxa"/>
            <w:vAlign w:val="bottom"/>
          </w:tcPr>
          <w:p>
            <w:pPr>
              <w:ind w:left="100"/>
              <w:spacing w:after="0" w:line="168" w:lineRule="exact"/>
              <w:rPr>
                <w:sz w:val="20"/>
                <w:szCs w:val="20"/>
                <w:color w:val="auto"/>
              </w:rPr>
            </w:pPr>
            <w:r>
              <w:rPr>
                <w:rFonts w:ascii="Arial" w:cs="Arial" w:eastAsia="Arial" w:hAnsi="Arial"/>
                <w:sz w:val="16"/>
                <w:szCs w:val="16"/>
                <w:color w:val="auto"/>
              </w:rPr>
              <w:t>Asia</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62"/>
              <w:spacing w:after="0" w:line="168" w:lineRule="exact"/>
              <w:rPr>
                <w:sz w:val="20"/>
                <w:szCs w:val="20"/>
                <w:color w:val="auto"/>
              </w:rPr>
            </w:pPr>
            <w:r>
              <w:rPr>
                <w:rFonts w:ascii="Arial" w:cs="Arial" w:eastAsia="Arial" w:hAnsi="Arial"/>
                <w:sz w:val="16"/>
                <w:szCs w:val="16"/>
                <w:color w:val="auto"/>
              </w:rPr>
              <w:t>1,782,473</w:t>
            </w:r>
          </w:p>
        </w:tc>
        <w:tc>
          <w:tcPr>
            <w:tcW w:w="240" w:type="dxa"/>
            <w:vAlign w:val="bottom"/>
          </w:tcPr>
          <w:p>
            <w:pPr>
              <w:spacing w:after="0"/>
              <w:rPr>
                <w:sz w:val="14"/>
                <w:szCs w:val="14"/>
                <w:color w:val="auto"/>
              </w:rPr>
            </w:pPr>
          </w:p>
        </w:tc>
        <w:tc>
          <w:tcPr>
            <w:tcW w:w="860" w:type="dxa"/>
            <w:vAlign w:val="bottom"/>
          </w:tcPr>
          <w:p>
            <w:pPr>
              <w:jc w:val="right"/>
              <w:ind w:right="22"/>
              <w:spacing w:after="0" w:line="168" w:lineRule="exact"/>
              <w:rPr>
                <w:sz w:val="20"/>
                <w:szCs w:val="20"/>
                <w:color w:val="auto"/>
              </w:rPr>
            </w:pPr>
            <w:r>
              <w:rPr>
                <w:rFonts w:ascii="Arial" w:cs="Arial" w:eastAsia="Arial" w:hAnsi="Arial"/>
                <w:sz w:val="16"/>
                <w:szCs w:val="16"/>
                <w:color w:val="auto"/>
              </w:rPr>
              <w:t>1,602,302</w:t>
            </w:r>
          </w:p>
        </w:tc>
        <w:tc>
          <w:tcPr>
            <w:tcW w:w="2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Arial" w:cs="Arial" w:eastAsia="Arial" w:hAnsi="Arial"/>
                <w:sz w:val="16"/>
                <w:szCs w:val="16"/>
                <w:color w:val="auto"/>
              </w:rPr>
              <w:t>1,642,550</w:t>
            </w:r>
          </w:p>
        </w:tc>
        <w:tc>
          <w:tcPr>
            <w:tcW w:w="140" w:type="dxa"/>
            <w:vAlign w:val="bottom"/>
          </w:tcPr>
          <w:p>
            <w:pPr>
              <w:spacing w:after="0"/>
              <w:rPr>
                <w:sz w:val="14"/>
                <w:szCs w:val="14"/>
                <w:color w:val="auto"/>
              </w:rPr>
            </w:pPr>
          </w:p>
        </w:tc>
        <w:tc>
          <w:tcPr>
            <w:tcW w:w="920" w:type="dxa"/>
            <w:vAlign w:val="bottom"/>
          </w:tcPr>
          <w:p>
            <w:pPr>
              <w:jc w:val="right"/>
              <w:ind w:right="122"/>
              <w:spacing w:after="0" w:line="168" w:lineRule="exact"/>
              <w:rPr>
                <w:sz w:val="20"/>
                <w:szCs w:val="20"/>
                <w:color w:val="auto"/>
              </w:rPr>
            </w:pPr>
            <w:r>
              <w:rPr>
                <w:rFonts w:ascii="Arial" w:cs="Arial" w:eastAsia="Arial" w:hAnsi="Arial"/>
                <w:sz w:val="16"/>
                <w:szCs w:val="16"/>
                <w:color w:val="auto"/>
              </w:rPr>
              <w:t>11.2</w:t>
            </w:r>
          </w:p>
        </w:tc>
        <w:tc>
          <w:tcPr>
            <w:tcW w:w="80" w:type="dxa"/>
            <w:vAlign w:val="bottom"/>
          </w:tcPr>
          <w:p>
            <w:pPr>
              <w:spacing w:after="0"/>
              <w:rPr>
                <w:sz w:val="14"/>
                <w:szCs w:val="14"/>
                <w:color w:val="auto"/>
              </w:rPr>
            </w:pPr>
          </w:p>
        </w:tc>
        <w:tc>
          <w:tcPr>
            <w:tcW w:w="900" w:type="dxa"/>
            <w:vAlign w:val="bottom"/>
          </w:tcPr>
          <w:p>
            <w:pPr>
              <w:jc w:val="right"/>
              <w:ind w:right="102"/>
              <w:spacing w:after="0" w:line="168" w:lineRule="exact"/>
              <w:rPr>
                <w:sz w:val="20"/>
                <w:szCs w:val="20"/>
                <w:color w:val="auto"/>
              </w:rPr>
            </w:pPr>
            <w:r>
              <w:rPr>
                <w:rFonts w:ascii="Arial" w:cs="Arial" w:eastAsia="Arial" w:hAnsi="Arial"/>
                <w:sz w:val="16"/>
                <w:szCs w:val="16"/>
                <w:color w:val="auto"/>
              </w:rPr>
              <w:t>12.3</w:t>
            </w:r>
          </w:p>
        </w:tc>
        <w:tc>
          <w:tcPr>
            <w:tcW w:w="120" w:type="dxa"/>
            <w:vAlign w:val="bottom"/>
          </w:tcPr>
          <w:p>
            <w:pPr>
              <w:spacing w:after="0"/>
              <w:rPr>
                <w:sz w:val="14"/>
                <w:szCs w:val="14"/>
                <w:color w:val="auto"/>
              </w:rPr>
            </w:pPr>
          </w:p>
        </w:tc>
        <w:tc>
          <w:tcPr>
            <w:tcW w:w="840" w:type="dxa"/>
            <w:vAlign w:val="bottom"/>
          </w:tcPr>
          <w:p>
            <w:pPr>
              <w:jc w:val="right"/>
              <w:ind w:right="102"/>
              <w:spacing w:after="0" w:line="168" w:lineRule="exact"/>
              <w:rPr>
                <w:sz w:val="20"/>
                <w:szCs w:val="20"/>
                <w:color w:val="auto"/>
              </w:rPr>
            </w:pPr>
            <w:r>
              <w:rPr>
                <w:rFonts w:ascii="Arial" w:cs="Arial" w:eastAsia="Arial" w:hAnsi="Arial"/>
                <w:sz w:val="16"/>
                <w:szCs w:val="16"/>
                <w:color w:val="auto"/>
              </w:rPr>
              <w:t>8.5</w:t>
            </w:r>
          </w:p>
        </w:tc>
        <w:tc>
          <w:tcPr>
            <w:tcW w:w="60" w:type="dxa"/>
            <w:vAlign w:val="bottom"/>
          </w:tcPr>
          <w:p>
            <w:pPr>
              <w:spacing w:after="0"/>
              <w:rPr>
                <w:sz w:val="14"/>
                <w:szCs w:val="14"/>
                <w:color w:val="auto"/>
              </w:rPr>
            </w:pPr>
          </w:p>
        </w:tc>
        <w:tc>
          <w:tcPr>
            <w:tcW w:w="920" w:type="dxa"/>
            <w:vAlign w:val="bottom"/>
          </w:tcPr>
          <w:p>
            <w:pPr>
              <w:jc w:val="right"/>
              <w:ind w:right="102"/>
              <w:spacing w:after="0" w:line="168" w:lineRule="exact"/>
              <w:rPr>
                <w:sz w:val="20"/>
                <w:szCs w:val="20"/>
                <w:color w:val="auto"/>
              </w:rPr>
            </w:pPr>
            <w:r>
              <w:rPr>
                <w:rFonts w:ascii="Arial" w:cs="Arial" w:eastAsia="Arial" w:hAnsi="Arial"/>
                <w:sz w:val="16"/>
                <w:szCs w:val="16"/>
                <w:color w:val="auto"/>
              </w:rPr>
              <w:t>9.6</w:t>
            </w:r>
          </w:p>
        </w:tc>
        <w:tc>
          <w:tcPr>
            <w:tcW w:w="40" w:type="dxa"/>
            <w:vAlign w:val="bottom"/>
          </w:tcPr>
          <w:p>
            <w:pPr>
              <w:spacing w:after="0"/>
              <w:rPr>
                <w:sz w:val="14"/>
                <w:szCs w:val="14"/>
                <w:color w:val="auto"/>
              </w:rPr>
            </w:pPr>
          </w:p>
        </w:tc>
      </w:tr>
      <w:tr>
        <w:trPr>
          <w:trHeight w:val="168"/>
        </w:trPr>
        <w:tc>
          <w:tcPr>
            <w:tcW w:w="152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rPr>
              <w:t>Avnet by segment</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8"/>
        </w:trPr>
        <w:tc>
          <w:tcPr>
            <w:tcW w:w="1520" w:type="dxa"/>
            <w:vAlign w:val="bottom"/>
          </w:tcPr>
          <w:p>
            <w:pPr>
              <w:ind w:left="100"/>
              <w:spacing w:after="0" w:line="168" w:lineRule="exact"/>
              <w:rPr>
                <w:sz w:val="20"/>
                <w:szCs w:val="20"/>
                <w:color w:val="auto"/>
              </w:rPr>
            </w:pPr>
            <w:r>
              <w:rPr>
                <w:rFonts w:ascii="Arial" w:cs="Arial" w:eastAsia="Arial" w:hAnsi="Arial"/>
                <w:sz w:val="16"/>
                <w:szCs w:val="16"/>
                <w:color w:val="auto"/>
              </w:rPr>
              <w:t>EC</w:t>
            </w:r>
          </w:p>
        </w:tc>
        <w:tc>
          <w:tcPr>
            <w:tcW w:w="520" w:type="dxa"/>
            <w:vAlign w:val="bottom"/>
            <w:gridSpan w:val="2"/>
          </w:tcPr>
          <w:p>
            <w:pPr>
              <w:jc w:val="right"/>
              <w:spacing w:after="0" w:line="168"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62"/>
              <w:spacing w:after="0" w:line="168" w:lineRule="exact"/>
              <w:rPr>
                <w:sz w:val="20"/>
                <w:szCs w:val="20"/>
                <w:color w:val="auto"/>
              </w:rPr>
            </w:pPr>
            <w:r>
              <w:rPr>
                <w:rFonts w:ascii="Arial" w:cs="Arial" w:eastAsia="Arial" w:hAnsi="Arial"/>
                <w:sz w:val="16"/>
                <w:szCs w:val="16"/>
                <w:color w:val="auto"/>
              </w:rPr>
              <w:t>4,307,251</w:t>
            </w:r>
          </w:p>
        </w:tc>
        <w:tc>
          <w:tcPr>
            <w:tcW w:w="24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line="168" w:lineRule="exact"/>
              <w:rPr>
                <w:sz w:val="20"/>
                <w:szCs w:val="20"/>
                <w:color w:val="auto"/>
              </w:rPr>
            </w:pPr>
            <w:r>
              <w:rPr>
                <w:rFonts w:ascii="Arial" w:cs="Arial" w:eastAsia="Arial" w:hAnsi="Arial"/>
                <w:sz w:val="16"/>
                <w:szCs w:val="16"/>
                <w:color w:val="auto"/>
              </w:rPr>
              <w:t>4,118,104</w:t>
            </w:r>
          </w:p>
        </w:tc>
        <w:tc>
          <w:tcPr>
            <w:tcW w:w="2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68" w:lineRule="exact"/>
              <w:rPr>
                <w:sz w:val="20"/>
                <w:szCs w:val="20"/>
                <w:color w:val="auto"/>
              </w:rPr>
            </w:pPr>
            <w:r>
              <w:rPr>
                <w:rFonts w:ascii="Arial" w:cs="Arial" w:eastAsia="Arial" w:hAnsi="Arial"/>
                <w:sz w:val="16"/>
                <w:szCs w:val="16"/>
                <w:color w:val="auto"/>
              </w:rPr>
              <w:t>4,118,104</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Arial" w:cs="Arial" w:eastAsia="Arial" w:hAnsi="Arial"/>
                <w:sz w:val="16"/>
                <w:szCs w:val="16"/>
                <w:color w:val="auto"/>
              </w:rPr>
              <w:t>4.6 %</w:t>
            </w:r>
          </w:p>
        </w:tc>
        <w:tc>
          <w:tcPr>
            <w:tcW w:w="8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Arial" w:cs="Arial" w:eastAsia="Arial" w:hAnsi="Arial"/>
                <w:sz w:val="16"/>
                <w:szCs w:val="16"/>
                <w:color w:val="auto"/>
              </w:rPr>
              <w:t>3.3 %</w:t>
            </w:r>
          </w:p>
        </w:tc>
        <w:tc>
          <w:tcPr>
            <w:tcW w:w="1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Arial" w:cs="Arial" w:eastAsia="Arial" w:hAnsi="Arial"/>
                <w:sz w:val="16"/>
                <w:szCs w:val="16"/>
                <w:color w:val="auto"/>
              </w:rPr>
              <w:t>4.6 %</w:t>
            </w:r>
          </w:p>
        </w:tc>
        <w:tc>
          <w:tcPr>
            <w:tcW w:w="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Arial" w:cs="Arial" w:eastAsia="Arial" w:hAnsi="Arial"/>
                <w:sz w:val="16"/>
                <w:szCs w:val="16"/>
                <w:color w:val="auto"/>
              </w:rPr>
              <w:t>3.3 %</w:t>
            </w:r>
          </w:p>
        </w:tc>
        <w:tc>
          <w:tcPr>
            <w:tcW w:w="40" w:type="dxa"/>
            <w:vAlign w:val="bottom"/>
          </w:tcPr>
          <w:p>
            <w:pPr>
              <w:spacing w:after="0"/>
              <w:rPr>
                <w:sz w:val="14"/>
                <w:szCs w:val="14"/>
                <w:color w:val="auto"/>
              </w:rPr>
            </w:pPr>
          </w:p>
        </w:tc>
      </w:tr>
      <w:tr>
        <w:trPr>
          <w:trHeight w:val="168"/>
        </w:trPr>
        <w:tc>
          <w:tcPr>
            <w:tcW w:w="1520" w:type="dxa"/>
            <w:vAlign w:val="bottom"/>
            <w:shd w:val="clear" w:color="auto" w:fill="CCEEFF"/>
          </w:tcPr>
          <w:p>
            <w:pPr>
              <w:ind w:left="100"/>
              <w:spacing w:after="0" w:line="168" w:lineRule="exact"/>
              <w:rPr>
                <w:sz w:val="20"/>
                <w:szCs w:val="20"/>
                <w:color w:val="auto"/>
              </w:rPr>
            </w:pPr>
            <w:r>
              <w:rPr>
                <w:rFonts w:ascii="Arial" w:cs="Arial" w:eastAsia="Arial" w:hAnsi="Arial"/>
                <w:sz w:val="16"/>
                <w:szCs w:val="16"/>
                <w:color w:val="auto"/>
              </w:rPr>
              <w:t>PF</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2"/>
              <w:spacing w:after="0" w:line="168" w:lineRule="exact"/>
              <w:rPr>
                <w:sz w:val="20"/>
                <w:szCs w:val="20"/>
                <w:color w:val="auto"/>
              </w:rPr>
            </w:pPr>
            <w:r>
              <w:rPr>
                <w:rFonts w:ascii="Arial" w:cs="Arial" w:eastAsia="Arial" w:hAnsi="Arial"/>
                <w:sz w:val="16"/>
                <w:szCs w:val="16"/>
                <w:color w:val="auto"/>
              </w:rPr>
              <w:t>353,692</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2"/>
              <w:spacing w:after="0" w:line="168"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328,713</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80"/>
              <w:spacing w:after="0" w:line="168"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00"/>
              <w:spacing w:after="0" w:line="168" w:lineRule="exact"/>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40"/>
              <w:spacing w:after="0" w:line="168" w:lineRule="exact"/>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20"/>
              <w:spacing w:after="0" w:line="168" w:lineRule="exact"/>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14376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37640" cy="8255"/>
                    </a:xfrm>
                    <a:prstGeom prst="rect">
                      <a:avLst/>
                    </a:prstGeom>
                    <a:noFill/>
                  </pic:spPr>
                </pic:pic>
              </a:graphicData>
            </a:graphic>
          </wp:anchor>
        </w:drawing>
      </w:r>
    </w:p>
    <w:p>
      <w:pPr>
        <w:spacing w:after="0" w:line="282" w:lineRule="exact"/>
        <w:rPr>
          <w:sz w:val="20"/>
          <w:szCs w:val="20"/>
          <w:color w:val="auto"/>
        </w:rPr>
      </w:pPr>
    </w:p>
    <w:p>
      <w:pPr>
        <w:ind w:left="461" w:hanging="461"/>
        <w:spacing w:after="0"/>
        <w:tabs>
          <w:tab w:leader="none" w:pos="461"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Includes PF acquired on October 17, 2016, which has operations in each Avnet region.</w:t>
      </w:r>
    </w:p>
    <w:p>
      <w:pPr>
        <w:spacing w:after="0" w:line="237" w:lineRule="exact"/>
        <w:rPr>
          <w:sz w:val="20"/>
          <w:szCs w:val="20"/>
          <w:color w:val="auto"/>
        </w:rPr>
      </w:pPr>
    </w:p>
    <w:tbl>
      <w:tblPr>
        <w:tblLayout w:type="fixed"/>
        <w:tblInd w:w="1" w:type="dxa"/>
        <w:tblCellMar>
          <w:top w:w="0" w:type="dxa"/>
          <w:left w:w="0" w:type="dxa"/>
          <w:bottom w:w="0" w:type="dxa"/>
          <w:right w:w="0" w:type="dxa"/>
        </w:tblCellMar>
      </w:tblPr>
      <w:tr>
        <w:trPr>
          <w:trHeight w:val="201"/>
        </w:trPr>
        <w:tc>
          <w:tcPr>
            <w:tcW w:w="2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222"/>
              <w:spacing w:after="0"/>
              <w:rPr>
                <w:sz w:val="20"/>
                <w:szCs w:val="20"/>
                <w:color w:val="auto"/>
              </w:rPr>
            </w:pPr>
            <w:r>
              <w:rPr>
                <w:rFonts w:ascii="Arial" w:cs="Arial" w:eastAsia="Arial" w:hAnsi="Arial"/>
                <w:sz w:val="16"/>
                <w:szCs w:val="16"/>
                <w:b w:val="1"/>
                <w:bCs w:val="1"/>
                <w:color w:val="auto"/>
                <w:w w:val="91"/>
              </w:rPr>
              <w:t>First Quarter Ended</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ind w:right="302"/>
              <w:spacing w:after="0" w:line="142" w:lineRule="exact"/>
              <w:rPr>
                <w:sz w:val="20"/>
                <w:szCs w:val="20"/>
                <w:color w:val="auto"/>
              </w:rPr>
            </w:pPr>
            <w:r>
              <w:rPr>
                <w:rFonts w:ascii="Arial" w:cs="Arial" w:eastAsia="Arial" w:hAnsi="Arial"/>
                <w:sz w:val="16"/>
                <w:szCs w:val="16"/>
                <w:b w:val="1"/>
                <w:bCs w:val="1"/>
                <w:color w:val="auto"/>
                <w:w w:val="78"/>
              </w:rPr>
              <w:t>As</w:t>
            </w:r>
          </w:p>
        </w:tc>
        <w:tc>
          <w:tcPr>
            <w:tcW w:w="3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322"/>
              <w:spacing w:after="0" w:line="181" w:lineRule="exact"/>
              <w:rPr>
                <w:sz w:val="20"/>
                <w:szCs w:val="20"/>
                <w:color w:val="auto"/>
              </w:rPr>
            </w:pPr>
            <w:r>
              <w:rPr>
                <w:rFonts w:ascii="Arial" w:cs="Arial" w:eastAsia="Arial" w:hAnsi="Arial"/>
                <w:sz w:val="16"/>
                <w:szCs w:val="16"/>
                <w:b w:val="1"/>
                <w:bCs w:val="1"/>
                <w:color w:val="auto"/>
                <w:w w:val="88"/>
              </w:rPr>
              <w:t>Reported</w:t>
            </w:r>
          </w:p>
        </w:tc>
        <w:tc>
          <w:tcPr>
            <w:tcW w:w="360" w:type="dxa"/>
            <w:vAlign w:val="bottom"/>
          </w:tcPr>
          <w:p>
            <w:pPr>
              <w:spacing w:after="0"/>
              <w:rPr>
                <w:sz w:val="15"/>
                <w:szCs w:val="15"/>
                <w:color w:val="auto"/>
              </w:rPr>
            </w:pPr>
          </w:p>
        </w:tc>
        <w:tc>
          <w:tcPr>
            <w:tcW w:w="1880" w:type="dxa"/>
            <w:vAlign w:val="bottom"/>
            <w:vMerge w:val="restart"/>
          </w:tcPr>
          <w:p>
            <w:pPr>
              <w:jc w:val="center"/>
              <w:ind w:right="242"/>
              <w:spacing w:after="0"/>
              <w:rPr>
                <w:sz w:val="20"/>
                <w:szCs w:val="20"/>
                <w:color w:val="auto"/>
              </w:rPr>
            </w:pPr>
            <w:r>
              <w:rPr>
                <w:rFonts w:ascii="Arial" w:cs="Arial" w:eastAsia="Arial" w:hAnsi="Arial"/>
                <w:sz w:val="16"/>
                <w:szCs w:val="16"/>
                <w:b w:val="1"/>
                <w:bCs w:val="1"/>
                <w:color w:val="auto"/>
                <w:w w:val="87"/>
              </w:rPr>
              <w:t xml:space="preserve">Acquisitions </w:t>
            </w:r>
            <w:r>
              <w:rPr>
                <w:rFonts w:ascii="Arial" w:cs="Arial" w:eastAsia="Arial" w:hAnsi="Arial"/>
                <w:sz w:val="8"/>
                <w:szCs w:val="8"/>
                <w:b w:val="1"/>
                <w:bCs w:val="1"/>
                <w:color w:val="auto"/>
                <w:w w:val="87"/>
              </w:rPr>
              <w:t>(1)</w:t>
            </w:r>
          </w:p>
        </w:tc>
        <w:tc>
          <w:tcPr>
            <w:tcW w:w="400" w:type="dxa"/>
            <w:vAlign w:val="bottom"/>
          </w:tcPr>
          <w:p>
            <w:pPr>
              <w:spacing w:after="0"/>
              <w:rPr>
                <w:sz w:val="15"/>
                <w:szCs w:val="15"/>
                <w:color w:val="auto"/>
              </w:rPr>
            </w:pPr>
          </w:p>
        </w:tc>
        <w:tc>
          <w:tcPr>
            <w:tcW w:w="1400" w:type="dxa"/>
            <w:vAlign w:val="bottom"/>
            <w:gridSpan w:val="2"/>
          </w:tcPr>
          <w:p>
            <w:pPr>
              <w:jc w:val="center"/>
              <w:ind w:right="320"/>
              <w:spacing w:after="0" w:line="181" w:lineRule="exact"/>
              <w:rPr>
                <w:sz w:val="20"/>
                <w:szCs w:val="20"/>
                <w:color w:val="auto"/>
              </w:rPr>
            </w:pPr>
            <w:r>
              <w:rPr>
                <w:rFonts w:ascii="Arial" w:cs="Arial" w:eastAsia="Arial" w:hAnsi="Arial"/>
                <w:sz w:val="16"/>
                <w:szCs w:val="16"/>
                <w:b w:val="1"/>
                <w:bCs w:val="1"/>
                <w:color w:val="auto"/>
                <w:w w:val="86"/>
              </w:rPr>
              <w:t>Organic Sales</w:t>
            </w:r>
          </w:p>
        </w:tc>
        <w:tc>
          <w:tcPr>
            <w:tcW w:w="0" w:type="dxa"/>
            <w:vAlign w:val="bottom"/>
          </w:tcPr>
          <w:p>
            <w:pPr>
              <w:spacing w:after="0"/>
              <w:rPr>
                <w:sz w:val="1"/>
                <w:szCs w:val="1"/>
                <w:color w:val="auto"/>
              </w:rPr>
            </w:pPr>
          </w:p>
        </w:tc>
      </w:tr>
      <w:tr>
        <w:trPr>
          <w:trHeight w:val="201"/>
        </w:trPr>
        <w:tc>
          <w:tcPr>
            <w:tcW w:w="2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center"/>
              <w:ind w:right="322"/>
              <w:spacing w:after="0"/>
              <w:rPr>
                <w:sz w:val="20"/>
                <w:szCs w:val="20"/>
                <w:color w:val="auto"/>
              </w:rPr>
            </w:pPr>
            <w:r>
              <w:rPr>
                <w:rFonts w:ascii="Arial" w:cs="Arial" w:eastAsia="Arial" w:hAnsi="Arial"/>
                <w:sz w:val="16"/>
                <w:szCs w:val="16"/>
                <w:b w:val="1"/>
                <w:bCs w:val="1"/>
                <w:color w:val="auto"/>
                <w:w w:val="86"/>
              </w:rPr>
              <w:t>Fiscal 2017</w:t>
            </w:r>
          </w:p>
        </w:tc>
        <w:tc>
          <w:tcPr>
            <w:tcW w:w="36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4"/>
              </w:rPr>
              <w:t>Fiscal 2017</w:t>
            </w:r>
          </w:p>
        </w:tc>
        <w:tc>
          <w:tcPr>
            <w:tcW w:w="0" w:type="dxa"/>
            <w:vAlign w:val="bottom"/>
          </w:tcPr>
          <w:p>
            <w:pPr>
              <w:spacing w:after="0"/>
              <w:rPr>
                <w:sz w:val="1"/>
                <w:szCs w:val="1"/>
                <w:color w:val="auto"/>
              </w:rPr>
            </w:pPr>
          </w:p>
        </w:tc>
      </w:tr>
      <w:tr>
        <w:trPr>
          <w:trHeight w:val="168"/>
        </w:trPr>
        <w:tc>
          <w:tcPr>
            <w:tcW w:w="2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center"/>
              <w:ind w:right="222"/>
              <w:spacing w:after="0" w:line="168" w:lineRule="exact"/>
              <w:rPr>
                <w:sz w:val="20"/>
                <w:szCs w:val="20"/>
                <w:color w:val="auto"/>
              </w:rPr>
            </w:pPr>
            <w:r>
              <w:rPr>
                <w:rFonts w:ascii="Arial" w:cs="Arial" w:eastAsia="Arial" w:hAnsi="Arial"/>
                <w:sz w:val="16"/>
                <w:szCs w:val="16"/>
                <w:b w:val="1"/>
                <w:bCs w:val="1"/>
                <w:color w:val="auto"/>
                <w:w w:val="86"/>
              </w:rPr>
              <w:t>(Dollars in thousands)</w:t>
            </w:r>
          </w:p>
        </w:tc>
        <w:tc>
          <w:tcPr>
            <w:tcW w:w="4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00" w:type="dxa"/>
            <w:vAlign w:val="bottom"/>
            <w:shd w:val="clear" w:color="auto" w:fill="CCEEFF"/>
          </w:tcPr>
          <w:p>
            <w:pPr>
              <w:ind w:left="100"/>
              <w:spacing w:after="0" w:line="168" w:lineRule="exact"/>
              <w:rPr>
                <w:sz w:val="20"/>
                <w:szCs w:val="20"/>
                <w:color w:val="auto"/>
              </w:rPr>
            </w:pPr>
            <w:r>
              <w:rPr>
                <w:rFonts w:ascii="Arial" w:cs="Arial" w:eastAsia="Arial" w:hAnsi="Arial"/>
                <w:sz w:val="16"/>
                <w:szCs w:val="16"/>
                <w:color w:val="auto"/>
              </w:rPr>
              <w:t>Avnet</w:t>
            </w:r>
          </w:p>
        </w:tc>
        <w:tc>
          <w:tcPr>
            <w:tcW w:w="136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62"/>
              <w:spacing w:after="0" w:line="168" w:lineRule="exact"/>
              <w:rPr>
                <w:sz w:val="20"/>
                <w:szCs w:val="20"/>
                <w:color w:val="auto"/>
              </w:rPr>
            </w:pPr>
            <w:r>
              <w:rPr>
                <w:rFonts w:ascii="Arial" w:cs="Arial" w:eastAsia="Arial" w:hAnsi="Arial"/>
                <w:sz w:val="16"/>
                <w:szCs w:val="16"/>
                <w:color w:val="auto"/>
              </w:rPr>
              <w:t>4,118,104</w:t>
            </w:r>
          </w:p>
        </w:tc>
        <w:tc>
          <w:tcPr>
            <w:tcW w:w="3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62"/>
              <w:spacing w:after="0" w:line="168" w:lineRule="exact"/>
              <w:rPr>
                <w:sz w:val="20"/>
                <w:szCs w:val="20"/>
                <w:color w:val="auto"/>
              </w:rPr>
            </w:pPr>
            <w:r>
              <w:rPr>
                <w:rFonts w:ascii="Arial" w:cs="Arial" w:eastAsia="Arial" w:hAnsi="Arial"/>
                <w:sz w:val="16"/>
                <w:szCs w:val="16"/>
                <w:color w:val="auto"/>
              </w:rPr>
              <w:t>328,713</w:t>
            </w:r>
          </w:p>
        </w:tc>
        <w:tc>
          <w:tcPr>
            <w:tcW w:w="400" w:type="dxa"/>
            <w:vAlign w:val="bottom"/>
            <w:shd w:val="clear" w:color="auto" w:fill="CCEEFF"/>
          </w:tcPr>
          <w:p>
            <w:pPr>
              <w:jc w:val="right"/>
              <w:ind w:right="2"/>
              <w:spacing w:after="0" w:line="168" w:lineRule="exact"/>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4,446,817</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00" w:type="dxa"/>
            <w:vAlign w:val="bottom"/>
          </w:tcPr>
          <w:p>
            <w:pPr>
              <w:spacing w:after="0" w:line="168" w:lineRule="exact"/>
              <w:rPr>
                <w:sz w:val="20"/>
                <w:szCs w:val="20"/>
                <w:color w:val="auto"/>
              </w:rPr>
            </w:pPr>
            <w:r>
              <w:rPr>
                <w:rFonts w:ascii="Arial" w:cs="Arial" w:eastAsia="Arial" w:hAnsi="Arial"/>
                <w:sz w:val="16"/>
                <w:szCs w:val="16"/>
                <w:color w:val="auto"/>
              </w:rPr>
              <w:t>Avnet by region</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00" w:type="dxa"/>
            <w:vAlign w:val="bottom"/>
            <w:shd w:val="clear" w:color="auto" w:fill="CCEEFF"/>
          </w:tcPr>
          <w:p>
            <w:pPr>
              <w:ind w:left="100"/>
              <w:spacing w:after="0" w:line="168" w:lineRule="exact"/>
              <w:rPr>
                <w:sz w:val="20"/>
                <w:szCs w:val="20"/>
                <w:color w:val="auto"/>
              </w:rPr>
            </w:pPr>
            <w:r>
              <w:rPr>
                <w:rFonts w:ascii="Arial" w:cs="Arial" w:eastAsia="Arial" w:hAnsi="Arial"/>
                <w:sz w:val="16"/>
                <w:szCs w:val="16"/>
                <w:color w:val="auto"/>
              </w:rPr>
              <w:t>Americas</w:t>
            </w:r>
          </w:p>
        </w:tc>
        <w:tc>
          <w:tcPr>
            <w:tcW w:w="136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62"/>
              <w:spacing w:after="0" w:line="168" w:lineRule="exact"/>
              <w:rPr>
                <w:sz w:val="20"/>
                <w:szCs w:val="20"/>
                <w:color w:val="auto"/>
              </w:rPr>
            </w:pPr>
            <w:r>
              <w:rPr>
                <w:rFonts w:ascii="Arial" w:cs="Arial" w:eastAsia="Arial" w:hAnsi="Arial"/>
                <w:sz w:val="16"/>
                <w:szCs w:val="16"/>
                <w:color w:val="auto"/>
              </w:rPr>
              <w:t>1,250,508</w:t>
            </w:r>
          </w:p>
        </w:tc>
        <w:tc>
          <w:tcPr>
            <w:tcW w:w="3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62"/>
              <w:spacing w:after="0" w:line="168" w:lineRule="exact"/>
              <w:rPr>
                <w:sz w:val="20"/>
                <w:szCs w:val="20"/>
                <w:color w:val="auto"/>
              </w:rPr>
            </w:pPr>
            <w:r>
              <w:rPr>
                <w:rFonts w:ascii="Arial" w:cs="Arial" w:eastAsia="Arial" w:hAnsi="Arial"/>
                <w:sz w:val="16"/>
                <w:szCs w:val="16"/>
                <w:color w:val="auto"/>
              </w:rPr>
              <w:t>136,144</w:t>
            </w:r>
          </w:p>
        </w:tc>
        <w:tc>
          <w:tcPr>
            <w:tcW w:w="400" w:type="dxa"/>
            <w:vAlign w:val="bottom"/>
            <w:shd w:val="clear" w:color="auto" w:fill="CCEEFF"/>
          </w:tcPr>
          <w:p>
            <w:pPr>
              <w:jc w:val="right"/>
              <w:ind w:right="2"/>
              <w:spacing w:after="0" w:line="168" w:lineRule="exact"/>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1,386,652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00" w:type="dxa"/>
            <w:vAlign w:val="bottom"/>
          </w:tcPr>
          <w:p>
            <w:pPr>
              <w:ind w:left="100"/>
              <w:spacing w:after="0" w:line="168" w:lineRule="exact"/>
              <w:rPr>
                <w:sz w:val="20"/>
                <w:szCs w:val="20"/>
                <w:color w:val="auto"/>
              </w:rPr>
            </w:pPr>
            <w:r>
              <w:rPr>
                <w:rFonts w:ascii="Arial" w:cs="Arial" w:eastAsia="Arial" w:hAnsi="Arial"/>
                <w:sz w:val="16"/>
                <w:szCs w:val="16"/>
                <w:color w:val="auto"/>
              </w:rPr>
              <w:t>EMEA</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162"/>
              <w:spacing w:after="0" w:line="168" w:lineRule="exact"/>
              <w:rPr>
                <w:sz w:val="20"/>
                <w:szCs w:val="20"/>
                <w:color w:val="auto"/>
              </w:rPr>
            </w:pPr>
            <w:r>
              <w:rPr>
                <w:rFonts w:ascii="Arial" w:cs="Arial" w:eastAsia="Arial" w:hAnsi="Arial"/>
                <w:sz w:val="16"/>
                <w:szCs w:val="16"/>
                <w:color w:val="auto"/>
              </w:rPr>
              <w:t>1,265,294</w:t>
            </w:r>
          </w:p>
        </w:tc>
        <w:tc>
          <w:tcPr>
            <w:tcW w:w="360" w:type="dxa"/>
            <w:vAlign w:val="bottom"/>
          </w:tcPr>
          <w:p>
            <w:pPr>
              <w:spacing w:after="0"/>
              <w:rPr>
                <w:sz w:val="14"/>
                <w:szCs w:val="14"/>
                <w:color w:val="auto"/>
              </w:rPr>
            </w:pPr>
          </w:p>
        </w:tc>
        <w:tc>
          <w:tcPr>
            <w:tcW w:w="1880" w:type="dxa"/>
            <w:vAlign w:val="bottom"/>
          </w:tcPr>
          <w:p>
            <w:pPr>
              <w:jc w:val="right"/>
              <w:ind w:right="162"/>
              <w:spacing w:after="0" w:line="168" w:lineRule="exact"/>
              <w:rPr>
                <w:sz w:val="20"/>
                <w:szCs w:val="20"/>
                <w:color w:val="auto"/>
              </w:rPr>
            </w:pPr>
            <w:r>
              <w:rPr>
                <w:rFonts w:ascii="Arial" w:cs="Arial" w:eastAsia="Arial" w:hAnsi="Arial"/>
                <w:sz w:val="16"/>
                <w:szCs w:val="16"/>
                <w:color w:val="auto"/>
              </w:rPr>
              <w:t>152,321</w:t>
            </w:r>
          </w:p>
        </w:tc>
        <w:tc>
          <w:tcPr>
            <w:tcW w:w="40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Arial" w:cs="Arial" w:eastAsia="Arial" w:hAnsi="Arial"/>
                <w:sz w:val="16"/>
                <w:szCs w:val="16"/>
                <w:color w:val="auto"/>
              </w:rPr>
              <w:t>1,417,615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00" w:type="dxa"/>
            <w:vAlign w:val="bottom"/>
            <w:shd w:val="clear" w:color="auto" w:fill="CCEEFF"/>
          </w:tcPr>
          <w:p>
            <w:pPr>
              <w:ind w:left="100"/>
              <w:spacing w:after="0" w:line="168" w:lineRule="exact"/>
              <w:rPr>
                <w:sz w:val="20"/>
                <w:szCs w:val="20"/>
                <w:color w:val="auto"/>
              </w:rPr>
            </w:pPr>
            <w:r>
              <w:rPr>
                <w:rFonts w:ascii="Arial" w:cs="Arial" w:eastAsia="Arial" w:hAnsi="Arial"/>
                <w:sz w:val="16"/>
                <w:szCs w:val="16"/>
                <w:color w:val="auto"/>
              </w:rPr>
              <w:t>Asia</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62"/>
              <w:spacing w:after="0" w:line="168" w:lineRule="exact"/>
              <w:rPr>
                <w:sz w:val="20"/>
                <w:szCs w:val="20"/>
                <w:color w:val="auto"/>
              </w:rPr>
            </w:pPr>
            <w:r>
              <w:rPr>
                <w:rFonts w:ascii="Arial" w:cs="Arial" w:eastAsia="Arial" w:hAnsi="Arial"/>
                <w:sz w:val="16"/>
                <w:szCs w:val="16"/>
                <w:color w:val="auto"/>
              </w:rPr>
              <w:t>1,602,302</w:t>
            </w:r>
          </w:p>
        </w:tc>
        <w:tc>
          <w:tcPr>
            <w:tcW w:w="360" w:type="dxa"/>
            <w:vAlign w:val="bottom"/>
            <w:shd w:val="clear" w:color="auto" w:fill="CCEEFF"/>
          </w:tcPr>
          <w:p>
            <w:pPr>
              <w:spacing w:after="0"/>
              <w:rPr>
                <w:sz w:val="14"/>
                <w:szCs w:val="14"/>
                <w:color w:val="auto"/>
              </w:rPr>
            </w:pPr>
          </w:p>
        </w:tc>
        <w:tc>
          <w:tcPr>
            <w:tcW w:w="1880" w:type="dxa"/>
            <w:vAlign w:val="bottom"/>
            <w:shd w:val="clear" w:color="auto" w:fill="CCEEFF"/>
          </w:tcPr>
          <w:p>
            <w:pPr>
              <w:jc w:val="right"/>
              <w:ind w:right="162"/>
              <w:spacing w:after="0" w:line="168" w:lineRule="exact"/>
              <w:rPr>
                <w:sz w:val="20"/>
                <w:szCs w:val="20"/>
                <w:color w:val="auto"/>
              </w:rPr>
            </w:pPr>
            <w:r>
              <w:rPr>
                <w:rFonts w:ascii="Arial" w:cs="Arial" w:eastAsia="Arial" w:hAnsi="Arial"/>
                <w:sz w:val="16"/>
                <w:szCs w:val="16"/>
                <w:color w:val="auto"/>
              </w:rPr>
              <w:t>40,248</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1,642,550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00" w:type="dxa"/>
            <w:vAlign w:val="bottom"/>
          </w:tcPr>
          <w:p>
            <w:pPr>
              <w:spacing w:after="0" w:line="168" w:lineRule="exact"/>
              <w:rPr>
                <w:sz w:val="20"/>
                <w:szCs w:val="20"/>
                <w:color w:val="auto"/>
              </w:rPr>
            </w:pPr>
            <w:r>
              <w:rPr>
                <w:rFonts w:ascii="Arial" w:cs="Arial" w:eastAsia="Arial" w:hAnsi="Arial"/>
                <w:sz w:val="16"/>
                <w:szCs w:val="16"/>
                <w:color w:val="auto"/>
              </w:rPr>
              <w:t>Avnet by segment</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00" w:type="dxa"/>
            <w:vAlign w:val="bottom"/>
            <w:shd w:val="clear" w:color="auto" w:fill="CCEEFF"/>
          </w:tcPr>
          <w:p>
            <w:pPr>
              <w:ind w:left="100"/>
              <w:spacing w:after="0" w:line="168" w:lineRule="exact"/>
              <w:rPr>
                <w:sz w:val="20"/>
                <w:szCs w:val="20"/>
                <w:color w:val="auto"/>
              </w:rPr>
            </w:pPr>
            <w:r>
              <w:rPr>
                <w:rFonts w:ascii="Arial" w:cs="Arial" w:eastAsia="Arial" w:hAnsi="Arial"/>
                <w:sz w:val="16"/>
                <w:szCs w:val="16"/>
                <w:color w:val="auto"/>
              </w:rPr>
              <w:t>EC</w:t>
            </w:r>
          </w:p>
        </w:tc>
        <w:tc>
          <w:tcPr>
            <w:tcW w:w="1360" w:type="dxa"/>
            <w:vAlign w:val="bottom"/>
            <w:gridSpan w:val="2"/>
            <w:shd w:val="clear" w:color="auto" w:fill="CCEEFF"/>
          </w:tcPr>
          <w:p>
            <w:pPr>
              <w:jc w:val="right"/>
              <w:ind w:right="120"/>
              <w:spacing w:after="0" w:line="168" w:lineRule="exact"/>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62"/>
              <w:spacing w:after="0" w:line="168" w:lineRule="exact"/>
              <w:rPr>
                <w:sz w:val="20"/>
                <w:szCs w:val="20"/>
                <w:color w:val="auto"/>
              </w:rPr>
            </w:pPr>
            <w:r>
              <w:rPr>
                <w:rFonts w:ascii="Arial" w:cs="Arial" w:eastAsia="Arial" w:hAnsi="Arial"/>
                <w:sz w:val="16"/>
                <w:szCs w:val="16"/>
                <w:color w:val="auto"/>
              </w:rPr>
              <w:t>4,118,104</w:t>
            </w:r>
          </w:p>
        </w:tc>
        <w:tc>
          <w:tcPr>
            <w:tcW w:w="3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62"/>
              <w:spacing w:after="0" w:line="168" w:lineRule="exact"/>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
              <w:spacing w:after="0" w:line="168" w:lineRule="exact"/>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4,118,104</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00" w:type="dxa"/>
            <w:vAlign w:val="bottom"/>
          </w:tcPr>
          <w:p>
            <w:pPr>
              <w:ind w:left="100"/>
              <w:spacing w:after="0"/>
              <w:rPr>
                <w:sz w:val="20"/>
                <w:szCs w:val="20"/>
                <w:color w:val="auto"/>
              </w:rPr>
            </w:pPr>
            <w:r>
              <w:rPr>
                <w:rFonts w:ascii="Arial" w:cs="Arial" w:eastAsia="Arial" w:hAnsi="Arial"/>
                <w:sz w:val="16"/>
                <w:szCs w:val="16"/>
                <w:color w:val="auto"/>
              </w:rPr>
              <w:t>PF</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880" w:type="dxa"/>
            <w:vAlign w:val="bottom"/>
          </w:tcPr>
          <w:p>
            <w:pPr>
              <w:jc w:val="right"/>
              <w:ind w:right="162"/>
              <w:spacing w:after="0"/>
              <w:rPr>
                <w:sz w:val="20"/>
                <w:szCs w:val="20"/>
                <w:color w:val="auto"/>
              </w:rPr>
            </w:pPr>
            <w:r>
              <w:rPr>
                <w:rFonts w:ascii="Arial" w:cs="Arial" w:eastAsia="Arial" w:hAnsi="Arial"/>
                <w:sz w:val="16"/>
                <w:szCs w:val="16"/>
                <w:color w:val="auto"/>
              </w:rPr>
              <w:t>328,713</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328,713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105410</wp:posOffset>
            </wp:positionV>
            <wp:extent cx="143764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37640" cy="16510"/>
                    </a:xfrm>
                    <a:prstGeom prst="rect">
                      <a:avLst/>
                    </a:prstGeom>
                    <a:noFill/>
                  </pic:spPr>
                </pic:pic>
              </a:graphicData>
            </a:graphic>
          </wp:anchor>
        </w:drawing>
      </w:r>
    </w:p>
    <w:p>
      <w:pPr>
        <w:spacing w:after="0" w:line="267" w:lineRule="exact"/>
        <w:rPr>
          <w:sz w:val="20"/>
          <w:szCs w:val="20"/>
          <w:color w:val="auto"/>
        </w:rPr>
      </w:pPr>
    </w:p>
    <w:p>
      <w:pPr>
        <w:ind w:left="461" w:hanging="461"/>
        <w:spacing w:after="0"/>
        <w:tabs>
          <w:tab w:leader="none" w:pos="461"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Includes PF acquired on October 17, 2016, which has operations in each Avnet region.</w:t>
      </w:r>
    </w:p>
    <w:p>
      <w:pPr>
        <w:spacing w:after="0" w:line="226" w:lineRule="exact"/>
        <w:rPr>
          <w:sz w:val="20"/>
          <w:szCs w:val="20"/>
          <w:color w:val="auto"/>
        </w:rPr>
      </w:pPr>
    </w:p>
    <w:p>
      <w:pPr>
        <w:jc w:val="both"/>
        <w:ind w:left="1" w:right="20" w:firstLine="414"/>
        <w:spacing w:after="0" w:line="263" w:lineRule="auto"/>
        <w:rPr>
          <w:sz w:val="20"/>
          <w:szCs w:val="20"/>
          <w:color w:val="auto"/>
        </w:rPr>
      </w:pPr>
      <w:r>
        <w:rPr>
          <w:rFonts w:ascii="Arial" w:cs="Arial" w:eastAsia="Arial" w:hAnsi="Arial"/>
          <w:sz w:val="17"/>
          <w:szCs w:val="17"/>
          <w:color w:val="auto"/>
        </w:rPr>
        <w:t>Sales for the first quarter of fiscal 2018 were $4.66 billion, as compared to the first quarter of fiscal 2017 sales of $4.12 billion. The increase in sales was primarily due to the acquisition of PF and increased sales in the EMEA and Asia EC regions, offset by declines in the Americas EC region primarily as a result of supplier channel changes and year over year sales impacts from an ERP implementation at the end of fiscal 2016.</w:t>
      </w:r>
    </w:p>
    <w:p>
      <w:pPr>
        <w:spacing w:after="0" w:line="178" w:lineRule="exact"/>
        <w:rPr>
          <w:sz w:val="20"/>
          <w:szCs w:val="20"/>
          <w:color w:val="auto"/>
        </w:rPr>
      </w:pPr>
    </w:p>
    <w:p>
      <w:pPr>
        <w:jc w:val="both"/>
        <w:ind w:left="1" w:right="20" w:firstLine="414"/>
        <w:spacing w:after="0" w:line="268" w:lineRule="auto"/>
        <w:rPr>
          <w:sz w:val="20"/>
          <w:szCs w:val="20"/>
          <w:color w:val="auto"/>
        </w:rPr>
      </w:pPr>
      <w:r>
        <w:rPr>
          <w:rFonts w:ascii="Arial" w:cs="Arial" w:eastAsia="Arial" w:hAnsi="Arial"/>
          <w:sz w:val="17"/>
          <w:szCs w:val="17"/>
          <w:color w:val="auto"/>
        </w:rPr>
        <w:t>Organic sales in constant currency increased 14.3% in EMEA and 9.6% in Asia and decreased 14.5% in the Americas region. PF sales were $353.7 million in the first quarter of fiscal 2018, which is an increase of 2.3% over the fourth quarter of fiscal 2017.</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Gross Profit and Gross Profit Margins</w:t>
      </w:r>
    </w:p>
    <w:p>
      <w:pPr>
        <w:spacing w:after="0" w:line="224" w:lineRule="exact"/>
        <w:rPr>
          <w:sz w:val="20"/>
          <w:szCs w:val="20"/>
          <w:color w:val="auto"/>
        </w:rPr>
      </w:pPr>
    </w:p>
    <w:p>
      <w:pPr>
        <w:jc w:val="both"/>
        <w:ind w:left="1" w:right="20" w:firstLine="414"/>
        <w:spacing w:after="0" w:line="285" w:lineRule="auto"/>
        <w:rPr>
          <w:sz w:val="20"/>
          <w:szCs w:val="20"/>
          <w:color w:val="auto"/>
        </w:rPr>
      </w:pPr>
      <w:r>
        <w:rPr>
          <w:rFonts w:ascii="Arial" w:cs="Arial" w:eastAsia="Arial" w:hAnsi="Arial"/>
          <w:sz w:val="16"/>
          <w:szCs w:val="16"/>
          <w:color w:val="auto"/>
        </w:rPr>
        <w:t>Gross profit for the first quarter of fiscal 2018 was $612.6 million, an increase of $89.9 million, or 17.2%, from the first quarter of fiscal 2017 gross profit of $522.7 million. Gross profit margin of 13.1% increased 45 basis points from the first quarter of fiscal 2017 as a result of the Company’s acquisition of PF. Gross profit margin for EC declined in both the Americas and EMEA regions due primarily to supplier channel and program changes that negatively impacted gross profit margin.</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Selling, General and Administrative Expenses</w:t>
      </w:r>
    </w:p>
    <w:p>
      <w:pPr>
        <w:spacing w:after="0" w:line="224" w:lineRule="exact"/>
        <w:rPr>
          <w:sz w:val="20"/>
          <w:szCs w:val="20"/>
          <w:color w:val="auto"/>
        </w:rPr>
      </w:pPr>
    </w:p>
    <w:p>
      <w:pPr>
        <w:jc w:val="both"/>
        <w:ind w:left="1" w:right="20" w:firstLine="414"/>
        <w:spacing w:after="0" w:line="268" w:lineRule="auto"/>
        <w:rPr>
          <w:sz w:val="20"/>
          <w:szCs w:val="20"/>
          <w:color w:val="auto"/>
        </w:rPr>
      </w:pPr>
      <w:r>
        <w:rPr>
          <w:rFonts w:ascii="Arial" w:cs="Arial" w:eastAsia="Arial" w:hAnsi="Arial"/>
          <w:sz w:val="17"/>
          <w:szCs w:val="17"/>
          <w:color w:val="auto"/>
        </w:rPr>
        <w:t>Selling, general and administrative expenses (“SG&amp;A expenses”) were $496.2 million in the first quarter of fiscal 2018, an increase of $132.5 million, or 36.4%, from the first quarter of fiscal 2017. The year-over-year increase in SG&amp;A expenses was primarily due to the acquisition of PF and the related PF operating expenses, including $23.2 million of</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575754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7545" cy="16510"/>
                    </a:xfrm>
                    <a:prstGeom prst="rect">
                      <a:avLst/>
                    </a:prstGeom>
                    <a:noFill/>
                  </pic:spPr>
                </pic:pic>
              </a:graphicData>
            </a:graphic>
          </wp:anchor>
        </w:drawing>
      </w:r>
    </w:p>
    <w:p>
      <w:pPr>
        <w:sectPr>
          <w:pgSz w:w="11900" w:h="16838" w:orient="portrait"/>
          <w:cols w:equalWidth="0" w:num="1">
            <w:col w:w="9081"/>
          </w:cols>
          <w:pgMar w:left="1419" w:top="127" w:right="1399" w:bottom="1440" w:gutter="0" w:footer="0" w:header="0"/>
        </w:sectPr>
      </w:pPr>
    </w:p>
    <w:bookmarkStart w:id="22" w:name="page23"/>
    <w:bookmarkEnd w:id="2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additional expense for the amortization of intangible assets. SG&amp;A expenses also increased as a result of changes in foreign currency exchange rates year over year, which was offset by cost savings from restructuring actions taken since the first quarter of fiscal 2017.</w:t>
      </w:r>
    </w:p>
    <w:p>
      <w:pPr>
        <w:spacing w:after="0" w:line="173" w:lineRule="exact"/>
        <w:rPr>
          <w:sz w:val="20"/>
          <w:szCs w:val="20"/>
          <w:color w:val="auto"/>
        </w:rPr>
      </w:pPr>
    </w:p>
    <w:p>
      <w:pPr>
        <w:jc w:val="both"/>
        <w:ind w:firstLine="410"/>
        <w:spacing w:after="0" w:line="281" w:lineRule="auto"/>
        <w:rPr>
          <w:sz w:val="20"/>
          <w:szCs w:val="20"/>
          <w:color w:val="auto"/>
        </w:rPr>
      </w:pPr>
      <w:r>
        <w:rPr>
          <w:rFonts w:ascii="Arial" w:cs="Arial" w:eastAsia="Arial" w:hAnsi="Arial"/>
          <w:sz w:val="16"/>
          <w:szCs w:val="16"/>
          <w:color w:val="auto"/>
        </w:rPr>
        <w:t>Metrics that management monitors with respect to its operating expenses are SG&amp;A expenses as a percentage of sales and as a percentage of gross profit. In the first quarter of fiscal 2018, SG&amp;A expenses as a percentage of sales were 10.6% and as a percentage of gross profit were 81.0%, as compared with 8.8% and 69.6%, respectively, in the first quarter of fiscal 2017. The increases in SG&amp;A expenses as a percentage of sales and as a percentage of gross profit is due primarily to the acquisition of PF and from the decline in gross profit margin in the western EC regions discussed further above.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Integration and Other Expenses</w:t>
      </w:r>
    </w:p>
    <w:p>
      <w:pPr>
        <w:spacing w:after="0" w:line="224" w:lineRule="exact"/>
        <w:rPr>
          <w:sz w:val="20"/>
          <w:szCs w:val="20"/>
          <w:color w:val="auto"/>
        </w:rPr>
      </w:pPr>
    </w:p>
    <w:p>
      <w:pPr>
        <w:jc w:val="both"/>
        <w:ind w:firstLine="414"/>
        <w:spacing w:after="0" w:line="295" w:lineRule="auto"/>
        <w:rPr>
          <w:sz w:val="20"/>
          <w:szCs w:val="20"/>
          <w:color w:val="auto"/>
        </w:rPr>
      </w:pPr>
      <w:r>
        <w:rPr>
          <w:rFonts w:ascii="Arial" w:cs="Arial" w:eastAsia="Arial" w:hAnsi="Arial"/>
          <w:sz w:val="15"/>
          <w:szCs w:val="15"/>
          <w:color w:val="auto"/>
        </w:rPr>
        <w:t>As a result of the aforementioned supplier channel changes, the focus on lowering overall operating costs, and the integration of PF, the Company has incurred certain restructuring costs. In addition, the Company incurred integration, accelerated depreciation, acquisition/divestiture and other costs. Integration costs are primarily related to the integration of acquired businesses including PF, the integration of certain regional and global businesses including Avnet after the TS divestiture, and incremental costs incurred as part of the consolidation, relocation, and closure of warehouse and office facilities. Accelerated depreciation relates to the incremental depreciation expense incurred related to the shortening of the estimated useful life of the Company’s enterprise resource planning (“ERP”) system in the Americas compared to depreciation expense based on the original useful life of such ERP system. Acquisition/divestiture costs consist primarily of professional fees and other costs incurred related to the acquisition, divestiture and closure of businesses including the acquisition of PF and the divestiture of TS. Other costs consist primarily of any other miscellaneous costs that relate to restructuring, integration and other expenses.</w:t>
      </w:r>
    </w:p>
    <w:p>
      <w:pPr>
        <w:spacing w:after="0" w:line="156" w:lineRule="exact"/>
        <w:rPr>
          <w:sz w:val="20"/>
          <w:szCs w:val="20"/>
          <w:color w:val="auto"/>
        </w:rPr>
      </w:pPr>
    </w:p>
    <w:p>
      <w:pPr>
        <w:jc w:val="both"/>
        <w:ind w:firstLine="410"/>
        <w:spacing w:after="0" w:line="259" w:lineRule="auto"/>
        <w:rPr>
          <w:sz w:val="20"/>
          <w:szCs w:val="20"/>
          <w:color w:val="auto"/>
        </w:rPr>
      </w:pPr>
      <w:r>
        <w:rPr>
          <w:rFonts w:ascii="Arial" w:cs="Arial" w:eastAsia="Arial" w:hAnsi="Arial"/>
          <w:sz w:val="17"/>
          <w:szCs w:val="17"/>
          <w:color w:val="auto"/>
        </w:rPr>
        <w:t>The Company recorded restructuring, integration and other expenses of $46.4 million during the first quarter of fiscal 2018. The Company recorded $21.3 million of restructuring costs in the first quarter of fiscal 2018 and expects to incur up to an additional $10.0 million of costs in the remainder of fiscal 2018 in order to realize approximately $41.7 million in expected annualized operating cost savings once such restructuring actions initiated in the first quarter of fiscal 2018 are completed. Integration, accelerated depreciation and other costs including acquisition/divesture costs were $8.2 million, $16.4 million and $0.5 million, respectively in the first quarter of fiscal 2018. The after tax impact of restructuring, integration and other expenses were $29.6 million and $0.24 per share on a diluted basis.</w:t>
      </w:r>
    </w:p>
    <w:p>
      <w:pPr>
        <w:spacing w:after="0" w:line="179" w:lineRule="exact"/>
        <w:rPr>
          <w:sz w:val="20"/>
          <w:szCs w:val="20"/>
          <w:color w:val="auto"/>
        </w:rPr>
      </w:pPr>
    </w:p>
    <w:p>
      <w:pPr>
        <w:jc w:val="both"/>
        <w:ind w:firstLine="414"/>
        <w:spacing w:after="0" w:line="316" w:lineRule="auto"/>
        <w:rPr>
          <w:sz w:val="20"/>
          <w:szCs w:val="20"/>
          <w:color w:val="auto"/>
        </w:rPr>
      </w:pPr>
      <w:r>
        <w:rPr>
          <w:rFonts w:ascii="Arial" w:cs="Arial" w:eastAsia="Arial" w:hAnsi="Arial"/>
          <w:sz w:val="16"/>
          <w:szCs w:val="16"/>
          <w:color w:val="auto"/>
        </w:rPr>
        <w:t>Comparatively, in the first quarter of fiscal 2017, restructuring, integration and other expenses were $29.5 million. The after tax impact of restructuring, integration, and other expenses was $20.2 million and $0.16 per share on a diluted basis.</w:t>
      </w:r>
    </w:p>
    <w:p>
      <w:pPr>
        <w:spacing w:after="0" w:line="136" w:lineRule="exact"/>
        <w:rPr>
          <w:sz w:val="20"/>
          <w:szCs w:val="20"/>
          <w:color w:val="auto"/>
        </w:rPr>
      </w:pPr>
    </w:p>
    <w:p>
      <w:pPr>
        <w:jc w:val="both"/>
        <w:ind w:firstLine="410"/>
        <w:spacing w:after="0" w:line="283" w:lineRule="auto"/>
        <w:rPr>
          <w:sz w:val="20"/>
          <w:szCs w:val="20"/>
          <w:color w:val="auto"/>
        </w:rPr>
      </w:pPr>
      <w:r>
        <w:rPr>
          <w:rFonts w:ascii="Arial" w:cs="Arial" w:eastAsia="Arial" w:hAnsi="Arial"/>
          <w:sz w:val="17"/>
          <w:szCs w:val="17"/>
          <w:color w:val="auto"/>
        </w:rPr>
        <w:t>See Note 14 “Restructuring Expenses” to the Company’s consolidated financial statements included in this Quarterly Report on Form 10-Q.</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Income</w:t>
      </w:r>
    </w:p>
    <w:p>
      <w:pPr>
        <w:spacing w:after="0" w:line="224" w:lineRule="exact"/>
        <w:rPr>
          <w:sz w:val="20"/>
          <w:szCs w:val="20"/>
          <w:color w:val="auto"/>
        </w:rPr>
      </w:pPr>
    </w:p>
    <w:p>
      <w:pPr>
        <w:jc w:val="both"/>
        <w:ind w:firstLine="410"/>
        <w:spacing w:after="0" w:line="291" w:lineRule="auto"/>
        <w:rPr>
          <w:sz w:val="20"/>
          <w:szCs w:val="20"/>
          <w:color w:val="auto"/>
        </w:rPr>
      </w:pPr>
      <w:r>
        <w:rPr>
          <w:rFonts w:ascii="Arial" w:cs="Arial" w:eastAsia="Arial" w:hAnsi="Arial"/>
          <w:sz w:val="15"/>
          <w:szCs w:val="15"/>
          <w:color w:val="auto"/>
        </w:rPr>
        <w:t>Operating income for the first quarter of fiscal 2018 was $70.0 million, a decrease of $59.6 million, or 46.0%, from the first quarter of fiscal 2017 operating income of $129.5 million. Adjusted operating income for the first quarter of fiscal 2018 was $141.9 million, a decrease of $19.4 million, or 12.0%, from the first quarter of fiscal 2017 adjusted operating income of $161.4 million. Operating income margin was 1.5% in the first quarter of fiscal 2018 as compared with 3.1% in the first quarter of fiscal 2017. Adjusted operating income margin for the first quarter of fiscal 2018 was 3.0% compared to 3.9% in the first quarter of fiscal</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2017. The decrease in adjusted operating income margin year over year was primarily driven by declines in the EC western regions, partially offset by the acquisition of PF.</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 and Other Income (Expense), Net</w:t>
      </w:r>
    </w:p>
    <w:p>
      <w:pPr>
        <w:spacing w:after="0" w:line="224" w:lineRule="exact"/>
        <w:rPr>
          <w:sz w:val="20"/>
          <w:szCs w:val="20"/>
          <w:color w:val="auto"/>
        </w:rPr>
      </w:pPr>
    </w:p>
    <w:p>
      <w:pPr>
        <w:jc w:val="both"/>
        <w:ind w:firstLine="414"/>
        <w:spacing w:after="0" w:line="316" w:lineRule="auto"/>
        <w:rPr>
          <w:sz w:val="20"/>
          <w:szCs w:val="20"/>
          <w:color w:val="auto"/>
        </w:rPr>
      </w:pPr>
      <w:r>
        <w:rPr>
          <w:rFonts w:ascii="Arial" w:cs="Arial" w:eastAsia="Arial" w:hAnsi="Arial"/>
          <w:sz w:val="16"/>
          <w:szCs w:val="16"/>
          <w:color w:val="auto"/>
        </w:rPr>
        <w:t>Interest expense in the first quarter of fiscal 2018 was $24.1 million, a decrease of $3.2 million or 11.7%, as compared with interest expense of $27.2 million in the first quarter of fiscal 2017. The decrease in interest expense in the first quarter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5757545"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3" w:name="page24"/>
    <w:bookmarkEnd w:id="2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of fiscal 2018 compared to the first quarter of fiscal 2017 was primarily related to the impact of the Company’s repayments of certain long-term debt during fiscal 2017.</w:t>
      </w:r>
    </w:p>
    <w:p>
      <w:pPr>
        <w:spacing w:after="0" w:line="160" w:lineRule="exact"/>
        <w:rPr>
          <w:sz w:val="20"/>
          <w:szCs w:val="20"/>
          <w:color w:val="auto"/>
        </w:rPr>
      </w:pPr>
    </w:p>
    <w:p>
      <w:pPr>
        <w:jc w:val="both"/>
        <w:ind w:firstLine="414"/>
        <w:spacing w:after="0" w:line="309" w:lineRule="auto"/>
        <w:rPr>
          <w:sz w:val="20"/>
          <w:szCs w:val="20"/>
          <w:color w:val="auto"/>
        </w:rPr>
      </w:pPr>
      <w:r>
        <w:rPr>
          <w:rFonts w:ascii="Arial" w:cs="Arial" w:eastAsia="Arial" w:hAnsi="Arial"/>
          <w:sz w:val="15"/>
          <w:szCs w:val="15"/>
          <w:color w:val="auto"/>
        </w:rPr>
        <w:t>During the first quarter of fiscal 2018, the Company had $15.6 million of other income, net, as compared with $13.7 million of other expense, net, in the first quarter of fiscal 2017. In the first quarter of fiscal 2018, the Company had foreign currency gains primarily due to the strengthening of the Euro compared to the U.S. Dollar and British Pound. In the first quarter of fiscal 2017, the Company incurred additional financing and economic foreign currency hedging costs associated with the PF acquisition.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 Expense</w:t>
      </w:r>
    </w:p>
    <w:p>
      <w:pPr>
        <w:spacing w:after="0" w:line="224" w:lineRule="exact"/>
        <w:rPr>
          <w:sz w:val="20"/>
          <w:szCs w:val="20"/>
          <w:color w:val="auto"/>
        </w:rPr>
      </w:pPr>
    </w:p>
    <w:p>
      <w:pPr>
        <w:jc w:val="both"/>
        <w:ind w:firstLine="410"/>
        <w:spacing w:after="0" w:line="260" w:lineRule="auto"/>
        <w:rPr>
          <w:sz w:val="20"/>
          <w:szCs w:val="20"/>
          <w:color w:val="auto"/>
        </w:rPr>
      </w:pPr>
      <w:r>
        <w:rPr>
          <w:rFonts w:ascii="Arial" w:cs="Arial" w:eastAsia="Arial" w:hAnsi="Arial"/>
          <w:sz w:val="17"/>
          <w:szCs w:val="17"/>
          <w:color w:val="auto"/>
        </w:rPr>
        <w:t>The Company’s effective tax rate on its income before income taxes from continuing operations was 5.4% in the first quarter of fiscal 2018 as compared with 23.6% in the first quarter of fiscal 2017. During the first quarter of fiscal 2018, the Company’s effective tax rate was favorably impacted primarily by (i) the mix of income in lower tax jurisdictions and (ii) the release of unrecognized tax benefit reserves primarily due to the negotiation of a favorable outcome in a foreign jurisdiction. During the first quarter of fiscal 2017, the Company’s effective tax rate was favorably impacted primarily by the mix of income in lower tax jurisdictions.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from Discontinued Operations</w:t>
      </w:r>
    </w:p>
    <w:p>
      <w:pPr>
        <w:spacing w:after="0" w:line="224" w:lineRule="exact"/>
        <w:rPr>
          <w:sz w:val="20"/>
          <w:szCs w:val="20"/>
          <w:color w:val="auto"/>
        </w:rPr>
      </w:pPr>
    </w:p>
    <w:p>
      <w:pPr>
        <w:jc w:val="both"/>
        <w:ind w:firstLine="388"/>
        <w:spacing w:after="0" w:line="283" w:lineRule="auto"/>
        <w:rPr>
          <w:sz w:val="20"/>
          <w:szCs w:val="20"/>
          <w:color w:val="auto"/>
        </w:rPr>
      </w:pPr>
      <w:r>
        <w:rPr>
          <w:rFonts w:ascii="Arial" w:cs="Arial" w:eastAsia="Arial" w:hAnsi="Arial"/>
          <w:sz w:val="17"/>
          <w:szCs w:val="17"/>
          <w:color w:val="auto"/>
        </w:rPr>
        <w:t>Income from discontinued operations was $0.1 million in the first quarter of fiscal 2018 primarily as a result of certain income tax adjustments related to the TS business.</w:t>
      </w:r>
    </w:p>
    <w:p>
      <w:pPr>
        <w:spacing w:after="0" w:line="160" w:lineRule="exact"/>
        <w:rPr>
          <w:sz w:val="20"/>
          <w:szCs w:val="20"/>
          <w:color w:val="auto"/>
        </w:rPr>
      </w:pPr>
    </w:p>
    <w:p>
      <w:pPr>
        <w:jc w:val="both"/>
        <w:ind w:firstLine="388"/>
        <w:spacing w:after="0" w:line="283" w:lineRule="auto"/>
        <w:rPr>
          <w:sz w:val="20"/>
          <w:szCs w:val="20"/>
          <w:color w:val="auto"/>
        </w:rPr>
      </w:pPr>
      <w:r>
        <w:rPr>
          <w:rFonts w:ascii="Arial" w:cs="Arial" w:eastAsia="Arial" w:hAnsi="Arial"/>
          <w:sz w:val="17"/>
          <w:szCs w:val="17"/>
          <w:color w:val="auto"/>
        </w:rPr>
        <w:t>Income from discontinued operations was $1.2 million in the first quarter of fiscal 2017 due to the operations of the TS business prior to its sale in the third quarter of fiscal 2017.</w:t>
      </w:r>
    </w:p>
    <w:p>
      <w:pPr>
        <w:spacing w:after="0" w:line="160" w:lineRule="exact"/>
        <w:rPr>
          <w:sz w:val="20"/>
          <w:szCs w:val="20"/>
          <w:color w:val="auto"/>
        </w:rPr>
      </w:pPr>
    </w:p>
    <w:p>
      <w:pPr>
        <w:jc w:val="both"/>
        <w:ind w:firstLine="388"/>
        <w:spacing w:after="0" w:line="283" w:lineRule="auto"/>
        <w:rPr>
          <w:sz w:val="20"/>
          <w:szCs w:val="20"/>
          <w:color w:val="auto"/>
        </w:rPr>
      </w:pPr>
      <w:r>
        <w:rPr>
          <w:rFonts w:ascii="Arial" w:cs="Arial" w:eastAsia="Arial" w:hAnsi="Arial"/>
          <w:sz w:val="17"/>
          <w:szCs w:val="17"/>
          <w:color w:val="auto"/>
        </w:rPr>
        <w:t>See Note 3, “Discontinued operations” to the Company’s consolidated financial statements included in this Quarterly Report on Form 10-Q for additional information and detail on the financial results of discontinued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w:t>
      </w:r>
    </w:p>
    <w:p>
      <w:pPr>
        <w:spacing w:after="0" w:line="224" w:lineRule="exact"/>
        <w:rPr>
          <w:sz w:val="20"/>
          <w:szCs w:val="20"/>
          <w:color w:val="auto"/>
        </w:rPr>
      </w:pPr>
    </w:p>
    <w:p>
      <w:pPr>
        <w:jc w:val="both"/>
        <w:ind w:firstLine="410"/>
        <w:spacing w:after="0" w:line="268" w:lineRule="auto"/>
        <w:rPr>
          <w:sz w:val="20"/>
          <w:szCs w:val="20"/>
          <w:color w:val="auto"/>
        </w:rPr>
      </w:pPr>
      <w:r>
        <w:rPr>
          <w:rFonts w:ascii="Arial" w:cs="Arial" w:eastAsia="Arial" w:hAnsi="Arial"/>
          <w:sz w:val="17"/>
          <w:szCs w:val="17"/>
          <w:color w:val="auto"/>
        </w:rPr>
        <w:t>As a result of the factors described in the preceding sections of this MD&amp;A, the Company’s net income for the first quarter of fiscal 2018 was $58.3 million, or $0.47 per share on a diluted basis, as compared with $68.8 million, or $0.53 per share on a diluted basis, in the first quarter of fiscal 2017.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LIQUIDITY AND CAPITAL RESOURCES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Cash Flow from Operating Activities</w:t>
      </w:r>
    </w:p>
    <w:p>
      <w:pPr>
        <w:spacing w:after="0" w:line="218" w:lineRule="exact"/>
        <w:rPr>
          <w:sz w:val="20"/>
          <w:szCs w:val="20"/>
          <w:color w:val="auto"/>
        </w:rPr>
      </w:pPr>
    </w:p>
    <w:p>
      <w:pPr>
        <w:jc w:val="both"/>
        <w:ind w:firstLine="414"/>
        <w:spacing w:after="0" w:line="274" w:lineRule="auto"/>
        <w:rPr>
          <w:sz w:val="20"/>
          <w:szCs w:val="20"/>
          <w:color w:val="auto"/>
        </w:rPr>
      </w:pPr>
      <w:r>
        <w:rPr>
          <w:rFonts w:ascii="Arial" w:cs="Arial" w:eastAsia="Arial" w:hAnsi="Arial"/>
          <w:sz w:val="16"/>
          <w:szCs w:val="16"/>
          <w:color w:val="auto"/>
        </w:rPr>
        <w:t>During the first quarter of fiscal 2018, the Company used $128.0 million of cash from its operating activities compared to $0.1 million in the first quarter of fiscal 2017. These operating cash flows were comprised of: (i) cash flow generated from net income from continuing operations, adjusted for the impact of non-cash and other items, which includes depreciation and amortization expenses, deferred income taxes, stock-based compensation expense and other non-cash items (including provisions for doubtful accounts and periodic pension costs), (ii) cash flows used for, or generated from, working capital and other, excluding cash and cash equivalents, and (iii) operating cash flows used for, or generated from, the TS business, which is classified as a discontinued operation. Cash used for working capital and other was $240.0 million during the first quarter of fiscal 2018, including increases in inventories and accounts receivable of $267.0 million and $32.4 million, respectively. The Company utilized cash to invest in inventory levels primarily as a result of a strong book to bill and lengthening purchasing lead times. These increases were partially offset by increases in accounts payable and accrued expenses and other of $37.3 million and $22.1 million, respectively. Comparatively, cash used for working capital and other was $13.6 million during the first quarter of fiscal 2017, including an increase in accounts receivable of</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5757545"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4" w:name="page25"/>
    <w:bookmarkEnd w:id="2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$64.6 million and a decrease in accounts payable of $164.8 million, substantially offset by a decrease in inventories of $182.2 million and an increase in accrued expenses and other of $33.5 million.</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Cash used for operating activities of discontinued operations was $110.5 million in the first quarter of fiscal 2017.</w:t>
      </w:r>
    </w:p>
    <w:p>
      <w:pPr>
        <w:spacing w:after="0" w:line="218"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Cash Flow from Financing Activities</w:t>
      </w:r>
    </w:p>
    <w:p>
      <w:pPr>
        <w:spacing w:after="0" w:line="218" w:lineRule="exact"/>
        <w:rPr>
          <w:sz w:val="20"/>
          <w:szCs w:val="20"/>
          <w:color w:val="auto"/>
        </w:rPr>
      </w:pPr>
    </w:p>
    <w:p>
      <w:pPr>
        <w:jc w:val="both"/>
        <w:ind w:firstLine="414"/>
        <w:spacing w:after="0" w:line="285" w:lineRule="auto"/>
        <w:rPr>
          <w:sz w:val="20"/>
          <w:szCs w:val="20"/>
          <w:color w:val="auto"/>
        </w:rPr>
      </w:pPr>
      <w:r>
        <w:rPr>
          <w:rFonts w:ascii="Arial" w:cs="Arial" w:eastAsia="Arial" w:hAnsi="Arial"/>
          <w:sz w:val="16"/>
          <w:szCs w:val="16"/>
          <w:color w:val="auto"/>
        </w:rPr>
        <w:t>During the first quarter of fiscal 2018, the Company received net proceeds of $28.0 million under the Company’s accounts receivable securitization program. During the first quarter of fiscal 2018, the Company repaid $24.9 million from borrowings of various bank credit facilities and $92.5 million under the Company’s senior unsecured credit facility. During the first quarter of fiscal 2018, the Company paid dividends on common stock of $22.0 million and repurchased $68.1 million of common stock.</w:t>
      </w:r>
    </w:p>
    <w:p>
      <w:pPr>
        <w:spacing w:after="0" w:line="161" w:lineRule="exact"/>
        <w:rPr>
          <w:sz w:val="20"/>
          <w:szCs w:val="20"/>
          <w:color w:val="auto"/>
        </w:rPr>
      </w:pPr>
    </w:p>
    <w:p>
      <w:pPr>
        <w:jc w:val="both"/>
        <w:ind w:firstLine="414"/>
        <w:spacing w:after="0" w:line="285" w:lineRule="auto"/>
        <w:rPr>
          <w:sz w:val="20"/>
          <w:szCs w:val="20"/>
          <w:color w:val="auto"/>
        </w:rPr>
      </w:pPr>
      <w:r>
        <w:rPr>
          <w:rFonts w:ascii="Arial" w:cs="Arial" w:eastAsia="Arial" w:hAnsi="Arial"/>
          <w:sz w:val="16"/>
          <w:szCs w:val="16"/>
          <w:color w:val="auto"/>
        </w:rPr>
        <w:t>During the first quarter of fiscal 2017, the Company repaid upon maturity the $300 million of 6.63% notes due September 2016. Additionally, the Company received net proceeds of $669.8 million from borrowings of bank and other debt. During the first quarter of fiscal 2017, the Company made net repayments of $150.3 million under the Company’s accounts receivable securitization program. During the first quarter of fiscal 2017, the Company paid dividends on common stock of $21.7 million.</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Cash Flow from Investing Activities</w:t>
      </w:r>
    </w:p>
    <w:p>
      <w:pPr>
        <w:spacing w:after="0" w:line="218" w:lineRule="exact"/>
        <w:rPr>
          <w:sz w:val="20"/>
          <w:szCs w:val="20"/>
          <w:color w:val="auto"/>
        </w:rPr>
      </w:pPr>
    </w:p>
    <w:p>
      <w:pPr>
        <w:jc w:val="both"/>
        <w:ind w:firstLine="414"/>
        <w:spacing w:after="0" w:line="263" w:lineRule="auto"/>
        <w:rPr>
          <w:sz w:val="20"/>
          <w:szCs w:val="20"/>
          <w:color w:val="auto"/>
        </w:rPr>
      </w:pPr>
      <w:r>
        <w:rPr>
          <w:rFonts w:ascii="Arial" w:cs="Arial" w:eastAsia="Arial" w:hAnsi="Arial"/>
          <w:sz w:val="17"/>
          <w:szCs w:val="17"/>
          <w:color w:val="auto"/>
        </w:rPr>
        <w:t>During the first quarter of fiscal 2018, the Company used $26.7 million for capital expenditures primarily related to information system development costs, computer hardware and software purchases and facilities costs compared to $34.7 million for capital expenditures in the first quarter of fiscal 2017. During the first quarter of fiscal 2018, the Company used $14.7 million of cash for acquisitions, which is net of the cash acquired.</w:t>
      </w:r>
    </w:p>
    <w:p>
      <w:pPr>
        <w:spacing w:after="0" w:line="178" w:lineRule="exact"/>
        <w:rPr>
          <w:sz w:val="20"/>
          <w:szCs w:val="20"/>
          <w:color w:val="auto"/>
        </w:rPr>
      </w:pPr>
    </w:p>
    <w:p>
      <w:pPr>
        <w:jc w:val="both"/>
        <w:ind w:firstLine="414"/>
        <w:spacing w:after="0" w:line="283" w:lineRule="auto"/>
        <w:rPr>
          <w:sz w:val="20"/>
          <w:szCs w:val="20"/>
          <w:color w:val="auto"/>
        </w:rPr>
      </w:pPr>
      <w:r>
        <w:rPr>
          <w:rFonts w:ascii="Arial" w:cs="Arial" w:eastAsia="Arial" w:hAnsi="Arial"/>
          <w:sz w:val="17"/>
          <w:szCs w:val="17"/>
          <w:color w:val="auto"/>
        </w:rPr>
        <w:t>During the first quarter of fiscal 2018, the Company sold $45.4 million of marketable securities obtained through the sale of the TS business, which have been included in Cash flows from investing activities – discontinued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24" w:lineRule="exact"/>
        <w:rPr>
          <w:sz w:val="20"/>
          <w:szCs w:val="20"/>
          <w:color w:val="auto"/>
        </w:rPr>
      </w:pPr>
    </w:p>
    <w:p>
      <w:pPr>
        <w:jc w:val="both"/>
        <w:ind w:firstLine="414"/>
        <w:spacing w:after="0" w:line="281" w:lineRule="auto"/>
        <w:rPr>
          <w:sz w:val="20"/>
          <w:szCs w:val="20"/>
          <w:color w:val="auto"/>
        </w:rPr>
      </w:pPr>
      <w:r>
        <w:rPr>
          <w:rFonts w:ascii="Arial" w:cs="Arial" w:eastAsia="Arial" w:hAnsi="Arial"/>
          <w:sz w:val="16"/>
          <w:szCs w:val="16"/>
          <w:color w:val="auto"/>
        </w:rPr>
        <w:t xml:space="preserve">For a detailed description of the Company’s long-term debt and lease commitments for the next five years and thereafter, see </w:t>
      </w:r>
      <w:r>
        <w:rPr>
          <w:rFonts w:ascii="Arial" w:cs="Arial" w:eastAsia="Arial" w:hAnsi="Arial"/>
          <w:sz w:val="16"/>
          <w:szCs w:val="16"/>
          <w:i w:val="1"/>
          <w:iCs w:val="1"/>
          <w:color w:val="auto"/>
        </w:rPr>
        <w:t xml:space="preserve">Long-Term Contractual Obligations </w:t>
      </w:r>
      <w:r>
        <w:rPr>
          <w:rFonts w:ascii="Arial" w:cs="Arial" w:eastAsia="Arial" w:hAnsi="Arial"/>
          <w:sz w:val="16"/>
          <w:szCs w:val="16"/>
          <w:color w:val="auto"/>
        </w:rPr>
        <w:t>appearing in Item 7 of the Company’s Annual Report on Form 10-K for the fiscal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July 1, 2017. With the exception of the Company’s debt transactions discussed herein, there are no material changes to this information outside of normal borrowings and repayments of long-term debt and operating lease payments. The Company does not currently have any material non-cancellable commitments for capital expenditures or inventory purchases.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Transactions</w:t>
      </w:r>
    </w:p>
    <w:p>
      <w:pPr>
        <w:spacing w:after="0" w:line="224" w:lineRule="exact"/>
        <w:rPr>
          <w:sz w:val="20"/>
          <w:szCs w:val="20"/>
          <w:color w:val="auto"/>
        </w:rPr>
      </w:pPr>
    </w:p>
    <w:p>
      <w:pPr>
        <w:jc w:val="both"/>
        <w:ind w:firstLine="414"/>
        <w:spacing w:after="0" w:line="263" w:lineRule="auto"/>
        <w:rPr>
          <w:sz w:val="20"/>
          <w:szCs w:val="20"/>
          <w:color w:val="auto"/>
        </w:rPr>
      </w:pPr>
      <w:r>
        <w:rPr>
          <w:rFonts w:ascii="Arial" w:cs="Arial" w:eastAsia="Arial" w:hAnsi="Arial"/>
          <w:sz w:val="17"/>
          <w:szCs w:val="17"/>
          <w:color w:val="auto"/>
        </w:rPr>
        <w:t>See Note 5, “Debt” to the Company’s consolidated financial statements included in this Quarterly Report on Form 10-Q for additional information on financing transactions including the Credit Facility, the Program, and other outstanding long-term debt as of September 30, 2017. The Company was in compliance with all covenants under the Credit Facility and the Program as of September 30, 2017.</w:t>
      </w:r>
    </w:p>
    <w:p>
      <w:pPr>
        <w:spacing w:after="0" w:line="178" w:lineRule="exact"/>
        <w:rPr>
          <w:sz w:val="20"/>
          <w:szCs w:val="20"/>
          <w:color w:val="auto"/>
        </w:rPr>
      </w:pPr>
    </w:p>
    <w:p>
      <w:pPr>
        <w:jc w:val="both"/>
        <w:ind w:firstLine="414"/>
        <w:spacing w:after="0" w:line="263" w:lineRule="auto"/>
        <w:rPr>
          <w:sz w:val="20"/>
          <w:szCs w:val="20"/>
          <w:color w:val="auto"/>
        </w:rPr>
      </w:pPr>
      <w:r>
        <w:rPr>
          <w:rFonts w:ascii="Arial" w:cs="Arial" w:eastAsia="Arial" w:hAnsi="Arial"/>
          <w:sz w:val="17"/>
          <w:szCs w:val="17"/>
          <w:color w:val="auto"/>
        </w:rPr>
        <w:t>The Company has various lines of credit and other forms of bank debt in the U.S. and various foreign locations to fund the short-term working capital, foreign exchange, overdraft and letter of credit needs of its wholly owned subsidiaries. Avnet generally guarantees its subsidiaries’ obligations under such debt facilities. Outstanding borrowings under such forms of debt at the end of first quarter of fiscal 2018 was $1.0 million.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5757545" cy="2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5" w:name="page26"/>
    <w:bookmarkEnd w:id="2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w:t>
      </w:r>
    </w:p>
    <w:p>
      <w:pPr>
        <w:spacing w:after="0" w:line="224" w:lineRule="exact"/>
        <w:rPr>
          <w:sz w:val="20"/>
          <w:szCs w:val="20"/>
          <w:color w:val="auto"/>
        </w:rPr>
      </w:pPr>
    </w:p>
    <w:p>
      <w:pPr>
        <w:jc w:val="both"/>
        <w:ind w:firstLine="414"/>
        <w:spacing w:after="0" w:line="268" w:lineRule="auto"/>
        <w:rPr>
          <w:sz w:val="20"/>
          <w:szCs w:val="20"/>
          <w:color w:val="auto"/>
        </w:rPr>
      </w:pPr>
      <w:r>
        <w:rPr>
          <w:rFonts w:ascii="Arial" w:cs="Arial" w:eastAsia="Arial" w:hAnsi="Arial"/>
          <w:sz w:val="17"/>
          <w:szCs w:val="17"/>
          <w:color w:val="auto"/>
        </w:rPr>
        <w:t>The Company held cash and cash equivalents of $539.7 million as of September 30, 2017, of which $513.0 million was held outside the United States. As of July 1, 2017, the Company held cash and cash equivalents of $836.4 million, of which $619.5 million was held outside of the United States.</w:t>
      </w:r>
    </w:p>
    <w:p>
      <w:pPr>
        <w:spacing w:after="0" w:line="173" w:lineRule="exact"/>
        <w:rPr>
          <w:sz w:val="20"/>
          <w:szCs w:val="20"/>
          <w:color w:val="auto"/>
        </w:rPr>
      </w:pPr>
    </w:p>
    <w:p>
      <w:pPr>
        <w:jc w:val="both"/>
        <w:ind w:firstLine="414"/>
        <w:spacing w:after="0" w:line="276" w:lineRule="auto"/>
        <w:rPr>
          <w:sz w:val="20"/>
          <w:szCs w:val="20"/>
          <w:color w:val="auto"/>
        </w:rPr>
      </w:pPr>
      <w:r>
        <w:rPr>
          <w:rFonts w:ascii="Arial" w:cs="Arial" w:eastAsia="Arial" w:hAnsi="Arial"/>
          <w:sz w:val="16"/>
          <w:szCs w:val="16"/>
          <w:color w:val="auto"/>
        </w:rPr>
        <w:t>As of the end of the first quarter of fiscal 2018, the Company had a combined total borrowing capacity of $1.65 billion under the Credit Facility and the Program. There were $7.5 million in borrowings outstanding and $2.0 million in letters of credit issued under the Credit Facility and $170.0 million in borrowings outstanding under the Program, resulting in approximately $1.42 billion of total availability as of September 30, 2017. Availability under the Program is subject to the Company having sufficient eligible trade accounts receivable to support desired borrowings. During the first quarter of fiscal 2018, the Company had an average daily balance outstanding of approximately $10.3 million under the Credit Facility and approximately $166.0 million under the Program. During the first quarter of fiscal 2017, the Company had an average daily balance outstanding of approximately $450.5 million under the Credit Facility and approximately $719.0 million under the Program.</w:t>
      </w:r>
    </w:p>
    <w:p>
      <w:pPr>
        <w:spacing w:after="0" w:line="170" w:lineRule="exact"/>
        <w:rPr>
          <w:sz w:val="20"/>
          <w:szCs w:val="20"/>
          <w:color w:val="auto"/>
        </w:rPr>
      </w:pPr>
    </w:p>
    <w:p>
      <w:pPr>
        <w:jc w:val="both"/>
        <w:ind w:firstLine="414"/>
        <w:spacing w:after="0" w:line="263" w:lineRule="auto"/>
        <w:rPr>
          <w:sz w:val="20"/>
          <w:szCs w:val="20"/>
          <w:color w:val="auto"/>
        </w:rPr>
      </w:pPr>
      <w:r>
        <w:rPr>
          <w:rFonts w:ascii="Arial" w:cs="Arial" w:eastAsia="Arial" w:hAnsi="Arial"/>
          <w:sz w:val="17"/>
          <w:szCs w:val="17"/>
          <w:color w:val="auto"/>
        </w:rPr>
        <w:t>During periods of weakening demand in the electronic components industry, the Company typically generates cash from operating activities. Conversely, the Company is more likely to use operating cash flows for working capital requirements during periods of higher growth. The Company used $17.4 million in cash flows from operating activities over the trailing four fiscal quarters ended September 30, 2017 for continuing operations.</w:t>
      </w:r>
    </w:p>
    <w:p>
      <w:pPr>
        <w:spacing w:after="0" w:line="178" w:lineRule="exact"/>
        <w:rPr>
          <w:sz w:val="20"/>
          <w:szCs w:val="20"/>
          <w:color w:val="auto"/>
        </w:rPr>
      </w:pPr>
    </w:p>
    <w:p>
      <w:pPr>
        <w:jc w:val="both"/>
        <w:ind w:firstLine="466"/>
        <w:spacing w:after="0" w:line="294" w:lineRule="auto"/>
        <w:rPr>
          <w:sz w:val="20"/>
          <w:szCs w:val="20"/>
          <w:color w:val="auto"/>
        </w:rPr>
      </w:pPr>
      <w:r>
        <w:rPr>
          <w:rFonts w:ascii="Arial" w:cs="Arial" w:eastAsia="Arial" w:hAnsi="Arial"/>
          <w:sz w:val="15"/>
          <w:szCs w:val="15"/>
          <w:color w:val="auto"/>
        </w:rPr>
        <w:t>Liquidity is subject to many factors, such as normal business operations as well as general economic, financial, competitive, legislative, and regulatory factors that are beyond the Company’s control. To the extent the cash balances held in foreign locations cannot be remitted back to the U.S. in a tax efficient manner, those cash balances are generally used for ongoing working capital, capital expenditure needs and to support acquisitions, and are currently expected to be permanently reinvested outside the United States. If these funds were needed for general corporate use in the United States, the Company would incur significant income taxes. In addition, local government regulations may restrict the Company’s ability to move funds among various locations under certain circumstances. Management does not believe such restrictions would limit the Company’s ability to pursue its intended business strategy. Management believes that Avnet’s available borrowing capacity, its current cash on hand including the remaining proceeds and marketable securities from the sale of the TS business and the Company’s expected ability to generate operating cash flows in the future will be sufficient to meet its future liquidity needs. The Company also may issue debt or equity securities in the future and management believes the Company will have adequate access to the capital markets, if needed.</w:t>
      </w:r>
    </w:p>
    <w:p>
      <w:pPr>
        <w:spacing w:after="0" w:line="159" w:lineRule="exact"/>
        <w:rPr>
          <w:sz w:val="20"/>
          <w:szCs w:val="20"/>
          <w:color w:val="auto"/>
        </w:rPr>
      </w:pPr>
    </w:p>
    <w:p>
      <w:pPr>
        <w:jc w:val="both"/>
        <w:ind w:firstLine="414"/>
        <w:spacing w:after="0" w:line="304" w:lineRule="auto"/>
        <w:rPr>
          <w:sz w:val="20"/>
          <w:szCs w:val="20"/>
          <w:color w:val="auto"/>
        </w:rPr>
      </w:pPr>
      <w:r>
        <w:rPr>
          <w:rFonts w:ascii="Arial" w:cs="Arial" w:eastAsia="Arial" w:hAnsi="Arial"/>
          <w:sz w:val="15"/>
          <w:szCs w:val="15"/>
          <w:color w:val="auto"/>
        </w:rPr>
        <w:t>During the first quarter of fiscal 2018, the Company has made, and expects to continue to make, strategic investments through acquisition activity to the extent the investments strengthen Avnet’s competitive position and meet management’s return on capital thresholds. The Company also expects to make capital expenditures, including expenditures over the next two fiscal years to implement a global ERP system. Additionally, as the Company integrates PF and restructures to transform Avnet into an electronic components focused business, the Company expects to use cash for restructuring, integration and other expenses.</w:t>
      </w:r>
    </w:p>
    <w:p>
      <w:pPr>
        <w:spacing w:after="0" w:line="149" w:lineRule="exact"/>
        <w:rPr>
          <w:sz w:val="20"/>
          <w:szCs w:val="20"/>
          <w:color w:val="auto"/>
        </w:rPr>
      </w:pPr>
    </w:p>
    <w:p>
      <w:pPr>
        <w:jc w:val="both"/>
        <w:ind w:firstLine="410"/>
        <w:spacing w:after="0" w:line="275" w:lineRule="auto"/>
        <w:rPr>
          <w:sz w:val="20"/>
          <w:szCs w:val="20"/>
          <w:color w:val="auto"/>
        </w:rPr>
      </w:pPr>
      <w:r>
        <w:rPr>
          <w:rFonts w:ascii="Arial" w:cs="Arial" w:eastAsia="Arial" w:hAnsi="Arial"/>
          <w:sz w:val="16"/>
          <w:szCs w:val="16"/>
          <w:color w:val="auto"/>
        </w:rPr>
        <w:t>In addition to continuing to make investments in acquisitions, as of September 30, 2017, the Company may repurchase up to an aggregate of $327.0 million of shares of the Company’s common stock through a $1.75 billion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The timing and actual number of shares repurchased will depend on a variety of factors such as share price, corporate and regulatory requirements, and prevailing market conditions. Additionally, the Company currently expects to pay quarterly cash dividends on shares of its common stock, subject to approval of the Board of Directors. During the first quarter of fiscal 2018, the Board of Directors approved a dividend of $0.18 per share, which resulted in $22.0 million of dividend payments during the quarter.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5757545"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6" w:name="page27"/>
    <w:bookmarkEnd w:id="2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218" w:lineRule="exact"/>
        <w:rPr>
          <w:sz w:val="20"/>
          <w:szCs w:val="20"/>
          <w:color w:val="auto"/>
        </w:rPr>
      </w:pPr>
    </w:p>
    <w:p>
      <w:pPr>
        <w:jc w:val="both"/>
        <w:ind w:firstLine="414"/>
        <w:spacing w:after="0" w:line="316" w:lineRule="auto"/>
        <w:rPr>
          <w:sz w:val="20"/>
          <w:szCs w:val="20"/>
          <w:color w:val="auto"/>
        </w:rPr>
      </w:pPr>
      <w:r>
        <w:rPr>
          <w:rFonts w:ascii="Arial" w:cs="Arial" w:eastAsia="Arial" w:hAnsi="Arial"/>
          <w:sz w:val="16"/>
          <w:szCs w:val="16"/>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30"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4" w:lineRule="exact"/>
        <w:rPr>
          <w:sz w:val="20"/>
          <w:szCs w:val="20"/>
          <w:color w:val="auto"/>
        </w:rPr>
      </w:pPr>
    </w:p>
    <w:p>
      <w:pPr>
        <w:jc w:val="both"/>
        <w:ind w:firstLine="414"/>
        <w:spacing w:after="0" w:line="263" w:lineRule="auto"/>
        <w:rPr>
          <w:sz w:val="20"/>
          <w:szCs w:val="20"/>
          <w:color w:val="auto"/>
        </w:rPr>
      </w:pPr>
      <w:r>
        <w:rPr>
          <w:rFonts w:ascii="Arial" w:cs="Arial" w:eastAsia="Arial" w:hAnsi="Arial"/>
          <w:sz w:val="17"/>
          <w:szCs w:val="17"/>
          <w:color w:val="auto"/>
        </w:rPr>
        <w:t>The Company seeks to reduce earnings and cash flow volatility associated with changes in foreign currency exchange rates by entering into financial arrangements that are intended to provide an economic hedge against all or a portion of the risks associated with such volatility. The Company continues to have exposure to such risks to the extent they are not economically hedged.</w:t>
      </w:r>
    </w:p>
    <w:p>
      <w:pPr>
        <w:spacing w:after="0" w:line="178" w:lineRule="exact"/>
        <w:rPr>
          <w:sz w:val="20"/>
          <w:szCs w:val="20"/>
          <w:color w:val="auto"/>
        </w:rPr>
      </w:pPr>
    </w:p>
    <w:p>
      <w:pPr>
        <w:jc w:val="both"/>
        <w:ind w:firstLine="414"/>
        <w:spacing w:after="0" w:line="276" w:lineRule="auto"/>
        <w:rPr>
          <w:sz w:val="20"/>
          <w:szCs w:val="20"/>
          <w:color w:val="auto"/>
        </w:rPr>
      </w:pPr>
      <w:r>
        <w:rPr>
          <w:rFonts w:ascii="Arial" w:cs="Arial" w:eastAsia="Arial" w:hAnsi="Arial"/>
          <w:sz w:val="16"/>
          <w:szCs w:val="16"/>
          <w:color w:val="auto"/>
        </w:rPr>
        <w:t xml:space="preserve">See Item 7A,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in the Company’s Annual Report on Form 10-K for the fiscal year ended July 1, 2017, for further discussion of market risks associated with foreign currency exchange rates and interest rates. Avnet’s exposure to such risks has not changed materially since July 1, 2017, as the Company continues to economically hedge the majority of its foreign currency exchange exposures. Thus, any increase or decrease in fair value of the Company’s forward foreign currency exchange contracts is generally offset by an opposite effect on the related hedged position. For interest rate risk, the Company continues to maintain a combination of fixed and variable rate debts to mitigate the exposure to fluctuation in market interest rates. The Company’s exposure to market price risk related to marketable securities is mitigated through the purchase of a derivative financial instrument that fixes the value of the marketable securities.</w:t>
      </w:r>
    </w:p>
    <w:p>
      <w:pPr>
        <w:spacing w:after="0" w:line="170" w:lineRule="exact"/>
        <w:rPr>
          <w:sz w:val="20"/>
          <w:szCs w:val="20"/>
          <w:color w:val="auto"/>
        </w:rPr>
      </w:pPr>
    </w:p>
    <w:p>
      <w:pPr>
        <w:jc w:val="both"/>
        <w:ind w:firstLine="414"/>
        <w:spacing w:after="0" w:line="281" w:lineRule="auto"/>
        <w:rPr>
          <w:sz w:val="20"/>
          <w:szCs w:val="20"/>
          <w:color w:val="auto"/>
        </w:rPr>
      </w:pPr>
      <w:r>
        <w:rPr>
          <w:rFonts w:ascii="Arial" w:cs="Arial" w:eastAsia="Arial" w:hAnsi="Arial"/>
          <w:sz w:val="16"/>
          <w:szCs w:val="16"/>
          <w:color w:val="auto"/>
        </w:rPr>
        <w:t>See Liquidity and Capital Resources — Financing Transactions appearing in Item 2 of this Quarterly Report on Form 10-Q for further discussion of the Company’s financing transactions and capital structure. As of September 30, 2017, 88% of the Company’s debt bears interest at a fixed rate and 12% of the Company’s debt bears interest at variable rates. Therefore, a hypothetical 1.0% (100 basis points) increase in interest rates would result in a $0.5 million decrease in income from continuing operations before income taxes in the Company’s consolidated statement of operations for the first quarter of fiscal 2018.</w:t>
      </w:r>
    </w:p>
    <w:p>
      <w:pPr>
        <w:spacing w:after="0" w:line="159"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i w:val="1"/>
          <w:iCs w:val="1"/>
          <w:color w:val="auto"/>
        </w:rPr>
        <w:t>Controls and Procedures</w:t>
      </w:r>
    </w:p>
    <w:p>
      <w:pPr>
        <w:spacing w:after="0" w:line="224"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7"/>
          <w:szCs w:val="17"/>
          <w:color w:val="auto"/>
        </w:rPr>
        <w:t>The Company’s management, including its Chief Executive Officer and Interim Chief Financial Officer, have evaluated the effectiveness of the Company’s disclosure controls and procedures (as such term is defined in Rules 13a-15(e) and 15d-15(e) under the Securities Exchange Act of 1934, as amended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83" w:lineRule="exact"/>
        <w:rPr>
          <w:sz w:val="20"/>
          <w:szCs w:val="20"/>
          <w:color w:val="auto"/>
        </w:rPr>
      </w:pPr>
    </w:p>
    <w:p>
      <w:pPr>
        <w:jc w:val="both"/>
        <w:ind w:firstLine="414"/>
        <w:spacing w:after="0" w:line="268" w:lineRule="auto"/>
        <w:rPr>
          <w:sz w:val="20"/>
          <w:szCs w:val="20"/>
          <w:color w:val="auto"/>
        </w:rPr>
      </w:pPr>
      <w:r>
        <w:rPr>
          <w:rFonts w:ascii="Arial" w:cs="Arial" w:eastAsia="Arial" w:hAnsi="Arial"/>
          <w:sz w:val="17"/>
          <w:szCs w:val="17"/>
          <w:color w:val="auto"/>
        </w:rPr>
        <w:t>During the first quarter of fiscal 2018, there were no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INFORMATION</w:t>
      </w:r>
    </w:p>
    <w:p>
      <w:pPr>
        <w:spacing w:after="0" w:line="218"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i w:val="1"/>
          <w:iCs w:val="1"/>
          <w:color w:val="auto"/>
        </w:rPr>
        <w:t>Legal Proceedings</w:t>
      </w:r>
    </w:p>
    <w:p>
      <w:pPr>
        <w:spacing w:after="0" w:line="224" w:lineRule="exact"/>
        <w:rPr>
          <w:sz w:val="20"/>
          <w:szCs w:val="20"/>
          <w:color w:val="auto"/>
        </w:rPr>
      </w:pPr>
    </w:p>
    <w:p>
      <w:pPr>
        <w:jc w:val="both"/>
        <w:ind w:firstLine="414"/>
        <w:spacing w:after="0" w:line="283" w:lineRule="auto"/>
        <w:rPr>
          <w:sz w:val="20"/>
          <w:szCs w:val="20"/>
          <w:color w:val="auto"/>
        </w:rPr>
      </w:pPr>
      <w:r>
        <w:rPr>
          <w:rFonts w:ascii="Arial" w:cs="Arial" w:eastAsia="Arial" w:hAnsi="Arial"/>
          <w:sz w:val="17"/>
          <w:szCs w:val="17"/>
          <w:color w:val="auto"/>
        </w:rPr>
        <w:t>As a result primarily of certain former manufacturing operations, Avnet has incurred and may have future liability under various federal, state and local environmental laws and regulations, including those governing pollution and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5757545" cy="24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7" w:name="page28"/>
    <w:bookmarkEnd w:id="2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exposure to, and the handling, storage and disposal of, hazardous substances. For example, under the Comprehensive Environmental Response, Compensation and Liability Act of 1980, as amended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 up at such sites are allocated among potentially responsible parties based upon each party’s relative contribution to the contamination, and other factors.</w:t>
      </w:r>
    </w:p>
    <w:p>
      <w:pPr>
        <w:spacing w:after="0" w:line="178" w:lineRule="exact"/>
        <w:rPr>
          <w:sz w:val="20"/>
          <w:szCs w:val="20"/>
          <w:color w:val="auto"/>
        </w:rPr>
      </w:pPr>
    </w:p>
    <w:p>
      <w:pPr>
        <w:jc w:val="both"/>
        <w:ind w:firstLine="414"/>
        <w:spacing w:after="0" w:line="260"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and other compliance related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compliance related matters.</w:t>
      </w:r>
    </w:p>
    <w:p>
      <w:pPr>
        <w:spacing w:after="0" w:line="178" w:lineRule="exact"/>
        <w:rPr>
          <w:sz w:val="20"/>
          <w:szCs w:val="20"/>
          <w:color w:val="auto"/>
        </w:rPr>
      </w:pPr>
    </w:p>
    <w:p>
      <w:pPr>
        <w:jc w:val="both"/>
        <w:ind w:firstLine="414"/>
        <w:spacing w:after="0" w:line="263" w:lineRule="auto"/>
        <w:rPr>
          <w:sz w:val="20"/>
          <w:szCs w:val="20"/>
          <w:color w:val="auto"/>
        </w:rPr>
      </w:pPr>
      <w:r>
        <w:rPr>
          <w:rFonts w:ascii="Arial" w:cs="Arial" w:eastAsia="Arial" w:hAnsi="Arial"/>
          <w:sz w:val="17"/>
          <w:szCs w:val="17"/>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72"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4"/>
          <w:szCs w:val="14"/>
          <w:b w:val="1"/>
          <w:bCs w:val="1"/>
          <w:i w:val="1"/>
          <w:iCs w:val="1"/>
          <w:color w:val="auto"/>
        </w:rPr>
        <w:t>Risk Factors</w:t>
      </w:r>
    </w:p>
    <w:p>
      <w:pPr>
        <w:spacing w:after="0" w:line="224" w:lineRule="exact"/>
        <w:rPr>
          <w:sz w:val="20"/>
          <w:szCs w:val="20"/>
          <w:color w:val="auto"/>
        </w:rPr>
      </w:pPr>
    </w:p>
    <w:p>
      <w:pPr>
        <w:jc w:val="both"/>
        <w:ind w:firstLine="414"/>
        <w:spacing w:after="0" w:line="275" w:lineRule="auto"/>
        <w:rPr>
          <w:sz w:val="20"/>
          <w:szCs w:val="20"/>
          <w:color w:val="auto"/>
        </w:rPr>
      </w:pPr>
      <w:r>
        <w:rPr>
          <w:rFonts w:ascii="Arial" w:cs="Arial" w:eastAsia="Arial" w:hAnsi="Arial"/>
          <w:sz w:val="16"/>
          <w:szCs w:val="16"/>
          <w:color w:val="auto"/>
        </w:rPr>
        <w:t>This Quarterly Report on Form 10-Q (“Quarterly Report”) contains forward-looking statements within the meaning of Section 27A of the Securities Act of 1933, as amended, and Section 21E of the Exchange Act with respect to the financial condition, results of operations and business of the Company. You can find many of these statements by looking for words like “believes,” “plans,” “expects,” “anticipates,” “should,” “will,” “may,” “estimates” or similar expressions in this Quarterly Report or in documents incorporated by reference in this Quarterly Report. These forward-looking statements are subject to numerous assumptions, risks and uncertainties. You should understand that the following important factors, in addition to those discussed elsewhere in this Quarterly Report and in the Company’s Annual Report on Form 10-K for the fiscal year ended July 1, 2017, could affect the Company’s future results of operations, and could cause those results or other outcomes to differ materially from those expressed or implied in the forward-looking statements:</w:t>
      </w:r>
    </w:p>
    <w:p>
      <w:pPr>
        <w:spacing w:after="0" w:line="172" w:lineRule="exact"/>
        <w:rPr>
          <w:sz w:val="20"/>
          <w:szCs w:val="20"/>
          <w:color w:val="auto"/>
        </w:rPr>
      </w:pPr>
    </w:p>
    <w:p>
      <w:pPr>
        <w:ind w:left="620" w:hanging="31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effect of global economic conditions, including the current global economic uncertainty;</w:t>
      </w:r>
    </w:p>
    <w:p>
      <w:pPr>
        <w:spacing w:after="0" w:line="218" w:lineRule="exact"/>
        <w:rPr>
          <w:rFonts w:ascii="Arial" w:cs="Arial" w:eastAsia="Arial" w:hAnsi="Arial"/>
          <w:sz w:val="17"/>
          <w:szCs w:val="17"/>
          <w:color w:val="auto"/>
        </w:rPr>
      </w:pPr>
    </w:p>
    <w:p>
      <w:pPr>
        <w:ind w:left="620" w:hanging="31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competitive pressures among distributors of electronic components and computer products;</w:t>
      </w:r>
    </w:p>
    <w:p>
      <w:pPr>
        <w:spacing w:after="0" w:line="218" w:lineRule="exact"/>
        <w:rPr>
          <w:rFonts w:ascii="Arial" w:cs="Arial" w:eastAsia="Arial" w:hAnsi="Arial"/>
          <w:sz w:val="17"/>
          <w:szCs w:val="17"/>
          <w:color w:val="auto"/>
        </w:rPr>
      </w:pPr>
    </w:p>
    <w:p>
      <w:pPr>
        <w:ind w:left="620" w:hanging="31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industry down-cycle in semiconductors;</w:t>
      </w:r>
    </w:p>
    <w:p>
      <w:pPr>
        <w:spacing w:after="0" w:line="218" w:lineRule="exact"/>
        <w:rPr>
          <w:rFonts w:ascii="Arial" w:cs="Arial" w:eastAsia="Arial" w:hAnsi="Arial"/>
          <w:sz w:val="17"/>
          <w:szCs w:val="17"/>
          <w:color w:val="auto"/>
        </w:rPr>
      </w:pPr>
    </w:p>
    <w:p>
      <w:pPr>
        <w:ind w:left="620" w:hanging="31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relationships with key suppliers and allocations of products by suppliers;</w:t>
      </w:r>
    </w:p>
    <w:p>
      <w:pPr>
        <w:spacing w:after="0" w:line="218" w:lineRule="exact"/>
        <w:rPr>
          <w:rFonts w:ascii="Arial" w:cs="Arial" w:eastAsia="Arial" w:hAnsi="Arial"/>
          <w:sz w:val="17"/>
          <w:szCs w:val="17"/>
          <w:color w:val="auto"/>
        </w:rPr>
      </w:pPr>
    </w:p>
    <w:p>
      <w:pPr>
        <w:ind w:left="620" w:hanging="310"/>
        <w:spacing w:after="0" w:line="283"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risks relating to the Company’s international sales and operations, including risks relating to the ability to repatriate cash, foreign currency fluctuations, duties and taxes, and compliance with international and U.S. laws;</w:t>
      </w:r>
    </w:p>
    <w:p>
      <w:pPr>
        <w:spacing w:after="0" w:line="159" w:lineRule="exact"/>
        <w:rPr>
          <w:rFonts w:ascii="Arial" w:cs="Arial" w:eastAsia="Arial" w:hAnsi="Arial"/>
          <w:sz w:val="17"/>
          <w:szCs w:val="17"/>
          <w:color w:val="auto"/>
        </w:rPr>
      </w:pPr>
    </w:p>
    <w:p>
      <w:pPr>
        <w:ind w:left="620" w:hanging="31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risks relating to acquisitions, divestitures and investments;</w:t>
      </w:r>
    </w:p>
    <w:p>
      <w:pPr>
        <w:spacing w:after="0" w:line="218" w:lineRule="exact"/>
        <w:rPr>
          <w:rFonts w:ascii="Arial" w:cs="Arial" w:eastAsia="Arial" w:hAnsi="Arial"/>
          <w:sz w:val="17"/>
          <w:szCs w:val="17"/>
          <w:color w:val="auto"/>
        </w:rPr>
      </w:pPr>
    </w:p>
    <w:p>
      <w:pPr>
        <w:ind w:left="620" w:hanging="310"/>
        <w:spacing w:after="0" w:line="283"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adverse effects on the Company’s supply chain, shipping costs, third-party service providers, customers and suppliers, including as a result of issues caused by natural and weather-related disasters;</w:t>
      </w:r>
    </w:p>
    <w:p>
      <w:pPr>
        <w:spacing w:after="0" w:line="159" w:lineRule="exact"/>
        <w:rPr>
          <w:rFonts w:ascii="Arial" w:cs="Arial" w:eastAsia="Arial" w:hAnsi="Arial"/>
          <w:sz w:val="17"/>
          <w:szCs w:val="17"/>
          <w:color w:val="auto"/>
        </w:rPr>
      </w:pPr>
    </w:p>
    <w:p>
      <w:pPr>
        <w:ind w:left="620" w:right="1020" w:hanging="310"/>
        <w:spacing w:after="0" w:line="283"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risks related to cyber attacks and the Company’s information systems, including related to current or future implementations;</w:t>
      </w:r>
    </w:p>
    <w:p>
      <w:pPr>
        <w:spacing w:after="0" w:line="159" w:lineRule="exact"/>
        <w:rPr>
          <w:rFonts w:ascii="Arial" w:cs="Arial" w:eastAsia="Arial" w:hAnsi="Arial"/>
          <w:sz w:val="17"/>
          <w:szCs w:val="17"/>
          <w:color w:val="auto"/>
        </w:rPr>
      </w:pPr>
    </w:p>
    <w:p>
      <w:pPr>
        <w:ind w:left="620" w:hanging="310"/>
        <w:spacing w:after="0" w:line="283"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general economic and business conditions (domestic and foreign) affecting Avnet's financial performance and, indirectly, Avnet's credit ratings, debt covenant compliance, and liquidity and access to financing; and</w:t>
      </w:r>
    </w:p>
    <w:p>
      <w:pPr>
        <w:spacing w:after="0" w:line="159" w:lineRule="exact"/>
        <w:rPr>
          <w:rFonts w:ascii="Arial" w:cs="Arial" w:eastAsia="Arial" w:hAnsi="Arial"/>
          <w:sz w:val="17"/>
          <w:szCs w:val="17"/>
          <w:color w:val="auto"/>
        </w:rPr>
      </w:pPr>
    </w:p>
    <w:p>
      <w:pPr>
        <w:ind w:left="620" w:hanging="31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legislative or regulatory changes affecting Avnet’s businesses.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5757545"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8" w:name="page29"/>
    <w:bookmarkEnd w:id="2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25" w:lineRule="exact"/>
        <w:rPr>
          <w:sz w:val="20"/>
          <w:szCs w:val="20"/>
          <w:color w:val="auto"/>
        </w:rPr>
      </w:pPr>
    </w:p>
    <w:p>
      <w:pPr>
        <w:jc w:val="both"/>
        <w:ind w:firstLine="414"/>
        <w:spacing w:after="0" w:line="268" w:lineRule="auto"/>
        <w:rPr>
          <w:sz w:val="20"/>
          <w:szCs w:val="20"/>
          <w:color w:val="auto"/>
        </w:rPr>
      </w:pPr>
      <w:r>
        <w:rPr>
          <w:rFonts w:ascii="Arial" w:cs="Arial" w:eastAsia="Arial" w:hAnsi="Arial"/>
          <w:sz w:val="17"/>
          <w:szCs w:val="17"/>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73" w:lineRule="exact"/>
        <w:rPr>
          <w:sz w:val="20"/>
          <w:szCs w:val="20"/>
          <w:color w:val="auto"/>
        </w:rPr>
      </w:pPr>
    </w:p>
    <w:p>
      <w:pPr>
        <w:jc w:val="both"/>
        <w:ind w:firstLine="414"/>
        <w:spacing w:after="0" w:line="260" w:lineRule="auto"/>
        <w:rPr>
          <w:sz w:val="20"/>
          <w:szCs w:val="20"/>
          <w:color w:val="auto"/>
        </w:rPr>
      </w:pPr>
      <w:r>
        <w:rPr>
          <w:rFonts w:ascii="Arial" w:cs="Arial" w:eastAsia="Arial" w:hAnsi="Arial"/>
          <w:sz w:val="17"/>
          <w:szCs w:val="17"/>
          <w:color w:val="auto"/>
        </w:rPr>
        <w:t>The discussion of Avnet’s business and operations should be read together with the risk factors contained in Item 1A of its Annual Report on Form 10-K for the fiscal year ended July 1, 2017,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September 30, 2017, there have been no material changes to the risk factors set forth in the Company’s Annual Report on Form 10-K for the fiscal year ended July 1, 2017.</w:t>
      </w:r>
    </w:p>
    <w:p>
      <w:pPr>
        <w:spacing w:after="0" w:line="172"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i w:val="1"/>
          <w:iCs w:val="1"/>
          <w:color w:val="auto"/>
        </w:rPr>
        <w:t>Unregistered Sales of Equity Securities and Use of Proceeds</w:t>
      </w:r>
    </w:p>
    <w:p>
      <w:pPr>
        <w:spacing w:after="0" w:line="224" w:lineRule="exact"/>
        <w:rPr>
          <w:sz w:val="20"/>
          <w:szCs w:val="20"/>
          <w:color w:val="auto"/>
        </w:rPr>
      </w:pPr>
    </w:p>
    <w:p>
      <w:pPr>
        <w:jc w:val="both"/>
        <w:ind w:firstLine="414"/>
        <w:spacing w:after="0" w:line="263" w:lineRule="auto"/>
        <w:rPr>
          <w:sz w:val="20"/>
          <w:szCs w:val="20"/>
          <w:color w:val="auto"/>
        </w:rPr>
      </w:pPr>
      <w:r>
        <w:rPr>
          <w:rFonts w:ascii="Arial" w:cs="Arial" w:eastAsia="Arial" w:hAnsi="Arial"/>
          <w:sz w:val="17"/>
          <w:szCs w:val="17"/>
          <w:color w:val="auto"/>
        </w:rPr>
        <w:t>The Company’s Board of Directors has approved the repurchase of up to $1.75 billion of the Company’s common stock under the Company’s share repurchase program. The following table includes the Company’s monthly purchases of the Company’s common stock during the first quarter of fiscal 2018, under the share repurchase program, which is part of a publicly announced plan.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w w:val="93"/>
              </w:rPr>
              <w:t>Total Number of</w:t>
            </w:r>
          </w:p>
        </w:tc>
        <w:tc>
          <w:tcPr>
            <w:tcW w:w="220" w:type="dxa"/>
            <w:vAlign w:val="bottom"/>
          </w:tcPr>
          <w:p>
            <w:pPr>
              <w:spacing w:after="0"/>
              <w:rPr>
                <w:sz w:val="17"/>
                <w:szCs w:val="17"/>
                <w:color w:val="auto"/>
              </w:rPr>
            </w:pPr>
          </w:p>
        </w:tc>
        <w:tc>
          <w:tcPr>
            <w:tcW w:w="168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w w:val="96"/>
              </w:rPr>
              <w:t>Approximate Dollar</w:t>
            </w:r>
          </w:p>
        </w:tc>
      </w:tr>
      <w:tr>
        <w:trPr>
          <w:trHeight w:val="207"/>
        </w:trPr>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93"/>
              </w:rPr>
              <w:t>Total</w:t>
            </w:r>
          </w:p>
        </w:tc>
        <w:tc>
          <w:tcPr>
            <w:tcW w:w="220" w:type="dxa"/>
            <w:vAlign w:val="bottom"/>
          </w:tcPr>
          <w:p>
            <w:pPr>
              <w:spacing w:after="0"/>
              <w:rPr>
                <w:sz w:val="17"/>
                <w:szCs w:val="17"/>
                <w:color w:val="auto"/>
              </w:rPr>
            </w:pPr>
          </w:p>
        </w:tc>
        <w:tc>
          <w:tcPr>
            <w:tcW w:w="840" w:type="dxa"/>
            <w:vAlign w:val="bottom"/>
            <w:gridSpan w:val="3"/>
          </w:tcPr>
          <w:p>
            <w:pPr>
              <w:ind w:left="20"/>
              <w:spacing w:after="0"/>
              <w:rPr>
                <w:sz w:val="20"/>
                <w:szCs w:val="20"/>
                <w:color w:val="auto"/>
              </w:rPr>
            </w:pPr>
            <w:r>
              <w:rPr>
                <w:rFonts w:ascii="Arial" w:cs="Arial" w:eastAsia="Arial" w:hAnsi="Arial"/>
                <w:sz w:val="17"/>
                <w:szCs w:val="17"/>
                <w:b w:val="1"/>
                <w:bCs w:val="1"/>
                <w:color w:val="auto"/>
              </w:rPr>
              <w:t>Average</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w w:val="87"/>
              </w:rPr>
              <w:t>Shares Purchased</w:t>
            </w:r>
          </w:p>
        </w:tc>
        <w:tc>
          <w:tcPr>
            <w:tcW w:w="220" w:type="dxa"/>
            <w:vAlign w:val="bottom"/>
          </w:tcPr>
          <w:p>
            <w:pPr>
              <w:spacing w:after="0"/>
              <w:rPr>
                <w:sz w:val="17"/>
                <w:szCs w:val="17"/>
                <w:color w:val="auto"/>
              </w:rPr>
            </w:pPr>
          </w:p>
        </w:tc>
        <w:tc>
          <w:tcPr>
            <w:tcW w:w="168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0"/>
              </w:rPr>
              <w:t>Value of Shares That</w:t>
            </w:r>
          </w:p>
        </w:tc>
      </w:tr>
      <w:tr>
        <w:trPr>
          <w:trHeight w:val="207"/>
        </w:trPr>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96"/>
              </w:rPr>
              <w:t>Number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7"/>
                <w:szCs w:val="17"/>
                <w:b w:val="1"/>
                <w:bCs w:val="1"/>
                <w:color w:val="auto"/>
              </w:rPr>
              <w:t>Price</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w w:val="92"/>
              </w:rPr>
              <w:t>as Part of Publicly</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2"/>
              </w:rPr>
              <w:t>May Yet Be</w:t>
            </w:r>
          </w:p>
        </w:tc>
      </w:tr>
      <w:tr>
        <w:trPr>
          <w:trHeight w:val="207"/>
        </w:trPr>
        <w:tc>
          <w:tcPr>
            <w:tcW w:w="3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87"/>
              </w:rPr>
              <w:t>of Shares</w:t>
            </w:r>
          </w:p>
        </w:tc>
        <w:tc>
          <w:tcPr>
            <w:tcW w:w="1060" w:type="dxa"/>
            <w:vAlign w:val="bottom"/>
            <w:gridSpan w:val="4"/>
          </w:tcPr>
          <w:p>
            <w:pPr>
              <w:ind w:left="220"/>
              <w:spacing w:after="0"/>
              <w:rPr>
                <w:sz w:val="20"/>
                <w:szCs w:val="20"/>
                <w:color w:val="auto"/>
              </w:rPr>
            </w:pPr>
            <w:r>
              <w:rPr>
                <w:rFonts w:ascii="Arial" w:cs="Arial" w:eastAsia="Arial" w:hAnsi="Arial"/>
                <w:sz w:val="17"/>
                <w:szCs w:val="17"/>
                <w:b w:val="1"/>
                <w:bCs w:val="1"/>
                <w:color w:val="auto"/>
              </w:rPr>
              <w:t>Paid per</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w w:val="89"/>
              </w:rPr>
              <w:t>Announced Plans</w:t>
            </w:r>
          </w:p>
        </w:tc>
        <w:tc>
          <w:tcPr>
            <w:tcW w:w="220" w:type="dxa"/>
            <w:vAlign w:val="bottom"/>
          </w:tcPr>
          <w:p>
            <w:pPr>
              <w:spacing w:after="0"/>
              <w:rPr>
                <w:sz w:val="17"/>
                <w:szCs w:val="17"/>
                <w:color w:val="auto"/>
              </w:rPr>
            </w:pPr>
          </w:p>
        </w:tc>
        <w:tc>
          <w:tcPr>
            <w:tcW w:w="1680" w:type="dxa"/>
            <w:vAlign w:val="bottom"/>
            <w:gridSpan w:val="3"/>
          </w:tcPr>
          <w:p>
            <w:pPr>
              <w:ind w:left="60"/>
              <w:spacing w:after="0"/>
              <w:rPr>
                <w:sz w:val="20"/>
                <w:szCs w:val="20"/>
                <w:color w:val="auto"/>
              </w:rPr>
            </w:pPr>
            <w:r>
              <w:rPr>
                <w:rFonts w:ascii="Arial" w:cs="Arial" w:eastAsia="Arial" w:hAnsi="Arial"/>
                <w:sz w:val="17"/>
                <w:szCs w:val="17"/>
                <w:b w:val="1"/>
                <w:bCs w:val="1"/>
                <w:color w:val="auto"/>
                <w:w w:val="94"/>
              </w:rPr>
              <w:t>Purchased under the</w:t>
            </w:r>
          </w:p>
        </w:tc>
      </w:tr>
      <w:tr>
        <w:trPr>
          <w:trHeight w:val="231"/>
        </w:trPr>
        <w:tc>
          <w:tcPr>
            <w:tcW w:w="3860" w:type="dxa"/>
            <w:vAlign w:val="bottom"/>
            <w:gridSpan w:val="2"/>
          </w:tcPr>
          <w:p>
            <w:pPr>
              <w:spacing w:after="0"/>
              <w:rPr>
                <w:sz w:val="20"/>
                <w:szCs w:val="20"/>
                <w:color w:val="auto"/>
              </w:rPr>
            </w:pPr>
            <w:r>
              <w:rPr>
                <w:rFonts w:ascii="Arial" w:cs="Arial" w:eastAsia="Arial" w:hAnsi="Arial"/>
                <w:sz w:val="17"/>
                <w:szCs w:val="17"/>
                <w:b w:val="1"/>
                <w:bCs w:val="1"/>
                <w:color w:val="auto"/>
              </w:rPr>
              <w:t>Period</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89"/>
              </w:rPr>
              <w:t>Purchased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spacing w:after="0"/>
              <w:rPr>
                <w:sz w:val="20"/>
                <w:szCs w:val="20"/>
                <w:color w:val="auto"/>
              </w:rPr>
            </w:pPr>
            <w:r>
              <w:rPr>
                <w:rFonts w:ascii="Arial" w:cs="Arial" w:eastAsia="Arial" w:hAnsi="Arial"/>
                <w:sz w:val="17"/>
                <w:szCs w:val="17"/>
                <w:b w:val="1"/>
                <w:bCs w:val="1"/>
                <w:color w:val="auto"/>
              </w:rPr>
              <w:t>Share</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w w:val="92"/>
              </w:rPr>
              <w:t>or Programs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Plans or Programs</w:t>
            </w:r>
          </w:p>
        </w:tc>
      </w:tr>
      <w:tr>
        <w:trPr>
          <w:trHeight w:val="207"/>
        </w:trPr>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July</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399,062,000</w:t>
            </w:r>
          </w:p>
        </w:tc>
        <w:tc>
          <w:tcPr>
            <w:tcW w:w="80" w:type="dxa"/>
            <w:vAlign w:val="bottom"/>
            <w:tcBorders>
              <w:top w:val="single" w:sz="8" w:color="CCEEFF"/>
            </w:tcBorders>
            <w:shd w:val="clear" w:color="auto" w:fill="CCEEFF"/>
          </w:tcPr>
          <w:p>
            <w:pPr>
              <w:spacing w:after="0"/>
              <w:rPr>
                <w:sz w:val="17"/>
                <w:szCs w:val="17"/>
                <w:color w:val="auto"/>
              </w:rPr>
            </w:pPr>
          </w:p>
        </w:tc>
      </w:tr>
      <w:tr>
        <w:trPr>
          <w:trHeight w:val="207"/>
        </w:trPr>
        <w:tc>
          <w:tcPr>
            <w:tcW w:w="3860" w:type="dxa"/>
            <w:vAlign w:val="bottom"/>
            <w:gridSpan w:val="2"/>
          </w:tcPr>
          <w:p>
            <w:pPr>
              <w:spacing w:after="0"/>
              <w:rPr>
                <w:sz w:val="20"/>
                <w:szCs w:val="20"/>
                <w:color w:val="auto"/>
              </w:rPr>
            </w:pPr>
            <w:r>
              <w:rPr>
                <w:rFonts w:ascii="Arial" w:cs="Arial" w:eastAsia="Arial" w:hAnsi="Arial"/>
                <w:sz w:val="17"/>
                <w:szCs w:val="17"/>
                <w:color w:val="auto"/>
              </w:rPr>
              <w:t>August</w:t>
            </w:r>
          </w:p>
        </w:tc>
        <w:tc>
          <w:tcPr>
            <w:tcW w:w="780" w:type="dxa"/>
            <w:vAlign w:val="bottom"/>
          </w:tcPr>
          <w:p>
            <w:pPr>
              <w:jc w:val="right"/>
              <w:spacing w:after="0"/>
              <w:rPr>
                <w:sz w:val="20"/>
                <w:szCs w:val="20"/>
                <w:color w:val="auto"/>
              </w:rPr>
            </w:pPr>
            <w:r>
              <w:rPr>
                <w:rFonts w:ascii="Arial" w:cs="Arial" w:eastAsia="Arial" w:hAnsi="Arial"/>
                <w:sz w:val="17"/>
                <w:szCs w:val="17"/>
                <w:color w:val="auto"/>
              </w:rPr>
              <w:t>615,000</w:t>
            </w:r>
          </w:p>
        </w:tc>
        <w:tc>
          <w:tcPr>
            <w:tcW w:w="320" w:type="dxa"/>
            <w:vAlign w:val="bottom"/>
            <w:gridSpan w:val="2"/>
          </w:tcPr>
          <w:p>
            <w:pPr>
              <w:ind w:left="220"/>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36.90</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615,000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376,365,000</w:t>
            </w:r>
          </w:p>
        </w:tc>
        <w:tc>
          <w:tcPr>
            <w:tcW w:w="80" w:type="dxa"/>
            <w:vAlign w:val="bottom"/>
          </w:tcPr>
          <w:p>
            <w:pPr>
              <w:spacing w:after="0"/>
              <w:rPr>
                <w:sz w:val="17"/>
                <w:szCs w:val="17"/>
                <w:color w:val="auto"/>
              </w:rPr>
            </w:pPr>
          </w:p>
        </w:tc>
      </w:tr>
      <w:tr>
        <w:trPr>
          <w:trHeight w:val="207"/>
        </w:trPr>
        <w:tc>
          <w:tcPr>
            <w:tcW w:w="3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September</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1,290,000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38.27</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326,994,000</w:t>
            </w:r>
          </w:p>
        </w:tc>
        <w:tc>
          <w:tcPr>
            <w:tcW w:w="80" w:type="dxa"/>
            <w:vAlign w:val="bottom"/>
            <w:shd w:val="clear" w:color="auto" w:fill="CCEEFF"/>
          </w:tcPr>
          <w:p>
            <w:pPr>
              <w:spacing w:after="0"/>
              <w:rPr>
                <w:sz w:val="17"/>
                <w:szCs w:val="17"/>
                <w:color w:val="auto"/>
              </w:rPr>
            </w:pPr>
          </w:p>
        </w:tc>
      </w:tr>
      <w:tr>
        <w:trPr>
          <w:trHeight w:val="880"/>
        </w:trPr>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2"/>
        </w:trPr>
        <w:tc>
          <w:tcPr>
            <w:tcW w:w="3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27" w:right="1419" w:bottom="1440" w:gutter="0" w:footer="0" w:header="0"/>
        </w:sectPr>
      </w:pPr>
    </w:p>
    <w:bookmarkStart w:id="29" w:name="page30"/>
    <w:bookmarkEnd w:id="2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2"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3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5"/>
              </w:rPr>
              <w:t>Exhibit</w:t>
            </w:r>
          </w:p>
        </w:tc>
        <w:tc>
          <w:tcPr>
            <w:tcW w:w="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33"/>
        </w:trPr>
        <w:tc>
          <w:tcPr>
            <w:tcW w:w="13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6"/>
              </w:rPr>
              <w:t>Number</w:t>
            </w:r>
          </w:p>
        </w:tc>
        <w:tc>
          <w:tcPr>
            <w:tcW w:w="40" w:type="dxa"/>
            <w:vAlign w:val="bottom"/>
          </w:tcPr>
          <w:p>
            <w:pPr>
              <w:spacing w:after="0"/>
              <w:rPr>
                <w:sz w:val="20"/>
                <w:szCs w:val="20"/>
                <w:color w:val="auto"/>
              </w:rPr>
            </w:pPr>
          </w:p>
        </w:tc>
        <w:tc>
          <w:tcPr>
            <w:tcW w:w="7660" w:type="dxa"/>
            <w:vAlign w:val="bottom"/>
            <w:gridSpan w:val="4"/>
          </w:tcPr>
          <w:p>
            <w:pPr>
              <w:spacing w:after="0"/>
              <w:rPr>
                <w:sz w:val="20"/>
                <w:szCs w:val="20"/>
                <w:color w:val="auto"/>
              </w:rPr>
            </w:pPr>
            <w:r>
              <w:rPr>
                <w:rFonts w:ascii="Arial" w:cs="Arial" w:eastAsia="Arial" w:hAnsi="Arial"/>
                <w:sz w:val="17"/>
                <w:szCs w:val="17"/>
                <w:b w:val="1"/>
                <w:bCs w:val="1"/>
                <w:color w:val="auto"/>
              </w:rPr>
              <w:t>Exhibit</w:t>
            </w:r>
          </w:p>
        </w:tc>
      </w:tr>
      <w:tr>
        <w:trPr>
          <w:trHeight w:val="26"/>
        </w:trPr>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161"/>
        </w:trPr>
        <w:tc>
          <w:tcPr>
            <w:tcW w:w="1120" w:type="dxa"/>
            <w:vAlign w:val="bottom"/>
          </w:tcPr>
          <w:p>
            <w:pPr>
              <w:jc w:val="right"/>
              <w:spacing w:after="0" w:line="161" w:lineRule="exact"/>
              <w:rPr>
                <w:sz w:val="20"/>
                <w:szCs w:val="20"/>
                <w:color w:val="auto"/>
              </w:rPr>
            </w:pPr>
            <w:r>
              <w:rPr>
                <w:rFonts w:ascii="Arial" w:cs="Arial" w:eastAsia="Arial" w:hAnsi="Arial"/>
                <w:sz w:val="17"/>
                <w:szCs w:val="17"/>
                <w:color w:val="auto"/>
              </w:rPr>
              <w:t>10.1*</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60" w:type="dxa"/>
            <w:vAlign w:val="bottom"/>
            <w:gridSpan w:val="4"/>
          </w:tcPr>
          <w:p>
            <w:pPr>
              <w:spacing w:after="0" w:line="161" w:lineRule="exact"/>
              <w:rPr>
                <w:rFonts w:ascii="Arial" w:cs="Arial" w:eastAsia="Arial" w:hAnsi="Arial"/>
                <w:sz w:val="17"/>
                <w:szCs w:val="17"/>
                <w:color w:val="0000EE"/>
              </w:rPr>
            </w:pPr>
            <w:hyperlink w:anchor="page32">
              <w:r>
                <w:rPr>
                  <w:rFonts w:ascii="Arial" w:cs="Arial" w:eastAsia="Arial" w:hAnsi="Arial"/>
                  <w:sz w:val="17"/>
                  <w:szCs w:val="17"/>
                  <w:color w:val="0000EE"/>
                </w:rPr>
                <w:t>Avnet Executive Severance Plan, effective August 10, 2017.</w:t>
              </w:r>
            </w:hyperlink>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420"/>
        </w:trPr>
        <w:tc>
          <w:tcPr>
            <w:tcW w:w="1120" w:type="dxa"/>
            <w:vAlign w:val="bottom"/>
          </w:tcPr>
          <w:p>
            <w:pPr>
              <w:jc w:val="right"/>
              <w:spacing w:after="0"/>
              <w:rPr>
                <w:sz w:val="20"/>
                <w:szCs w:val="20"/>
                <w:color w:val="auto"/>
              </w:rPr>
            </w:pPr>
            <w:r>
              <w:rPr>
                <w:rFonts w:ascii="Arial" w:cs="Arial" w:eastAsia="Arial" w:hAnsi="Arial"/>
                <w:sz w:val="17"/>
                <w:szCs w:val="17"/>
                <w:color w:val="auto"/>
              </w:rPr>
              <w:t>31.1*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80" w:type="dxa"/>
            <w:vAlign w:val="bottom"/>
            <w:tcBorders>
              <w:bottom w:val="single" w:sz="8" w:color="0000EE"/>
            </w:tcBorders>
            <w:gridSpan w:val="3"/>
          </w:tcPr>
          <w:p>
            <w:pPr>
              <w:spacing w:after="0"/>
              <w:rPr>
                <w:rFonts w:ascii="Arial" w:cs="Arial" w:eastAsia="Arial" w:hAnsi="Arial"/>
                <w:sz w:val="17"/>
                <w:szCs w:val="17"/>
                <w:color w:val="0000EE"/>
                <w:w w:val="93"/>
              </w:rPr>
            </w:pPr>
            <w:hyperlink w:anchor="page49">
              <w:r>
                <w:rPr>
                  <w:rFonts w:ascii="Arial" w:cs="Arial" w:eastAsia="Arial" w:hAnsi="Arial"/>
                  <w:sz w:val="17"/>
                  <w:szCs w:val="17"/>
                  <w:color w:val="0000EE"/>
                  <w:w w:val="93"/>
                </w:rPr>
                <w:t>Certification pursuant to Section 302 of the Sarbanes-Oxley Act of 2002.</w:t>
              </w:r>
            </w:hyperlink>
          </w:p>
        </w:tc>
        <w:tc>
          <w:tcPr>
            <w:tcW w:w="2580" w:type="dxa"/>
            <w:vAlign w:val="bottom"/>
          </w:tcPr>
          <w:p>
            <w:pPr>
              <w:spacing w:after="0"/>
              <w:rPr>
                <w:sz w:val="24"/>
                <w:szCs w:val="24"/>
                <w:color w:val="auto"/>
              </w:rPr>
            </w:pPr>
          </w:p>
        </w:tc>
      </w:tr>
      <w:tr>
        <w:trPr>
          <w:trHeight w:val="407"/>
        </w:trPr>
        <w:tc>
          <w:tcPr>
            <w:tcW w:w="1120" w:type="dxa"/>
            <w:vAlign w:val="bottom"/>
          </w:tcPr>
          <w:p>
            <w:pPr>
              <w:jc w:val="right"/>
              <w:spacing w:after="0"/>
              <w:rPr>
                <w:sz w:val="20"/>
                <w:szCs w:val="20"/>
                <w:color w:val="auto"/>
              </w:rPr>
            </w:pPr>
            <w:r>
              <w:rPr>
                <w:rFonts w:ascii="Arial" w:cs="Arial" w:eastAsia="Arial" w:hAnsi="Arial"/>
                <w:sz w:val="17"/>
                <w:szCs w:val="17"/>
                <w:color w:val="auto"/>
              </w:rPr>
              <w:t>31.2*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80" w:type="dxa"/>
            <w:vAlign w:val="bottom"/>
            <w:tcBorders>
              <w:bottom w:val="single" w:sz="8" w:color="0000EE"/>
            </w:tcBorders>
            <w:gridSpan w:val="3"/>
          </w:tcPr>
          <w:p>
            <w:pPr>
              <w:spacing w:after="0"/>
              <w:rPr>
                <w:rFonts w:ascii="Arial" w:cs="Arial" w:eastAsia="Arial" w:hAnsi="Arial"/>
                <w:sz w:val="17"/>
                <w:szCs w:val="17"/>
                <w:color w:val="0000EE"/>
                <w:w w:val="93"/>
              </w:rPr>
            </w:pPr>
            <w:hyperlink w:anchor="page50">
              <w:r>
                <w:rPr>
                  <w:rFonts w:ascii="Arial" w:cs="Arial" w:eastAsia="Arial" w:hAnsi="Arial"/>
                  <w:sz w:val="17"/>
                  <w:szCs w:val="17"/>
                  <w:color w:val="0000EE"/>
                  <w:w w:val="93"/>
                </w:rPr>
                <w:t>Certification pursuant to Section 302 of the Sarbanes-Oxley Act of 2002.</w:t>
              </w:r>
            </w:hyperlink>
          </w:p>
        </w:tc>
        <w:tc>
          <w:tcPr>
            <w:tcW w:w="2580" w:type="dxa"/>
            <w:vAlign w:val="bottom"/>
          </w:tcPr>
          <w:p>
            <w:pPr>
              <w:spacing w:after="0"/>
              <w:rPr>
                <w:sz w:val="24"/>
                <w:szCs w:val="24"/>
                <w:color w:val="auto"/>
              </w:rPr>
            </w:pPr>
          </w:p>
        </w:tc>
      </w:tr>
      <w:tr>
        <w:trPr>
          <w:trHeight w:val="407"/>
        </w:trPr>
        <w:tc>
          <w:tcPr>
            <w:tcW w:w="1120" w:type="dxa"/>
            <w:vAlign w:val="bottom"/>
          </w:tcPr>
          <w:p>
            <w:pPr>
              <w:jc w:val="right"/>
              <w:spacing w:after="0"/>
              <w:rPr>
                <w:sz w:val="20"/>
                <w:szCs w:val="20"/>
                <w:color w:val="auto"/>
              </w:rPr>
            </w:pPr>
            <w:r>
              <w:rPr>
                <w:rFonts w:ascii="Arial" w:cs="Arial" w:eastAsia="Arial" w:hAnsi="Arial"/>
                <w:sz w:val="17"/>
                <w:szCs w:val="17"/>
                <w:color w:val="auto"/>
              </w:rPr>
              <w:t>32.1**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80" w:type="dxa"/>
            <w:vAlign w:val="bottom"/>
            <w:tcBorders>
              <w:bottom w:val="single" w:sz="8" w:color="0000EE"/>
            </w:tcBorders>
            <w:gridSpan w:val="3"/>
          </w:tcPr>
          <w:p>
            <w:pPr>
              <w:spacing w:after="0"/>
              <w:rPr>
                <w:rFonts w:ascii="Arial" w:cs="Arial" w:eastAsia="Arial" w:hAnsi="Arial"/>
                <w:sz w:val="17"/>
                <w:szCs w:val="17"/>
                <w:color w:val="0000EE"/>
                <w:w w:val="93"/>
              </w:rPr>
            </w:pPr>
            <w:hyperlink w:anchor="page51">
              <w:r>
                <w:rPr>
                  <w:rFonts w:ascii="Arial" w:cs="Arial" w:eastAsia="Arial" w:hAnsi="Arial"/>
                  <w:sz w:val="17"/>
                  <w:szCs w:val="17"/>
                  <w:color w:val="0000EE"/>
                  <w:w w:val="93"/>
                </w:rPr>
                <w:t>Certification pursuant to Section 906 of the Sarbanes-Oxley Act of 2002.</w:t>
              </w:r>
            </w:hyperlink>
          </w:p>
        </w:tc>
        <w:tc>
          <w:tcPr>
            <w:tcW w:w="2580" w:type="dxa"/>
            <w:vAlign w:val="bottom"/>
          </w:tcPr>
          <w:p>
            <w:pPr>
              <w:spacing w:after="0"/>
              <w:rPr>
                <w:sz w:val="24"/>
                <w:szCs w:val="24"/>
                <w:color w:val="auto"/>
              </w:rPr>
            </w:pPr>
          </w:p>
        </w:tc>
      </w:tr>
      <w:tr>
        <w:trPr>
          <w:trHeight w:val="407"/>
        </w:trPr>
        <w:tc>
          <w:tcPr>
            <w:tcW w:w="1120" w:type="dxa"/>
            <w:vAlign w:val="bottom"/>
          </w:tcPr>
          <w:p>
            <w:pPr>
              <w:jc w:val="right"/>
              <w:spacing w:after="0"/>
              <w:rPr>
                <w:sz w:val="20"/>
                <w:szCs w:val="20"/>
                <w:color w:val="auto"/>
              </w:rPr>
            </w:pPr>
            <w:r>
              <w:rPr>
                <w:rFonts w:ascii="Arial" w:cs="Arial" w:eastAsia="Arial" w:hAnsi="Arial"/>
                <w:sz w:val="17"/>
                <w:szCs w:val="17"/>
                <w:color w:val="auto"/>
              </w:rPr>
              <w:t>32.2**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tcBorders>
              <w:bottom w:val="single" w:sz="8" w:color="0000EE"/>
            </w:tcBorders>
            <w:gridSpan w:val="2"/>
          </w:tcPr>
          <w:p>
            <w:pPr>
              <w:spacing w:after="0"/>
              <w:rPr>
                <w:rFonts w:ascii="Arial" w:cs="Arial" w:eastAsia="Arial" w:hAnsi="Arial"/>
                <w:sz w:val="17"/>
                <w:szCs w:val="17"/>
                <w:color w:val="0000EE"/>
                <w:w w:val="92"/>
              </w:rPr>
            </w:pPr>
            <w:hyperlink w:anchor="page52">
              <w:r>
                <w:rPr>
                  <w:rFonts w:ascii="Arial" w:cs="Arial" w:eastAsia="Arial" w:hAnsi="Arial"/>
                  <w:sz w:val="17"/>
                  <w:szCs w:val="17"/>
                  <w:color w:val="0000EE"/>
                  <w:w w:val="92"/>
                </w:rPr>
                <w:t>Certification pursuant to Section 906 of the Sarbanes-Oxley Act of 2002.</w:t>
              </w:r>
            </w:hyperlink>
          </w:p>
        </w:tc>
        <w:tc>
          <w:tcPr>
            <w:tcW w:w="2600" w:type="dxa"/>
            <w:vAlign w:val="bottom"/>
            <w:gridSpan w:val="2"/>
          </w:tcPr>
          <w:p>
            <w:pPr>
              <w:spacing w:after="0"/>
              <w:rPr>
                <w:sz w:val="24"/>
                <w:szCs w:val="24"/>
                <w:color w:val="auto"/>
              </w:rPr>
            </w:pPr>
          </w:p>
        </w:tc>
      </w:tr>
      <w:tr>
        <w:trPr>
          <w:trHeight w:val="446"/>
        </w:trPr>
        <w:tc>
          <w:tcPr>
            <w:tcW w:w="1360" w:type="dxa"/>
            <w:vAlign w:val="bottom"/>
            <w:gridSpan w:val="2"/>
          </w:tcPr>
          <w:p>
            <w:pPr>
              <w:jc w:val="right"/>
              <w:ind w:right="300"/>
              <w:spacing w:after="0"/>
              <w:rPr>
                <w:sz w:val="20"/>
                <w:szCs w:val="20"/>
                <w:color w:val="auto"/>
              </w:rPr>
            </w:pPr>
            <w:r>
              <w:rPr>
                <w:rFonts w:ascii="Arial" w:cs="Arial" w:eastAsia="Arial" w:hAnsi="Arial"/>
                <w:sz w:val="17"/>
                <w:szCs w:val="17"/>
                <w:color w:val="auto"/>
              </w:rPr>
              <w:t>101.INS*</w:t>
            </w:r>
          </w:p>
        </w:tc>
        <w:tc>
          <w:tcPr>
            <w:tcW w:w="40" w:type="dxa"/>
            <w:vAlign w:val="bottom"/>
          </w:tcPr>
          <w:p>
            <w:pPr>
              <w:spacing w:after="0"/>
              <w:rPr>
                <w:sz w:val="24"/>
                <w:szCs w:val="24"/>
                <w:color w:val="auto"/>
              </w:rPr>
            </w:pPr>
          </w:p>
        </w:tc>
        <w:tc>
          <w:tcPr>
            <w:tcW w:w="7660" w:type="dxa"/>
            <w:vAlign w:val="bottom"/>
            <w:gridSpan w:val="4"/>
          </w:tcPr>
          <w:p>
            <w:pPr>
              <w:spacing w:after="0"/>
              <w:rPr>
                <w:sz w:val="20"/>
                <w:szCs w:val="20"/>
                <w:color w:val="auto"/>
              </w:rPr>
            </w:pPr>
            <w:r>
              <w:rPr>
                <w:rFonts w:ascii="Arial" w:cs="Arial" w:eastAsia="Arial" w:hAnsi="Arial"/>
                <w:sz w:val="17"/>
                <w:szCs w:val="17"/>
                <w:color w:val="auto"/>
              </w:rPr>
              <w:t>XBRL Instance Document.</w:t>
            </w:r>
          </w:p>
        </w:tc>
      </w:tr>
      <w:tr>
        <w:trPr>
          <w:trHeight w:val="427"/>
        </w:trPr>
        <w:tc>
          <w:tcPr>
            <w:tcW w:w="1360" w:type="dxa"/>
            <w:vAlign w:val="bottom"/>
            <w:gridSpan w:val="2"/>
          </w:tcPr>
          <w:p>
            <w:pPr>
              <w:jc w:val="right"/>
              <w:ind w:right="300"/>
              <w:spacing w:after="0"/>
              <w:rPr>
                <w:sz w:val="20"/>
                <w:szCs w:val="20"/>
                <w:color w:val="auto"/>
              </w:rPr>
            </w:pPr>
            <w:r>
              <w:rPr>
                <w:rFonts w:ascii="Arial" w:cs="Arial" w:eastAsia="Arial" w:hAnsi="Arial"/>
                <w:sz w:val="17"/>
                <w:szCs w:val="17"/>
                <w:color w:val="auto"/>
              </w:rPr>
              <w:t>101.SCH*</w:t>
            </w:r>
          </w:p>
        </w:tc>
        <w:tc>
          <w:tcPr>
            <w:tcW w:w="40" w:type="dxa"/>
            <w:vAlign w:val="bottom"/>
          </w:tcPr>
          <w:p>
            <w:pPr>
              <w:spacing w:after="0"/>
              <w:rPr>
                <w:sz w:val="24"/>
                <w:szCs w:val="24"/>
                <w:color w:val="auto"/>
              </w:rPr>
            </w:pPr>
          </w:p>
        </w:tc>
        <w:tc>
          <w:tcPr>
            <w:tcW w:w="7660" w:type="dxa"/>
            <w:vAlign w:val="bottom"/>
            <w:gridSpan w:val="4"/>
          </w:tcPr>
          <w:p>
            <w:pPr>
              <w:spacing w:after="0"/>
              <w:rPr>
                <w:sz w:val="20"/>
                <w:szCs w:val="20"/>
                <w:color w:val="auto"/>
              </w:rPr>
            </w:pPr>
            <w:r>
              <w:rPr>
                <w:rFonts w:ascii="Arial" w:cs="Arial" w:eastAsia="Arial" w:hAnsi="Arial"/>
                <w:sz w:val="17"/>
                <w:szCs w:val="17"/>
                <w:color w:val="auto"/>
              </w:rPr>
              <w:t>XBRL Taxonomy Extension Schema Document.</w:t>
            </w:r>
          </w:p>
        </w:tc>
      </w:tr>
      <w:tr>
        <w:trPr>
          <w:trHeight w:val="427"/>
        </w:trPr>
        <w:tc>
          <w:tcPr>
            <w:tcW w:w="1360" w:type="dxa"/>
            <w:vAlign w:val="bottom"/>
            <w:gridSpan w:val="2"/>
          </w:tcPr>
          <w:p>
            <w:pPr>
              <w:jc w:val="right"/>
              <w:ind w:right="300"/>
              <w:spacing w:after="0"/>
              <w:rPr>
                <w:sz w:val="20"/>
                <w:szCs w:val="20"/>
                <w:color w:val="auto"/>
              </w:rPr>
            </w:pPr>
            <w:r>
              <w:rPr>
                <w:rFonts w:ascii="Arial" w:cs="Arial" w:eastAsia="Arial" w:hAnsi="Arial"/>
                <w:sz w:val="17"/>
                <w:szCs w:val="17"/>
                <w:color w:val="auto"/>
              </w:rPr>
              <w:t>101.DEF*</w:t>
            </w:r>
          </w:p>
        </w:tc>
        <w:tc>
          <w:tcPr>
            <w:tcW w:w="40" w:type="dxa"/>
            <w:vAlign w:val="bottom"/>
          </w:tcPr>
          <w:p>
            <w:pPr>
              <w:spacing w:after="0"/>
              <w:rPr>
                <w:sz w:val="24"/>
                <w:szCs w:val="24"/>
                <w:color w:val="auto"/>
              </w:rPr>
            </w:pPr>
          </w:p>
        </w:tc>
        <w:tc>
          <w:tcPr>
            <w:tcW w:w="7660" w:type="dxa"/>
            <w:vAlign w:val="bottom"/>
            <w:gridSpan w:val="4"/>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427"/>
        </w:trPr>
        <w:tc>
          <w:tcPr>
            <w:tcW w:w="1360" w:type="dxa"/>
            <w:vAlign w:val="bottom"/>
            <w:gridSpan w:val="2"/>
          </w:tcPr>
          <w:p>
            <w:pPr>
              <w:jc w:val="right"/>
              <w:ind w:right="300"/>
              <w:spacing w:after="0"/>
              <w:rPr>
                <w:sz w:val="20"/>
                <w:szCs w:val="20"/>
                <w:color w:val="auto"/>
              </w:rPr>
            </w:pPr>
            <w:r>
              <w:rPr>
                <w:rFonts w:ascii="Arial" w:cs="Arial" w:eastAsia="Arial" w:hAnsi="Arial"/>
                <w:sz w:val="17"/>
                <w:szCs w:val="17"/>
                <w:color w:val="auto"/>
              </w:rPr>
              <w:t>101.CAL*</w:t>
            </w:r>
          </w:p>
        </w:tc>
        <w:tc>
          <w:tcPr>
            <w:tcW w:w="40" w:type="dxa"/>
            <w:vAlign w:val="bottom"/>
          </w:tcPr>
          <w:p>
            <w:pPr>
              <w:spacing w:after="0"/>
              <w:rPr>
                <w:sz w:val="24"/>
                <w:szCs w:val="24"/>
                <w:color w:val="auto"/>
              </w:rPr>
            </w:pPr>
          </w:p>
        </w:tc>
        <w:tc>
          <w:tcPr>
            <w:tcW w:w="7660" w:type="dxa"/>
            <w:vAlign w:val="bottom"/>
            <w:gridSpan w:val="4"/>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427"/>
        </w:trPr>
        <w:tc>
          <w:tcPr>
            <w:tcW w:w="1360" w:type="dxa"/>
            <w:vAlign w:val="bottom"/>
            <w:gridSpan w:val="2"/>
          </w:tcPr>
          <w:p>
            <w:pPr>
              <w:jc w:val="right"/>
              <w:ind w:right="300"/>
              <w:spacing w:after="0"/>
              <w:rPr>
                <w:sz w:val="20"/>
                <w:szCs w:val="20"/>
                <w:color w:val="auto"/>
              </w:rPr>
            </w:pPr>
            <w:r>
              <w:rPr>
                <w:rFonts w:ascii="Arial" w:cs="Arial" w:eastAsia="Arial" w:hAnsi="Arial"/>
                <w:sz w:val="17"/>
                <w:szCs w:val="17"/>
                <w:color w:val="auto"/>
              </w:rPr>
              <w:t>101.LAB*</w:t>
            </w:r>
          </w:p>
        </w:tc>
        <w:tc>
          <w:tcPr>
            <w:tcW w:w="40" w:type="dxa"/>
            <w:vAlign w:val="bottom"/>
          </w:tcPr>
          <w:p>
            <w:pPr>
              <w:spacing w:after="0"/>
              <w:rPr>
                <w:sz w:val="24"/>
                <w:szCs w:val="24"/>
                <w:color w:val="auto"/>
              </w:rPr>
            </w:pPr>
          </w:p>
        </w:tc>
        <w:tc>
          <w:tcPr>
            <w:tcW w:w="7660" w:type="dxa"/>
            <w:vAlign w:val="bottom"/>
            <w:gridSpan w:val="4"/>
          </w:tcPr>
          <w:p>
            <w:pPr>
              <w:spacing w:after="0"/>
              <w:rPr>
                <w:sz w:val="20"/>
                <w:szCs w:val="20"/>
                <w:color w:val="auto"/>
              </w:rPr>
            </w:pPr>
            <w:r>
              <w:rPr>
                <w:rFonts w:ascii="Arial" w:cs="Arial" w:eastAsia="Arial" w:hAnsi="Arial"/>
                <w:sz w:val="17"/>
                <w:szCs w:val="17"/>
                <w:color w:val="auto"/>
              </w:rPr>
              <w:t>XBRL Taxonomy Extension Label Linkbase Document.</w:t>
            </w:r>
          </w:p>
        </w:tc>
      </w:tr>
      <w:tr>
        <w:trPr>
          <w:trHeight w:val="427"/>
        </w:trPr>
        <w:tc>
          <w:tcPr>
            <w:tcW w:w="1360" w:type="dxa"/>
            <w:vAlign w:val="bottom"/>
            <w:gridSpan w:val="2"/>
          </w:tcPr>
          <w:p>
            <w:pPr>
              <w:jc w:val="right"/>
              <w:ind w:right="300"/>
              <w:spacing w:after="0"/>
              <w:rPr>
                <w:sz w:val="20"/>
                <w:szCs w:val="20"/>
                <w:color w:val="auto"/>
              </w:rPr>
            </w:pPr>
            <w:r>
              <w:rPr>
                <w:rFonts w:ascii="Arial" w:cs="Arial" w:eastAsia="Arial" w:hAnsi="Arial"/>
                <w:sz w:val="17"/>
                <w:szCs w:val="17"/>
                <w:color w:val="auto"/>
              </w:rPr>
              <w:t>101.PRE*</w:t>
            </w:r>
          </w:p>
        </w:tc>
        <w:tc>
          <w:tcPr>
            <w:tcW w:w="40" w:type="dxa"/>
            <w:vAlign w:val="bottom"/>
          </w:tcPr>
          <w:p>
            <w:pPr>
              <w:spacing w:after="0"/>
              <w:rPr>
                <w:sz w:val="24"/>
                <w:szCs w:val="24"/>
                <w:color w:val="auto"/>
              </w:rPr>
            </w:pPr>
          </w:p>
        </w:tc>
        <w:tc>
          <w:tcPr>
            <w:tcW w:w="7660" w:type="dxa"/>
            <w:vAlign w:val="bottom"/>
            <w:gridSpan w:val="4"/>
          </w:tcPr>
          <w:p>
            <w:pPr>
              <w:spacing w:after="0"/>
              <w:rPr>
                <w:sz w:val="20"/>
                <w:szCs w:val="20"/>
                <w:color w:val="auto"/>
              </w:rPr>
            </w:pPr>
            <w:r>
              <w:rPr>
                <w:rFonts w:ascii="Arial" w:cs="Arial" w:eastAsia="Arial" w:hAnsi="Arial"/>
                <w:sz w:val="17"/>
                <w:szCs w:val="17"/>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205105</wp:posOffset>
            </wp:positionV>
            <wp:extent cx="14376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3764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00" w:hanging="549"/>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4" w:lineRule="exact"/>
        <w:rPr>
          <w:sz w:val="20"/>
          <w:szCs w:val="20"/>
          <w:color w:val="auto"/>
        </w:rPr>
      </w:pPr>
    </w:p>
    <w:p>
      <w:pPr>
        <w:jc w:val="both"/>
        <w:ind w:left="600" w:right="40" w:hanging="549"/>
        <w:spacing w:after="0" w:line="258" w:lineRule="auto"/>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Furnished herewith.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as amended, except as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5757545"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0" w:name="page31"/>
    <w:bookmarkEnd w:id="3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w:t>
      </w:r>
    </w:p>
    <w:p>
      <w:pPr>
        <w:spacing w:after="0" w:line="186" w:lineRule="exact"/>
        <w:rPr>
          <w:sz w:val="20"/>
          <w:szCs w:val="20"/>
          <w:color w:val="auto"/>
        </w:rPr>
      </w:pPr>
    </w:p>
    <w:p>
      <w:pPr>
        <w:ind w:firstLine="414"/>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67"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AVNET, INC.</w:t>
      </w:r>
    </w:p>
    <w:p>
      <w:pPr>
        <w:spacing w:after="0" w:line="24"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(Registrant)</w:t>
      </w:r>
    </w:p>
    <w:p>
      <w:pPr>
        <w:spacing w:after="0" w:line="200" w:lineRule="exact"/>
        <w:rPr>
          <w:sz w:val="20"/>
          <w:szCs w:val="20"/>
          <w:color w:val="auto"/>
        </w:rPr>
      </w:pPr>
    </w:p>
    <w:p>
      <w:pPr>
        <w:spacing w:after="0" w:line="264" w:lineRule="exact"/>
        <w:rPr>
          <w:sz w:val="20"/>
          <w:szCs w:val="20"/>
          <w:color w:val="auto"/>
        </w:rPr>
      </w:pPr>
    </w:p>
    <w:p>
      <w:pPr>
        <w:ind w:left="4560"/>
        <w:spacing w:after="0"/>
        <w:tabs>
          <w:tab w:leader="none" w:pos="49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KEN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31750</wp:posOffset>
            </wp:positionV>
            <wp:extent cx="26282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28265" cy="8255"/>
                    </a:xfrm>
                    <a:prstGeom prst="rect">
                      <a:avLst/>
                    </a:prstGeom>
                    <a:noFill/>
                  </pic:spPr>
                </pic:pic>
              </a:graphicData>
            </a:graphic>
          </wp:anchor>
        </w:drawing>
      </w:r>
    </w:p>
    <w:p>
      <w:pPr>
        <w:spacing w:after="0" w:line="30"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Ken Jacobson</w:t>
      </w:r>
    </w:p>
    <w:p>
      <w:pPr>
        <w:spacing w:after="0" w:line="37" w:lineRule="exact"/>
        <w:rPr>
          <w:sz w:val="20"/>
          <w:szCs w:val="20"/>
          <w:color w:val="auto"/>
        </w:rPr>
      </w:pPr>
    </w:p>
    <w:p>
      <w:pPr>
        <w:ind w:left="4980"/>
        <w:spacing w:after="0"/>
        <w:rPr>
          <w:sz w:val="20"/>
          <w:szCs w:val="20"/>
          <w:color w:val="auto"/>
        </w:rPr>
      </w:pPr>
      <w:r>
        <w:rPr>
          <w:rFonts w:ascii="Arial" w:cs="Arial" w:eastAsia="Arial" w:hAnsi="Arial"/>
          <w:sz w:val="17"/>
          <w:szCs w:val="17"/>
          <w:i w:val="1"/>
          <w:iCs w:val="1"/>
          <w:color w:val="auto"/>
        </w:rPr>
        <w:t>Interim Chief Financial Officer</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Date: October 30, 2017</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5757545"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1" w:name="page32"/>
    <w:bookmarkEnd w:id="31"/>
    <w:p>
      <w:pPr>
        <w:ind w:left="240"/>
        <w:spacing w:after="0"/>
        <w:rPr>
          <w:rFonts w:ascii="Arial" w:cs="Arial" w:eastAsia="Arial" w:hAnsi="Arial"/>
          <w:sz w:val="21"/>
          <w:szCs w:val="21"/>
          <w:b w:val="1"/>
          <w:bCs w:val="1"/>
          <w:u w:val="single" w:color="auto"/>
          <w:color w:val="0563C1"/>
        </w:rPr>
      </w:pPr>
      <w:hyperlink w:anchor="page2">
        <w:r>
          <w:rPr>
            <w:rFonts w:ascii="Arial" w:cs="Arial" w:eastAsia="Arial" w:hAnsi="Arial"/>
            <w:sz w:val="21"/>
            <w:szCs w:val="21"/>
            <w:b w:val="1"/>
            <w:bCs w:val="1"/>
            <w:u w:val="single" w:color="auto"/>
            <w:color w:val="0563C1"/>
          </w:rPr>
          <w:t>Table of Contents</w:t>
        </w:r>
      </w:hyperlink>
    </w:p>
    <w:p>
      <w:pPr>
        <w:spacing w:after="0" w:line="106" w:lineRule="exact"/>
        <w:rPr>
          <w:sz w:val="20"/>
          <w:szCs w:val="20"/>
          <w:color w:val="auto"/>
        </w:rPr>
      </w:pPr>
    </w:p>
    <w:p>
      <w:pPr>
        <w:jc w:val="right"/>
        <w:ind w:right="139"/>
        <w:spacing w:after="0"/>
        <w:rPr>
          <w:sz w:val="20"/>
          <w:szCs w:val="20"/>
          <w:color w:val="auto"/>
        </w:rPr>
      </w:pPr>
      <w:r>
        <w:rPr>
          <w:rFonts w:ascii="Arial" w:cs="Arial" w:eastAsia="Arial" w:hAnsi="Arial"/>
          <w:sz w:val="21"/>
          <w:szCs w:val="21"/>
          <w:b w:val="1"/>
          <w:bCs w:val="1"/>
          <w:color w:val="auto"/>
        </w:rPr>
        <w:t>Exhibit 10.1</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45"/>
          <w:szCs w:val="45"/>
          <w:b w:val="1"/>
          <w:bCs w:val="1"/>
          <w:color w:val="auto"/>
        </w:rPr>
        <w:t>AVNET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45"/>
          <w:szCs w:val="45"/>
          <w:b w:val="1"/>
          <w:bCs w:val="1"/>
          <w:color w:val="auto"/>
        </w:rPr>
        <w:t>EXECUTIVE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45"/>
          <w:szCs w:val="45"/>
          <w:b w:val="1"/>
          <w:bCs w:val="1"/>
          <w:color w:val="auto"/>
        </w:rPr>
        <w:t>SEVERANCE PLAN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Effective August 10</w:t>
      </w:r>
      <w:r>
        <w:rPr>
          <w:rFonts w:ascii="Arial" w:cs="Arial" w:eastAsia="Arial" w:hAnsi="Arial"/>
          <w:sz w:val="21"/>
          <w:szCs w:val="21"/>
          <w:b w:val="1"/>
          <w:bCs w:val="1"/>
          <w:color w:val="auto"/>
          <w:vertAlign w:val="superscript"/>
        </w:rPr>
        <w:t>th</w:t>
      </w:r>
      <w:r>
        <w:rPr>
          <w:rFonts w:ascii="Arial" w:cs="Arial" w:eastAsia="Arial" w:hAnsi="Arial"/>
          <w:sz w:val="21"/>
          <w:szCs w:val="21"/>
          <w:b w:val="1"/>
          <w:bCs w:val="1"/>
          <w:color w:val="auto"/>
        </w:rPr>
        <w:t>, 2017</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4839-3257-0694.4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69215</wp:posOffset>
            </wp:positionV>
            <wp:extent cx="554418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44185" cy="1651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tbl>
      <w:tblPr>
        <w:tblLayout w:type="fixed"/>
        <w:tblInd w:w="240" w:type="dxa"/>
        <w:tblCellMar>
          <w:top w:w="0" w:type="dxa"/>
          <w:left w:w="0" w:type="dxa"/>
          <w:bottom w:w="0" w:type="dxa"/>
          <w:right w:w="0" w:type="dxa"/>
        </w:tblCellMar>
      </w:tblPr>
      <w:tr>
        <w:trPr>
          <w:trHeight w:val="241"/>
        </w:trPr>
        <w:tc>
          <w:tcPr>
            <w:tcW w:w="2740" w:type="dxa"/>
            <w:vAlign w:val="bottom"/>
            <w:gridSpan w:val="4"/>
          </w:tcPr>
          <w:p>
            <w:pPr>
              <w:spacing w:after="0"/>
              <w:rPr>
                <w:rFonts w:ascii="Arial" w:cs="Arial" w:eastAsia="Arial" w:hAnsi="Arial"/>
                <w:sz w:val="21"/>
                <w:szCs w:val="21"/>
                <w:b w:val="1"/>
                <w:bCs w:val="1"/>
                <w:color w:val="0563C1"/>
              </w:rPr>
            </w:pPr>
            <w:hyperlink w:anchor="page2">
              <w:r>
                <w:rPr>
                  <w:rFonts w:ascii="Arial" w:cs="Arial" w:eastAsia="Arial" w:hAnsi="Arial"/>
                  <w:sz w:val="21"/>
                  <w:szCs w:val="21"/>
                  <w:b w:val="1"/>
                  <w:bCs w:val="1"/>
                  <w:color w:val="0563C1"/>
                </w:rPr>
                <w:t>Table of Contents</w:t>
              </w:r>
            </w:hyperlink>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430"/>
        </w:trPr>
        <w:tc>
          <w:tcPr>
            <w:tcW w:w="640" w:type="dxa"/>
            <w:vAlign w:val="bottom"/>
            <w:tcBorders>
              <w:top w:val="single" w:sz="8" w:color="0563C1"/>
            </w:tcBorders>
          </w:tcPr>
          <w:p>
            <w:pPr>
              <w:spacing w:after="0"/>
              <w:rPr>
                <w:sz w:val="24"/>
                <w:szCs w:val="24"/>
                <w:color w:val="auto"/>
              </w:rPr>
            </w:pPr>
          </w:p>
        </w:tc>
        <w:tc>
          <w:tcPr>
            <w:tcW w:w="920" w:type="dxa"/>
            <w:vAlign w:val="bottom"/>
            <w:tcBorders>
              <w:top w:val="single" w:sz="8" w:color="0563C1"/>
            </w:tcBorders>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40" w:type="dxa"/>
            <w:vAlign w:val="bottom"/>
            <w:gridSpan w:val="12"/>
          </w:tcPr>
          <w:p>
            <w:pPr>
              <w:ind w:left="180"/>
              <w:spacing w:after="0"/>
              <w:rPr>
                <w:sz w:val="20"/>
                <w:szCs w:val="20"/>
                <w:color w:val="auto"/>
              </w:rPr>
            </w:pPr>
            <w:r>
              <w:rPr>
                <w:rFonts w:ascii="Arial" w:cs="Arial" w:eastAsia="Arial" w:hAnsi="Arial"/>
                <w:sz w:val="21"/>
                <w:szCs w:val="21"/>
                <w:color w:val="auto"/>
              </w:rPr>
              <w:t>Table of Contents</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78"/>
        </w:trPr>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gridSpan w:val="3"/>
          </w:tcPr>
          <w:p>
            <w:pPr>
              <w:ind w:left="440"/>
              <w:spacing w:after="0"/>
              <w:rPr>
                <w:sz w:val="20"/>
                <w:szCs w:val="20"/>
                <w:color w:val="auto"/>
              </w:rPr>
            </w:pPr>
            <w:r>
              <w:rPr>
                <w:rFonts w:ascii="Arial" w:cs="Arial" w:eastAsia="Arial" w:hAnsi="Arial"/>
                <w:sz w:val="21"/>
                <w:szCs w:val="21"/>
                <w:color w:val="auto"/>
              </w:rPr>
              <w:t>Page</w:t>
            </w:r>
          </w:p>
        </w:tc>
      </w:tr>
      <w:tr>
        <w:trPr>
          <w:trHeight w:val="303"/>
        </w:trPr>
        <w:tc>
          <w:tcPr>
            <w:tcW w:w="1560" w:type="dxa"/>
            <w:vAlign w:val="bottom"/>
            <w:gridSpan w:val="2"/>
          </w:tcPr>
          <w:p>
            <w:pPr>
              <w:ind w:left="640"/>
              <w:spacing w:after="0"/>
              <w:rPr>
                <w:sz w:val="20"/>
                <w:szCs w:val="20"/>
                <w:color w:val="auto"/>
              </w:rPr>
            </w:pPr>
            <w:r>
              <w:rPr>
                <w:rFonts w:ascii="Arial" w:cs="Arial" w:eastAsia="Arial" w:hAnsi="Arial"/>
                <w:sz w:val="21"/>
                <w:szCs w:val="21"/>
                <w:color w:val="auto"/>
              </w:rPr>
              <w:t>1.</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Borders>
              <w:bottom w:val="single" w:sz="8" w:color="0000EE"/>
            </w:tcBorders>
            <w:gridSpan w:val="2"/>
          </w:tcPr>
          <w:p>
            <w:pPr>
              <w:spacing w:after="0"/>
              <w:rPr>
                <w:rFonts w:ascii="Arial" w:cs="Arial" w:eastAsia="Arial" w:hAnsi="Arial"/>
                <w:sz w:val="21"/>
                <w:szCs w:val="21"/>
                <w:color w:val="0000EE"/>
                <w:w w:val="91"/>
              </w:rPr>
            </w:pPr>
            <w:hyperlink w:anchor="page34">
              <w:r>
                <w:rPr>
                  <w:rFonts w:ascii="Arial" w:cs="Arial" w:eastAsia="Arial" w:hAnsi="Arial"/>
                  <w:sz w:val="21"/>
                  <w:szCs w:val="21"/>
                  <w:color w:val="0000EE"/>
                  <w:w w:val="91"/>
                </w:rPr>
                <w:t>Introduction</w:t>
              </w:r>
            </w:hyperlink>
          </w:p>
        </w:tc>
        <w:tc>
          <w:tcPr>
            <w:tcW w:w="2240" w:type="dxa"/>
            <w:vAlign w:val="bottom"/>
            <w:gridSpan w:val="11"/>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40" w:type="dxa"/>
            <w:vAlign w:val="bottom"/>
          </w:tcPr>
          <w:p>
            <w:pPr>
              <w:ind w:left="220"/>
              <w:spacing w:after="0"/>
              <w:rPr>
                <w:sz w:val="20"/>
                <w:szCs w:val="20"/>
                <w:color w:val="auto"/>
              </w:rPr>
            </w:pPr>
            <w:r>
              <w:rPr>
                <w:rFonts w:ascii="Arial" w:cs="Arial" w:eastAsia="Arial" w:hAnsi="Arial"/>
                <w:sz w:val="21"/>
                <w:szCs w:val="21"/>
                <w:color w:val="auto"/>
              </w:rPr>
              <w:t>1</w:t>
            </w:r>
          </w:p>
        </w:tc>
      </w:tr>
      <w:tr>
        <w:trPr>
          <w:trHeight w:val="303"/>
        </w:trPr>
        <w:tc>
          <w:tcPr>
            <w:tcW w:w="1560" w:type="dxa"/>
            <w:vAlign w:val="bottom"/>
            <w:gridSpan w:val="2"/>
          </w:tcPr>
          <w:p>
            <w:pPr>
              <w:ind w:left="640"/>
              <w:spacing w:after="0"/>
              <w:rPr>
                <w:sz w:val="20"/>
                <w:szCs w:val="20"/>
                <w:color w:val="auto"/>
              </w:rPr>
            </w:pPr>
            <w:r>
              <w:rPr>
                <w:rFonts w:ascii="Arial" w:cs="Arial" w:eastAsia="Arial" w:hAnsi="Arial"/>
                <w:sz w:val="21"/>
                <w:szCs w:val="21"/>
                <w:color w:val="auto"/>
              </w:rPr>
              <w:t>2.</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Borders>
              <w:bottom w:val="single" w:sz="8" w:color="0000EE"/>
            </w:tcBorders>
            <w:gridSpan w:val="3"/>
          </w:tcPr>
          <w:p>
            <w:pPr>
              <w:spacing w:after="0"/>
              <w:rPr>
                <w:rFonts w:ascii="Arial" w:cs="Arial" w:eastAsia="Arial" w:hAnsi="Arial"/>
                <w:sz w:val="21"/>
                <w:szCs w:val="21"/>
                <w:color w:val="0000EE"/>
                <w:w w:val="97"/>
              </w:rPr>
            </w:pPr>
            <w:hyperlink w:anchor="page34">
              <w:r>
                <w:rPr>
                  <w:rFonts w:ascii="Arial" w:cs="Arial" w:eastAsia="Arial" w:hAnsi="Arial"/>
                  <w:sz w:val="21"/>
                  <w:szCs w:val="21"/>
                  <w:color w:val="0000EE"/>
                  <w:w w:val="97"/>
                </w:rPr>
                <w:t>Plan Eligibility</w:t>
              </w:r>
            </w:hyperlink>
          </w:p>
        </w:tc>
        <w:tc>
          <w:tcPr>
            <w:tcW w:w="1960" w:type="dxa"/>
            <w:vAlign w:val="bottom"/>
            <w:gridSpan w:val="10"/>
          </w:tcPr>
          <w:p>
            <w:pPr>
              <w:spacing w:after="0"/>
              <w:rPr>
                <w:sz w:val="24"/>
                <w:szCs w:val="24"/>
                <w:color w:val="auto"/>
              </w:rPr>
            </w:pPr>
          </w:p>
        </w:tc>
        <w:tc>
          <w:tcPr>
            <w:tcW w:w="1380" w:type="dxa"/>
            <w:vAlign w:val="bottom"/>
            <w:gridSpan w:val="3"/>
          </w:tcPr>
          <w:p>
            <w:pPr>
              <w:ind w:left="1060"/>
              <w:spacing w:after="0"/>
              <w:rPr>
                <w:sz w:val="20"/>
                <w:szCs w:val="20"/>
                <w:color w:val="auto"/>
              </w:rPr>
            </w:pPr>
            <w:r>
              <w:rPr>
                <w:rFonts w:ascii="Arial" w:cs="Arial" w:eastAsia="Arial" w:hAnsi="Arial"/>
                <w:sz w:val="21"/>
                <w:szCs w:val="21"/>
                <w:color w:val="auto"/>
              </w:rPr>
              <w:t>1</w:t>
            </w:r>
          </w:p>
        </w:tc>
      </w:tr>
      <w:tr>
        <w:trPr>
          <w:trHeight w:val="303"/>
        </w:trPr>
        <w:tc>
          <w:tcPr>
            <w:tcW w:w="1560" w:type="dxa"/>
            <w:vAlign w:val="bottom"/>
            <w:gridSpan w:val="2"/>
          </w:tcPr>
          <w:p>
            <w:pPr>
              <w:ind w:left="640"/>
              <w:spacing w:after="0"/>
              <w:rPr>
                <w:sz w:val="20"/>
                <w:szCs w:val="20"/>
                <w:color w:val="auto"/>
              </w:rPr>
            </w:pPr>
            <w:r>
              <w:rPr>
                <w:rFonts w:ascii="Arial" w:cs="Arial" w:eastAsia="Arial" w:hAnsi="Arial"/>
                <w:sz w:val="21"/>
                <w:szCs w:val="21"/>
                <w:color w:val="auto"/>
              </w:rPr>
              <w:t>3.</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13"/>
          </w:tcPr>
          <w:p>
            <w:pPr>
              <w:spacing w:after="0"/>
              <w:rPr>
                <w:rFonts w:ascii="Arial" w:cs="Arial" w:eastAsia="Arial" w:hAnsi="Arial"/>
                <w:sz w:val="21"/>
                <w:szCs w:val="21"/>
                <w:color w:val="0000EE"/>
              </w:rPr>
            </w:pPr>
            <w:hyperlink w:anchor="page34">
              <w:r>
                <w:rPr>
                  <w:rFonts w:ascii="Arial" w:cs="Arial" w:eastAsia="Arial" w:hAnsi="Arial"/>
                  <w:sz w:val="21"/>
                  <w:szCs w:val="21"/>
                  <w:color w:val="0000EE"/>
                </w:rPr>
                <w:t>Severance Definitions</w:t>
              </w:r>
            </w:hyperlink>
          </w:p>
        </w:tc>
        <w:tc>
          <w:tcPr>
            <w:tcW w:w="1380" w:type="dxa"/>
            <w:vAlign w:val="bottom"/>
            <w:gridSpan w:val="3"/>
          </w:tcPr>
          <w:p>
            <w:pPr>
              <w:ind w:left="1060"/>
              <w:spacing w:after="0"/>
              <w:rPr>
                <w:sz w:val="20"/>
                <w:szCs w:val="20"/>
                <w:color w:val="auto"/>
              </w:rPr>
            </w:pPr>
            <w:r>
              <w:rPr>
                <w:rFonts w:ascii="Arial" w:cs="Arial" w:eastAsia="Arial" w:hAnsi="Arial"/>
                <w:sz w:val="21"/>
                <w:szCs w:val="21"/>
                <w:color w:val="auto"/>
              </w:rPr>
              <w:t>1</w:t>
            </w:r>
          </w:p>
        </w:tc>
      </w:tr>
      <w:tr>
        <w:trPr>
          <w:trHeight w:val="20"/>
        </w:trPr>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303"/>
        </w:trPr>
        <w:tc>
          <w:tcPr>
            <w:tcW w:w="1560" w:type="dxa"/>
            <w:vAlign w:val="bottom"/>
            <w:gridSpan w:val="2"/>
          </w:tcPr>
          <w:p>
            <w:pPr>
              <w:ind w:left="640"/>
              <w:spacing w:after="0"/>
              <w:rPr>
                <w:sz w:val="20"/>
                <w:szCs w:val="20"/>
                <w:color w:val="auto"/>
              </w:rPr>
            </w:pPr>
            <w:r>
              <w:rPr>
                <w:rFonts w:ascii="Arial" w:cs="Arial" w:eastAsia="Arial" w:hAnsi="Arial"/>
                <w:sz w:val="21"/>
                <w:szCs w:val="21"/>
                <w:color w:val="auto"/>
              </w:rPr>
              <w:t>4.</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00" w:type="dxa"/>
            <w:vAlign w:val="bottom"/>
            <w:tcBorders>
              <w:bottom w:val="single" w:sz="8" w:color="0000EE"/>
            </w:tcBorders>
            <w:gridSpan w:val="9"/>
          </w:tcPr>
          <w:p>
            <w:pPr>
              <w:spacing w:after="0"/>
              <w:rPr>
                <w:rFonts w:ascii="Arial" w:cs="Arial" w:eastAsia="Arial" w:hAnsi="Arial"/>
                <w:sz w:val="21"/>
                <w:szCs w:val="21"/>
                <w:color w:val="0000EE"/>
                <w:w w:val="92"/>
              </w:rPr>
            </w:pPr>
            <w:hyperlink w:anchor="page35">
              <w:r>
                <w:rPr>
                  <w:rFonts w:ascii="Arial" w:cs="Arial" w:eastAsia="Arial" w:hAnsi="Arial"/>
                  <w:sz w:val="21"/>
                  <w:szCs w:val="21"/>
                  <w:color w:val="0000EE"/>
                  <w:w w:val="92"/>
                </w:rPr>
                <w:t>Eligibility for Severance Benefit</w:t>
              </w:r>
            </w:hyperlink>
          </w:p>
        </w:tc>
        <w:tc>
          <w:tcPr>
            <w:tcW w:w="560" w:type="dxa"/>
            <w:vAlign w:val="bottom"/>
            <w:gridSpan w:val="4"/>
          </w:tcPr>
          <w:p>
            <w:pPr>
              <w:spacing w:after="0"/>
              <w:rPr>
                <w:sz w:val="24"/>
                <w:szCs w:val="24"/>
                <w:color w:val="auto"/>
              </w:rPr>
            </w:pPr>
          </w:p>
        </w:tc>
        <w:tc>
          <w:tcPr>
            <w:tcW w:w="1380" w:type="dxa"/>
            <w:vAlign w:val="bottom"/>
            <w:gridSpan w:val="3"/>
          </w:tcPr>
          <w:p>
            <w:pPr>
              <w:ind w:left="1060"/>
              <w:spacing w:after="0"/>
              <w:rPr>
                <w:sz w:val="20"/>
                <w:szCs w:val="20"/>
                <w:color w:val="auto"/>
              </w:rPr>
            </w:pPr>
            <w:r>
              <w:rPr>
                <w:rFonts w:ascii="Arial" w:cs="Arial" w:eastAsia="Arial" w:hAnsi="Arial"/>
                <w:sz w:val="21"/>
                <w:szCs w:val="21"/>
                <w:color w:val="auto"/>
              </w:rPr>
              <w:t>2</w:t>
            </w:r>
          </w:p>
        </w:tc>
      </w:tr>
      <w:tr>
        <w:trPr>
          <w:trHeight w:val="303"/>
        </w:trPr>
        <w:tc>
          <w:tcPr>
            <w:tcW w:w="1560" w:type="dxa"/>
            <w:vAlign w:val="bottom"/>
            <w:gridSpan w:val="2"/>
          </w:tcPr>
          <w:p>
            <w:pPr>
              <w:ind w:left="640"/>
              <w:spacing w:after="0"/>
              <w:rPr>
                <w:sz w:val="20"/>
                <w:szCs w:val="20"/>
                <w:color w:val="auto"/>
              </w:rPr>
            </w:pPr>
            <w:r>
              <w:rPr>
                <w:rFonts w:ascii="Arial" w:cs="Arial" w:eastAsia="Arial" w:hAnsi="Arial"/>
                <w:sz w:val="21"/>
                <w:szCs w:val="21"/>
                <w:color w:val="auto"/>
              </w:rPr>
              <w:t>5.</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13"/>
          </w:tcPr>
          <w:p>
            <w:pPr>
              <w:spacing w:after="0"/>
              <w:rPr>
                <w:rFonts w:ascii="Arial" w:cs="Arial" w:eastAsia="Arial" w:hAnsi="Arial"/>
                <w:sz w:val="21"/>
                <w:szCs w:val="21"/>
                <w:color w:val="0000EE"/>
              </w:rPr>
            </w:pPr>
            <w:hyperlink w:anchor="page37">
              <w:r>
                <w:rPr>
                  <w:rFonts w:ascii="Arial" w:cs="Arial" w:eastAsia="Arial" w:hAnsi="Arial"/>
                  <w:sz w:val="21"/>
                  <w:szCs w:val="21"/>
                  <w:color w:val="0000EE"/>
                </w:rPr>
                <w:t>Amount of Severance Benefit</w:t>
              </w:r>
            </w:hyperlink>
          </w:p>
        </w:tc>
        <w:tc>
          <w:tcPr>
            <w:tcW w:w="1380" w:type="dxa"/>
            <w:vAlign w:val="bottom"/>
            <w:gridSpan w:val="3"/>
          </w:tcPr>
          <w:p>
            <w:pPr>
              <w:ind w:left="1060"/>
              <w:spacing w:after="0"/>
              <w:rPr>
                <w:sz w:val="20"/>
                <w:szCs w:val="20"/>
                <w:color w:val="auto"/>
              </w:rPr>
            </w:pPr>
            <w:r>
              <w:rPr>
                <w:rFonts w:ascii="Arial" w:cs="Arial" w:eastAsia="Arial" w:hAnsi="Arial"/>
                <w:sz w:val="21"/>
                <w:szCs w:val="21"/>
                <w:color w:val="auto"/>
              </w:rPr>
              <w:t>4</w:t>
            </w:r>
          </w:p>
        </w:tc>
      </w:tr>
      <w:tr>
        <w:trPr>
          <w:trHeight w:val="20"/>
        </w:trPr>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303"/>
        </w:trPr>
        <w:tc>
          <w:tcPr>
            <w:tcW w:w="1560" w:type="dxa"/>
            <w:vAlign w:val="bottom"/>
            <w:gridSpan w:val="2"/>
          </w:tcPr>
          <w:p>
            <w:pPr>
              <w:ind w:left="640"/>
              <w:spacing w:after="0"/>
              <w:rPr>
                <w:sz w:val="20"/>
                <w:szCs w:val="20"/>
                <w:color w:val="auto"/>
              </w:rPr>
            </w:pPr>
            <w:r>
              <w:rPr>
                <w:rFonts w:ascii="Arial" w:cs="Arial" w:eastAsia="Arial" w:hAnsi="Arial"/>
                <w:sz w:val="21"/>
                <w:szCs w:val="21"/>
                <w:color w:val="auto"/>
              </w:rPr>
              <w:t>6.</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13"/>
          </w:tcPr>
          <w:p>
            <w:pPr>
              <w:spacing w:after="0"/>
              <w:rPr>
                <w:rFonts w:ascii="Arial" w:cs="Arial" w:eastAsia="Arial" w:hAnsi="Arial"/>
                <w:sz w:val="21"/>
                <w:szCs w:val="21"/>
                <w:color w:val="0000EE"/>
              </w:rPr>
            </w:pPr>
            <w:hyperlink w:anchor="page37">
              <w:r>
                <w:rPr>
                  <w:rFonts w:ascii="Arial" w:cs="Arial" w:eastAsia="Arial" w:hAnsi="Arial"/>
                  <w:sz w:val="21"/>
                  <w:szCs w:val="21"/>
                  <w:color w:val="0000EE"/>
                </w:rPr>
                <w:t>Section 409A and Cash in Lieu of</w:t>
              </w:r>
            </w:hyperlink>
          </w:p>
        </w:tc>
        <w:tc>
          <w:tcPr>
            <w:tcW w:w="1380" w:type="dxa"/>
            <w:vAlign w:val="bottom"/>
            <w:gridSpan w:val="3"/>
          </w:tcPr>
          <w:p>
            <w:pPr>
              <w:ind w:left="1060"/>
              <w:spacing w:after="0"/>
              <w:rPr>
                <w:sz w:val="20"/>
                <w:szCs w:val="20"/>
                <w:color w:val="auto"/>
              </w:rPr>
            </w:pPr>
            <w:r>
              <w:rPr>
                <w:rFonts w:ascii="Arial" w:cs="Arial" w:eastAsia="Arial" w:hAnsi="Arial"/>
                <w:sz w:val="21"/>
                <w:szCs w:val="21"/>
                <w:color w:val="auto"/>
              </w:rPr>
              <w:t>4</w:t>
            </w:r>
          </w:p>
        </w:tc>
      </w:tr>
      <w:tr>
        <w:trPr>
          <w:trHeight w:val="200"/>
        </w:trPr>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200" w:type="dxa"/>
            <w:vAlign w:val="bottom"/>
            <w:tcBorders>
              <w:top w:val="single" w:sz="8" w:color="0000EE"/>
            </w:tcBorders>
            <w:gridSpan w:val="9"/>
          </w:tcPr>
          <w:p>
            <w:pPr>
              <w:spacing w:after="0" w:line="200" w:lineRule="exact"/>
              <w:rPr>
                <w:rFonts w:ascii="Arial" w:cs="Arial" w:eastAsia="Arial" w:hAnsi="Arial"/>
                <w:sz w:val="21"/>
                <w:szCs w:val="21"/>
                <w:color w:val="0000EE"/>
              </w:rPr>
            </w:pPr>
            <w:hyperlink w:anchor="page37">
              <w:r>
                <w:rPr>
                  <w:rFonts w:ascii="Arial" w:cs="Arial" w:eastAsia="Arial" w:hAnsi="Arial"/>
                  <w:sz w:val="21"/>
                  <w:szCs w:val="21"/>
                  <w:color w:val="0000EE"/>
                </w:rPr>
                <w:t>Benefits</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303"/>
        </w:trPr>
        <w:tc>
          <w:tcPr>
            <w:tcW w:w="1560" w:type="dxa"/>
            <w:vAlign w:val="bottom"/>
            <w:gridSpan w:val="2"/>
          </w:tcPr>
          <w:p>
            <w:pPr>
              <w:ind w:left="640"/>
              <w:spacing w:after="0"/>
              <w:rPr>
                <w:sz w:val="20"/>
                <w:szCs w:val="20"/>
                <w:color w:val="auto"/>
              </w:rPr>
            </w:pPr>
            <w:r>
              <w:rPr>
                <w:rFonts w:ascii="Arial" w:cs="Arial" w:eastAsia="Arial" w:hAnsi="Arial"/>
                <w:sz w:val="21"/>
                <w:szCs w:val="21"/>
                <w:color w:val="auto"/>
              </w:rPr>
              <w:t>7.</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Borders>
              <w:bottom w:val="single" w:sz="8" w:color="0000EE"/>
            </w:tcBorders>
            <w:gridSpan w:val="3"/>
          </w:tcPr>
          <w:p>
            <w:pPr>
              <w:spacing w:after="0"/>
              <w:rPr>
                <w:rFonts w:ascii="Arial" w:cs="Arial" w:eastAsia="Arial" w:hAnsi="Arial"/>
                <w:sz w:val="21"/>
                <w:szCs w:val="21"/>
                <w:color w:val="0000EE"/>
                <w:w w:val="89"/>
              </w:rPr>
            </w:pPr>
            <w:hyperlink w:anchor="page39">
              <w:r>
                <w:rPr>
                  <w:rFonts w:ascii="Arial" w:cs="Arial" w:eastAsia="Arial" w:hAnsi="Arial"/>
                  <w:sz w:val="21"/>
                  <w:szCs w:val="21"/>
                  <w:color w:val="0000EE"/>
                  <w:w w:val="89"/>
                </w:rPr>
                <w:t>Governing Law</w:t>
              </w:r>
            </w:hyperlink>
          </w:p>
        </w:tc>
        <w:tc>
          <w:tcPr>
            <w:tcW w:w="1960" w:type="dxa"/>
            <w:vAlign w:val="bottom"/>
            <w:gridSpan w:val="10"/>
          </w:tcPr>
          <w:p>
            <w:pPr>
              <w:spacing w:after="0"/>
              <w:rPr>
                <w:sz w:val="24"/>
                <w:szCs w:val="24"/>
                <w:color w:val="auto"/>
              </w:rPr>
            </w:pPr>
          </w:p>
        </w:tc>
        <w:tc>
          <w:tcPr>
            <w:tcW w:w="1380" w:type="dxa"/>
            <w:vAlign w:val="bottom"/>
            <w:gridSpan w:val="3"/>
          </w:tcPr>
          <w:p>
            <w:pPr>
              <w:ind w:left="1060"/>
              <w:spacing w:after="0"/>
              <w:rPr>
                <w:sz w:val="20"/>
                <w:szCs w:val="20"/>
                <w:color w:val="auto"/>
              </w:rPr>
            </w:pPr>
            <w:r>
              <w:rPr>
                <w:rFonts w:ascii="Arial" w:cs="Arial" w:eastAsia="Arial" w:hAnsi="Arial"/>
                <w:sz w:val="21"/>
                <w:szCs w:val="21"/>
                <w:color w:val="auto"/>
              </w:rPr>
              <w:t>6</w:t>
            </w:r>
          </w:p>
        </w:tc>
      </w:tr>
      <w:tr>
        <w:trPr>
          <w:trHeight w:val="303"/>
        </w:trPr>
        <w:tc>
          <w:tcPr>
            <w:tcW w:w="1560" w:type="dxa"/>
            <w:vAlign w:val="bottom"/>
            <w:gridSpan w:val="2"/>
          </w:tcPr>
          <w:p>
            <w:pPr>
              <w:ind w:left="640"/>
              <w:spacing w:after="0"/>
              <w:rPr>
                <w:sz w:val="20"/>
                <w:szCs w:val="20"/>
                <w:color w:val="auto"/>
              </w:rPr>
            </w:pPr>
            <w:r>
              <w:rPr>
                <w:rFonts w:ascii="Arial" w:cs="Arial" w:eastAsia="Arial" w:hAnsi="Arial"/>
                <w:sz w:val="21"/>
                <w:szCs w:val="21"/>
                <w:color w:val="auto"/>
              </w:rPr>
              <w:t>8.</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Borders>
              <w:bottom w:val="single" w:sz="8" w:color="0000EE"/>
            </w:tcBorders>
            <w:gridSpan w:val="6"/>
          </w:tcPr>
          <w:p>
            <w:pPr>
              <w:spacing w:after="0"/>
              <w:rPr>
                <w:rFonts w:ascii="Arial" w:cs="Arial" w:eastAsia="Arial" w:hAnsi="Arial"/>
                <w:sz w:val="21"/>
                <w:szCs w:val="21"/>
                <w:color w:val="0000EE"/>
                <w:w w:val="89"/>
              </w:rPr>
            </w:pPr>
            <w:hyperlink w:anchor="page39">
              <w:r>
                <w:rPr>
                  <w:rFonts w:ascii="Arial" w:cs="Arial" w:eastAsia="Arial" w:hAnsi="Arial"/>
                  <w:sz w:val="21"/>
                  <w:szCs w:val="21"/>
                  <w:color w:val="0000EE"/>
                  <w:w w:val="89"/>
                </w:rPr>
                <w:t>Miscellaneous Provisions</w:t>
              </w:r>
            </w:hyperlink>
          </w:p>
        </w:tc>
        <w:tc>
          <w:tcPr>
            <w:tcW w:w="1140" w:type="dxa"/>
            <w:vAlign w:val="bottom"/>
            <w:gridSpan w:val="7"/>
          </w:tcPr>
          <w:p>
            <w:pPr>
              <w:spacing w:after="0"/>
              <w:rPr>
                <w:sz w:val="24"/>
                <w:szCs w:val="24"/>
                <w:color w:val="auto"/>
              </w:rPr>
            </w:pPr>
          </w:p>
        </w:tc>
        <w:tc>
          <w:tcPr>
            <w:tcW w:w="1380" w:type="dxa"/>
            <w:vAlign w:val="bottom"/>
            <w:gridSpan w:val="3"/>
          </w:tcPr>
          <w:p>
            <w:pPr>
              <w:ind w:left="1060"/>
              <w:spacing w:after="0"/>
              <w:rPr>
                <w:sz w:val="20"/>
                <w:szCs w:val="20"/>
                <w:color w:val="auto"/>
              </w:rPr>
            </w:pPr>
            <w:r>
              <w:rPr>
                <w:rFonts w:ascii="Arial" w:cs="Arial" w:eastAsia="Arial" w:hAnsi="Arial"/>
                <w:sz w:val="21"/>
                <w:szCs w:val="21"/>
                <w:color w:val="auto"/>
              </w:rPr>
              <w:t>6</w:t>
            </w:r>
          </w:p>
        </w:tc>
      </w:tr>
      <w:tr>
        <w:trPr>
          <w:trHeight w:val="303"/>
        </w:trPr>
        <w:tc>
          <w:tcPr>
            <w:tcW w:w="1560" w:type="dxa"/>
            <w:vAlign w:val="bottom"/>
            <w:gridSpan w:val="2"/>
          </w:tcPr>
          <w:p>
            <w:pPr>
              <w:ind w:left="640"/>
              <w:spacing w:after="0"/>
              <w:rPr>
                <w:sz w:val="20"/>
                <w:szCs w:val="20"/>
                <w:color w:val="auto"/>
              </w:rPr>
            </w:pPr>
            <w:r>
              <w:rPr>
                <w:rFonts w:ascii="Arial" w:cs="Arial" w:eastAsia="Arial" w:hAnsi="Arial"/>
                <w:sz w:val="21"/>
                <w:szCs w:val="21"/>
                <w:color w:val="auto"/>
              </w:rPr>
              <w:t>9.</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13"/>
          </w:tcPr>
          <w:p>
            <w:pPr>
              <w:spacing w:after="0"/>
              <w:rPr>
                <w:rFonts w:ascii="Arial" w:cs="Arial" w:eastAsia="Arial" w:hAnsi="Arial"/>
                <w:sz w:val="21"/>
                <w:szCs w:val="21"/>
                <w:color w:val="0000EE"/>
              </w:rPr>
            </w:pPr>
            <w:hyperlink w:anchor="page41">
              <w:r>
                <w:rPr>
                  <w:rFonts w:ascii="Arial" w:cs="Arial" w:eastAsia="Arial" w:hAnsi="Arial"/>
                  <w:sz w:val="21"/>
                  <w:szCs w:val="21"/>
                  <w:color w:val="0000EE"/>
                </w:rPr>
                <w:t>Restrictive Covenants and</w:t>
              </w:r>
            </w:hyperlink>
          </w:p>
        </w:tc>
        <w:tc>
          <w:tcPr>
            <w:tcW w:w="1380" w:type="dxa"/>
            <w:vAlign w:val="bottom"/>
            <w:gridSpan w:val="3"/>
          </w:tcPr>
          <w:p>
            <w:pPr>
              <w:ind w:left="1060"/>
              <w:spacing w:after="0"/>
              <w:rPr>
                <w:sz w:val="20"/>
                <w:szCs w:val="20"/>
                <w:color w:val="auto"/>
              </w:rPr>
            </w:pPr>
            <w:r>
              <w:rPr>
                <w:rFonts w:ascii="Arial" w:cs="Arial" w:eastAsia="Arial" w:hAnsi="Arial"/>
                <w:sz w:val="21"/>
                <w:szCs w:val="21"/>
                <w:color w:val="auto"/>
              </w:rPr>
              <w:t>8</w:t>
            </w:r>
          </w:p>
        </w:tc>
      </w:tr>
      <w:tr>
        <w:trPr>
          <w:trHeight w:val="200"/>
        </w:trPr>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200" w:lineRule="exact"/>
              <w:rPr>
                <w:rFonts w:ascii="Arial" w:cs="Arial" w:eastAsia="Arial" w:hAnsi="Arial"/>
                <w:sz w:val="21"/>
                <w:szCs w:val="21"/>
                <w:color w:val="0000EE"/>
                <w:w w:val="83"/>
              </w:rPr>
            </w:pPr>
            <w:hyperlink w:anchor="page41">
              <w:r>
                <w:rPr>
                  <w:rFonts w:ascii="Arial" w:cs="Arial" w:eastAsia="Arial" w:hAnsi="Arial"/>
                  <w:sz w:val="21"/>
                  <w:szCs w:val="21"/>
                  <w:color w:val="0000EE"/>
                  <w:w w:val="83"/>
                </w:rPr>
                <w:t>Release</w:t>
              </w:r>
            </w:hyperlink>
          </w:p>
        </w:tc>
        <w:tc>
          <w:tcPr>
            <w:tcW w:w="860" w:type="dxa"/>
            <w:vAlign w:val="bottom"/>
            <w:tcBorders>
              <w:top w:val="single" w:sz="8" w:color="0000EE"/>
            </w:tcBorders>
            <w:gridSpan w:val="4"/>
          </w:tcPr>
          <w:p>
            <w:pPr>
              <w:spacing w:after="0"/>
              <w:rPr>
                <w:sz w:val="17"/>
                <w:szCs w:val="17"/>
                <w:color w:val="auto"/>
              </w:rPr>
            </w:pPr>
          </w:p>
        </w:tc>
        <w:tc>
          <w:tcPr>
            <w:tcW w:w="6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303"/>
        </w:trPr>
        <w:tc>
          <w:tcPr>
            <w:tcW w:w="1560" w:type="dxa"/>
            <w:vAlign w:val="bottom"/>
            <w:gridSpan w:val="2"/>
          </w:tcPr>
          <w:p>
            <w:pPr>
              <w:ind w:left="640"/>
              <w:spacing w:after="0"/>
              <w:rPr>
                <w:sz w:val="20"/>
                <w:szCs w:val="20"/>
                <w:color w:val="auto"/>
              </w:rPr>
            </w:pPr>
            <w:r>
              <w:rPr>
                <w:rFonts w:ascii="Arial" w:cs="Arial" w:eastAsia="Arial" w:hAnsi="Arial"/>
                <w:sz w:val="21"/>
                <w:szCs w:val="21"/>
                <w:color w:val="auto"/>
              </w:rPr>
              <w:t>10.</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13"/>
          </w:tcPr>
          <w:p>
            <w:pPr>
              <w:spacing w:after="0"/>
              <w:rPr>
                <w:rFonts w:ascii="Arial" w:cs="Arial" w:eastAsia="Arial" w:hAnsi="Arial"/>
                <w:sz w:val="21"/>
                <w:szCs w:val="21"/>
                <w:color w:val="0000EE"/>
              </w:rPr>
            </w:pPr>
            <w:hyperlink w:anchor="page41">
              <w:r>
                <w:rPr>
                  <w:rFonts w:ascii="Arial" w:cs="Arial" w:eastAsia="Arial" w:hAnsi="Arial"/>
                  <w:sz w:val="21"/>
                  <w:szCs w:val="21"/>
                  <w:color w:val="0000EE"/>
                </w:rPr>
                <w:t>Rehire After Receiving Severance</w:t>
              </w:r>
            </w:hyperlink>
          </w:p>
        </w:tc>
        <w:tc>
          <w:tcPr>
            <w:tcW w:w="1380" w:type="dxa"/>
            <w:vAlign w:val="bottom"/>
            <w:gridSpan w:val="3"/>
          </w:tcPr>
          <w:p>
            <w:pPr>
              <w:ind w:left="1060"/>
              <w:spacing w:after="0"/>
              <w:rPr>
                <w:sz w:val="20"/>
                <w:szCs w:val="20"/>
                <w:color w:val="auto"/>
              </w:rPr>
            </w:pPr>
            <w:r>
              <w:rPr>
                <w:rFonts w:ascii="Arial" w:cs="Arial" w:eastAsia="Arial" w:hAnsi="Arial"/>
                <w:sz w:val="21"/>
                <w:szCs w:val="21"/>
                <w:color w:val="auto"/>
              </w:rPr>
              <w:t>8</w:t>
            </w:r>
          </w:p>
        </w:tc>
      </w:tr>
      <w:tr>
        <w:trPr>
          <w:trHeight w:val="200"/>
        </w:trPr>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240" w:type="dxa"/>
            <w:vAlign w:val="bottom"/>
            <w:tcBorders>
              <w:top w:val="single" w:sz="8" w:color="0000EE"/>
            </w:tcBorders>
            <w:gridSpan w:val="11"/>
          </w:tcPr>
          <w:p>
            <w:pPr>
              <w:spacing w:after="0" w:line="200" w:lineRule="exact"/>
              <w:rPr>
                <w:rFonts w:ascii="Arial" w:cs="Arial" w:eastAsia="Arial" w:hAnsi="Arial"/>
                <w:sz w:val="21"/>
                <w:szCs w:val="21"/>
                <w:color w:val="0000EE"/>
              </w:rPr>
            </w:pPr>
            <w:hyperlink w:anchor="page41">
              <w:r>
                <w:rPr>
                  <w:rFonts w:ascii="Arial" w:cs="Arial" w:eastAsia="Arial" w:hAnsi="Arial"/>
                  <w:sz w:val="21"/>
                  <w:szCs w:val="21"/>
                  <w:color w:val="0000EE"/>
                </w:rPr>
                <w:t>Benefits</w:t>
              </w:r>
            </w:hyperlink>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r>
      <w:tr>
        <w:trPr>
          <w:trHeight w:val="303"/>
        </w:trPr>
        <w:tc>
          <w:tcPr>
            <w:tcW w:w="1560" w:type="dxa"/>
            <w:vAlign w:val="bottom"/>
            <w:gridSpan w:val="2"/>
          </w:tcPr>
          <w:p>
            <w:pPr>
              <w:ind w:left="640"/>
              <w:spacing w:after="0"/>
              <w:rPr>
                <w:sz w:val="20"/>
                <w:szCs w:val="20"/>
                <w:color w:val="auto"/>
              </w:rPr>
            </w:pPr>
            <w:r>
              <w:rPr>
                <w:rFonts w:ascii="Arial" w:cs="Arial" w:eastAsia="Arial" w:hAnsi="Arial"/>
                <w:sz w:val="21"/>
                <w:szCs w:val="21"/>
                <w:color w:val="auto"/>
              </w:rPr>
              <w:t>11.</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13"/>
          </w:tcPr>
          <w:p>
            <w:pPr>
              <w:spacing w:after="0"/>
              <w:rPr>
                <w:rFonts w:ascii="Arial" w:cs="Arial" w:eastAsia="Arial" w:hAnsi="Arial"/>
                <w:sz w:val="21"/>
                <w:szCs w:val="21"/>
                <w:color w:val="0000EE"/>
              </w:rPr>
            </w:pPr>
            <w:hyperlink w:anchor="page41">
              <w:r>
                <w:rPr>
                  <w:rFonts w:ascii="Arial" w:cs="Arial" w:eastAsia="Arial" w:hAnsi="Arial"/>
                  <w:sz w:val="21"/>
                  <w:szCs w:val="21"/>
                  <w:color w:val="0000EE"/>
                </w:rPr>
                <w:t>Claim and Appeal Procedures and</w:t>
              </w:r>
            </w:hyperlink>
          </w:p>
        </w:tc>
        <w:tc>
          <w:tcPr>
            <w:tcW w:w="1380" w:type="dxa"/>
            <w:vAlign w:val="bottom"/>
            <w:gridSpan w:val="3"/>
          </w:tcPr>
          <w:p>
            <w:pPr>
              <w:ind w:left="1060"/>
              <w:spacing w:after="0"/>
              <w:rPr>
                <w:sz w:val="20"/>
                <w:szCs w:val="20"/>
                <w:color w:val="auto"/>
              </w:rPr>
            </w:pPr>
            <w:r>
              <w:rPr>
                <w:rFonts w:ascii="Arial" w:cs="Arial" w:eastAsia="Arial" w:hAnsi="Arial"/>
                <w:sz w:val="21"/>
                <w:szCs w:val="21"/>
                <w:color w:val="auto"/>
              </w:rPr>
              <w:t>8</w:t>
            </w:r>
          </w:p>
        </w:tc>
      </w:tr>
      <w:tr>
        <w:trPr>
          <w:trHeight w:val="200"/>
        </w:trPr>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gridSpan w:val="10"/>
          </w:tcPr>
          <w:p>
            <w:pPr>
              <w:spacing w:after="0" w:line="200" w:lineRule="exact"/>
              <w:rPr>
                <w:rFonts w:ascii="Arial" w:cs="Arial" w:eastAsia="Arial" w:hAnsi="Arial"/>
                <w:sz w:val="21"/>
                <w:szCs w:val="21"/>
                <w:color w:val="0000EE"/>
              </w:rPr>
            </w:pPr>
            <w:hyperlink w:anchor="page41">
              <w:r>
                <w:rPr>
                  <w:rFonts w:ascii="Arial" w:cs="Arial" w:eastAsia="Arial" w:hAnsi="Arial"/>
                  <w:sz w:val="21"/>
                  <w:szCs w:val="21"/>
                  <w:color w:val="0000EE"/>
                </w:rPr>
                <w:t>Lawsuits</w:t>
              </w:r>
            </w:hyperlink>
          </w:p>
        </w:tc>
        <w:tc>
          <w:tcPr>
            <w:tcW w:w="42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303"/>
        </w:trPr>
        <w:tc>
          <w:tcPr>
            <w:tcW w:w="640" w:type="dxa"/>
            <w:vAlign w:val="bottom"/>
          </w:tcPr>
          <w:p>
            <w:pPr>
              <w:spacing w:after="0"/>
              <w:rPr>
                <w:sz w:val="24"/>
                <w:szCs w:val="24"/>
                <w:color w:val="auto"/>
              </w:rPr>
            </w:pPr>
          </w:p>
        </w:tc>
        <w:tc>
          <w:tcPr>
            <w:tcW w:w="2100" w:type="dxa"/>
            <w:vAlign w:val="bottom"/>
            <w:gridSpan w:val="3"/>
          </w:tcPr>
          <w:p>
            <w:pPr>
              <w:spacing w:after="0"/>
              <w:rPr>
                <w:rFonts w:ascii="Arial" w:cs="Arial" w:eastAsia="Arial" w:hAnsi="Arial"/>
                <w:sz w:val="21"/>
                <w:szCs w:val="21"/>
                <w:color w:val="0000EE"/>
              </w:rPr>
            </w:pPr>
            <w:hyperlink w:anchor="page45">
              <w:r>
                <w:rPr>
                  <w:rFonts w:ascii="Arial" w:cs="Arial" w:eastAsia="Arial" w:hAnsi="Arial"/>
                  <w:sz w:val="21"/>
                  <w:szCs w:val="21"/>
                  <w:color w:val="0000EE"/>
                </w:rPr>
                <w:t>APPENDIX A</w:t>
              </w:r>
            </w:hyperlink>
          </w:p>
        </w:tc>
        <w:tc>
          <w:tcPr>
            <w:tcW w:w="62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ind w:left="220"/>
              <w:spacing w:after="0"/>
              <w:rPr>
                <w:sz w:val="20"/>
                <w:szCs w:val="20"/>
                <w:color w:val="auto"/>
              </w:rPr>
            </w:pPr>
            <w:r>
              <w:rPr>
                <w:rFonts w:ascii="Arial" w:cs="Arial" w:eastAsia="Arial" w:hAnsi="Arial"/>
                <w:sz w:val="21"/>
                <w:szCs w:val="21"/>
                <w:color w:val="auto"/>
                <w:w w:val="91"/>
              </w:rPr>
              <w:t>A-1</w:t>
            </w:r>
          </w:p>
        </w:tc>
      </w:tr>
      <w:tr>
        <w:trPr>
          <w:trHeight w:val="303"/>
        </w:trPr>
        <w:tc>
          <w:tcPr>
            <w:tcW w:w="640" w:type="dxa"/>
            <w:vAlign w:val="bottom"/>
          </w:tcPr>
          <w:p>
            <w:pPr>
              <w:spacing w:after="0"/>
              <w:rPr>
                <w:sz w:val="24"/>
                <w:szCs w:val="24"/>
                <w:color w:val="auto"/>
              </w:rPr>
            </w:pPr>
          </w:p>
        </w:tc>
        <w:tc>
          <w:tcPr>
            <w:tcW w:w="1220" w:type="dxa"/>
            <w:vAlign w:val="bottom"/>
            <w:tcBorders>
              <w:top w:val="single" w:sz="8" w:color="0000EE"/>
              <w:bottom w:val="single" w:sz="8" w:color="0000EE"/>
            </w:tcBorders>
            <w:gridSpan w:val="2"/>
          </w:tcPr>
          <w:p>
            <w:pPr>
              <w:spacing w:after="0"/>
              <w:rPr>
                <w:rFonts w:ascii="Arial" w:cs="Arial" w:eastAsia="Arial" w:hAnsi="Arial"/>
                <w:sz w:val="21"/>
                <w:szCs w:val="21"/>
                <w:color w:val="0000EE"/>
                <w:w w:val="95"/>
              </w:rPr>
            </w:pPr>
            <w:hyperlink w:anchor="page48">
              <w:r>
                <w:rPr>
                  <w:rFonts w:ascii="Arial" w:cs="Arial" w:eastAsia="Arial" w:hAnsi="Arial"/>
                  <w:sz w:val="21"/>
                  <w:szCs w:val="21"/>
                  <w:color w:val="0000EE"/>
                  <w:w w:val="95"/>
                </w:rPr>
                <w:t>APPENDIX B</w:t>
              </w:r>
            </w:hyperlink>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ind w:left="220"/>
              <w:spacing w:after="0"/>
              <w:rPr>
                <w:sz w:val="20"/>
                <w:szCs w:val="20"/>
                <w:color w:val="auto"/>
              </w:rPr>
            </w:pPr>
            <w:r>
              <w:rPr>
                <w:rFonts w:ascii="Arial" w:cs="Arial" w:eastAsia="Arial" w:hAnsi="Arial"/>
                <w:sz w:val="21"/>
                <w:szCs w:val="21"/>
                <w:color w:val="auto"/>
                <w:w w:val="91"/>
              </w:rPr>
              <w:t>B-1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65405</wp:posOffset>
            </wp:positionV>
            <wp:extent cx="554418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44185" cy="16510"/>
                    </a:xfrm>
                    <a:prstGeom prst="rect">
                      <a:avLst/>
                    </a:prstGeom>
                    <a:noFill/>
                  </pic:spPr>
                </pic:pic>
              </a:graphicData>
            </a:graphic>
          </wp:anchor>
        </w:drawing>
      </w:r>
    </w:p>
    <w:p>
      <w:pPr>
        <w:sectPr>
          <w:pgSz w:w="11900" w:h="16838" w:orient="portrait"/>
          <w:cols w:equalWidth="0" w:num="1">
            <w:col w:w="9019"/>
          </w:cols>
          <w:pgMar w:left="1440" w:top="92" w:right="1440" w:bottom="1440" w:gutter="0" w:footer="0" w:header="0"/>
        </w:sectPr>
      </w:pPr>
    </w:p>
    <w:bookmarkStart w:id="33" w:name="page34"/>
    <w:bookmarkEnd w:id="33"/>
    <w:p>
      <w:pPr>
        <w:ind w:left="240"/>
        <w:spacing w:after="0"/>
        <w:rPr>
          <w:rFonts w:ascii="Arial" w:cs="Arial" w:eastAsia="Arial" w:hAnsi="Arial"/>
          <w:sz w:val="21"/>
          <w:szCs w:val="21"/>
          <w:b w:val="1"/>
          <w:bCs w:val="1"/>
          <w:u w:val="single" w:color="auto"/>
          <w:color w:val="0563C1"/>
        </w:rPr>
      </w:pPr>
      <w:hyperlink w:anchor="page2">
        <w:r>
          <w:rPr>
            <w:rFonts w:ascii="Arial" w:cs="Arial" w:eastAsia="Arial" w:hAnsi="Arial"/>
            <w:sz w:val="21"/>
            <w:szCs w:val="21"/>
            <w:b w:val="1"/>
            <w:bCs w:val="1"/>
            <w:u w:val="single" w:color="auto"/>
            <w:color w:val="0563C1"/>
          </w:rPr>
          <w:t>Table of Contents</w:t>
        </w:r>
      </w:hyperlink>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Avnet Executive Severance Plan</w:t>
      </w:r>
    </w:p>
    <w:p>
      <w:pPr>
        <w:spacing w:after="0" w:line="162" w:lineRule="exact"/>
        <w:rPr>
          <w:sz w:val="20"/>
          <w:szCs w:val="20"/>
          <w:color w:val="auto"/>
        </w:rPr>
      </w:pPr>
    </w:p>
    <w:p>
      <w:pPr>
        <w:ind w:left="620" w:hanging="473"/>
        <w:spacing w:after="0"/>
        <w:tabs>
          <w:tab w:leader="none" w:pos="620" w:val="left"/>
        </w:tabs>
        <w:numPr>
          <w:ilvl w:val="0"/>
          <w:numId w:val="14"/>
        </w:numPr>
        <w:rPr>
          <w:rFonts w:ascii="Arial" w:cs="Arial" w:eastAsia="Arial" w:hAnsi="Arial"/>
          <w:sz w:val="21"/>
          <w:szCs w:val="21"/>
          <w:b w:val="1"/>
          <w:bCs w:val="1"/>
          <w:color w:val="auto"/>
        </w:rPr>
      </w:pPr>
      <w:r>
        <w:rPr>
          <w:rFonts w:ascii="Arial" w:cs="Arial" w:eastAsia="Arial" w:hAnsi="Arial"/>
          <w:sz w:val="21"/>
          <w:szCs w:val="21"/>
          <w:b w:val="1"/>
          <w:bCs w:val="1"/>
          <w:color w:val="auto"/>
        </w:rPr>
        <w:t>Introduction</w:t>
      </w:r>
    </w:p>
    <w:p>
      <w:pPr>
        <w:jc w:val="both"/>
        <w:ind w:left="160" w:right="139" w:hanging="8"/>
        <w:spacing w:after="0" w:line="213" w:lineRule="auto"/>
        <w:rPr>
          <w:sz w:val="20"/>
          <w:szCs w:val="20"/>
          <w:color w:val="auto"/>
        </w:rPr>
      </w:pPr>
      <w:r>
        <w:rPr>
          <w:rFonts w:ascii="Arial" w:cs="Arial" w:eastAsia="Arial" w:hAnsi="Arial"/>
          <w:sz w:val="21"/>
          <w:szCs w:val="21"/>
          <w:color w:val="auto"/>
        </w:rPr>
        <w:t>The purpose of the Avnet Executive Severance Plan (the “Plan”) is to provide for the payment of severance benefits to designated executives resident in the United States upon a qualifying termination. Non-U.S. executive severance (if any) will be per the terms of the executive’s employment agreement in the country in which they reside. References to “Avnet” or the “Company” in this Plan refer to Avnet, Inc.</w:t>
      </w:r>
    </w:p>
    <w:p>
      <w:pPr>
        <w:spacing w:after="0" w:line="152" w:lineRule="exact"/>
        <w:rPr>
          <w:sz w:val="20"/>
          <w:szCs w:val="20"/>
          <w:color w:val="auto"/>
        </w:rPr>
      </w:pPr>
    </w:p>
    <w:p>
      <w:pPr>
        <w:jc w:val="both"/>
        <w:ind w:left="140" w:right="139" w:hanging="7"/>
        <w:spacing w:after="0" w:line="224" w:lineRule="auto"/>
        <w:rPr>
          <w:sz w:val="20"/>
          <w:szCs w:val="20"/>
          <w:color w:val="auto"/>
        </w:rPr>
      </w:pPr>
      <w:r>
        <w:rPr>
          <w:rFonts w:ascii="Arial" w:cs="Arial" w:eastAsia="Arial" w:hAnsi="Arial"/>
          <w:sz w:val="21"/>
          <w:szCs w:val="21"/>
          <w:color w:val="auto"/>
        </w:rPr>
        <w:t>This plan description describes the features of the Plan and also serves as the official Plan document. This Plan applies to employees designated as eligible (as described in the Plan Eligibility Section) on or after August 10</w:t>
      </w:r>
      <w:r>
        <w:rPr>
          <w:rFonts w:ascii="Arial" w:cs="Arial" w:eastAsia="Arial" w:hAnsi="Arial"/>
          <w:sz w:val="10"/>
          <w:szCs w:val="10"/>
          <w:color w:val="auto"/>
        </w:rPr>
        <w:t>th</w:t>
      </w:r>
      <w:r>
        <w:rPr>
          <w:rFonts w:ascii="Arial" w:cs="Arial" w:eastAsia="Arial" w:hAnsi="Arial"/>
          <w:sz w:val="21"/>
          <w:szCs w:val="21"/>
          <w:color w:val="auto"/>
        </w:rPr>
        <w:t>, 2017.</w:t>
      </w:r>
    </w:p>
    <w:p>
      <w:pPr>
        <w:spacing w:after="0" w:line="152" w:lineRule="exact"/>
        <w:rPr>
          <w:sz w:val="20"/>
          <w:szCs w:val="20"/>
          <w:color w:val="auto"/>
        </w:rPr>
      </w:pPr>
    </w:p>
    <w:p>
      <w:pPr>
        <w:jc w:val="both"/>
        <w:ind w:left="140" w:right="139" w:hanging="7"/>
        <w:spacing w:after="0" w:line="217" w:lineRule="auto"/>
        <w:rPr>
          <w:sz w:val="20"/>
          <w:szCs w:val="20"/>
          <w:color w:val="auto"/>
        </w:rPr>
      </w:pPr>
      <w:r>
        <w:rPr>
          <w:rFonts w:ascii="Arial" w:cs="Arial" w:eastAsia="Arial" w:hAnsi="Arial"/>
          <w:sz w:val="21"/>
          <w:szCs w:val="21"/>
          <w:color w:val="auto"/>
        </w:rPr>
        <w:t>This Plan takes the place of any oral or written communication on the subject of severance pay, other than an individual employment agreement, separation agreement or change of control agreement. If any oral or written representations made by any Avnet representative, other than an individual employment agreement, separation agreement or change of control agreement, conflict or are inconsistent with this Plan, the Plan will control.</w:t>
      </w:r>
    </w:p>
    <w:p>
      <w:pPr>
        <w:spacing w:after="0" w:line="150" w:lineRule="exact"/>
        <w:rPr>
          <w:sz w:val="20"/>
          <w:szCs w:val="20"/>
          <w:color w:val="auto"/>
        </w:rPr>
      </w:pPr>
    </w:p>
    <w:p>
      <w:pPr>
        <w:jc w:val="both"/>
        <w:ind w:left="140" w:right="139" w:hanging="7"/>
        <w:spacing w:after="0" w:line="219" w:lineRule="auto"/>
        <w:rPr>
          <w:sz w:val="20"/>
          <w:szCs w:val="20"/>
          <w:color w:val="auto"/>
        </w:rPr>
      </w:pPr>
      <w:r>
        <w:rPr>
          <w:rFonts w:ascii="Arial" w:cs="Arial" w:eastAsia="Arial" w:hAnsi="Arial"/>
          <w:sz w:val="21"/>
          <w:szCs w:val="21"/>
          <w:color w:val="auto"/>
        </w:rPr>
        <w:t>This Plan is not intended to create a separate contractual right to employment by Avnet or any affiliate. Unless you have a written, executed employment agreement with Avnet, your employment is “at will,” which means that your employer may terminate your employment at any time, for any reason or for no reason.</w:t>
      </w:r>
    </w:p>
    <w:p>
      <w:pPr>
        <w:spacing w:after="0" w:line="153" w:lineRule="exact"/>
        <w:rPr>
          <w:sz w:val="20"/>
          <w:szCs w:val="20"/>
          <w:color w:val="auto"/>
        </w:rPr>
      </w:pPr>
    </w:p>
    <w:p>
      <w:pPr>
        <w:jc w:val="both"/>
        <w:ind w:left="140" w:right="139" w:hanging="7"/>
        <w:spacing w:after="0" w:line="217" w:lineRule="auto"/>
        <w:rPr>
          <w:sz w:val="20"/>
          <w:szCs w:val="20"/>
          <w:color w:val="auto"/>
        </w:rPr>
      </w:pPr>
      <w:r>
        <w:rPr>
          <w:rFonts w:ascii="Arial" w:cs="Arial" w:eastAsia="Arial" w:hAnsi="Arial"/>
          <w:sz w:val="21"/>
          <w:szCs w:val="21"/>
          <w:color w:val="auto"/>
        </w:rPr>
        <w:t>The Avnet Board of Directors has adopted the Plan and delegates the authority to amend, modify, suspend or terminate the Plan to the Company’s Compensation Committee. The Compensation Committee may amend, modify, suspend or terminate the Plan or the Severance Benefits described in this Plan at any time, with or without notice, and with or without the consent of any active or former employee.</w:t>
      </w:r>
    </w:p>
    <w:p>
      <w:pPr>
        <w:spacing w:after="0" w:line="150" w:lineRule="exact"/>
        <w:rPr>
          <w:sz w:val="20"/>
          <w:szCs w:val="20"/>
          <w:color w:val="auto"/>
        </w:rPr>
      </w:pPr>
    </w:p>
    <w:p>
      <w:pPr>
        <w:jc w:val="both"/>
        <w:ind w:left="140" w:right="139" w:hanging="7"/>
        <w:spacing w:after="0" w:line="234" w:lineRule="auto"/>
        <w:rPr>
          <w:sz w:val="20"/>
          <w:szCs w:val="20"/>
          <w:color w:val="auto"/>
        </w:rPr>
      </w:pPr>
      <w:r>
        <w:rPr>
          <w:rFonts w:ascii="Arial" w:cs="Arial" w:eastAsia="Arial" w:hAnsi="Arial"/>
          <w:sz w:val="21"/>
          <w:szCs w:val="21"/>
          <w:color w:val="auto"/>
        </w:rPr>
        <w:t>If you have questions about the benefits described in this Plan, please contact the Vice President, Global Compensation &amp; Benefits.</w:t>
      </w:r>
    </w:p>
    <w:p>
      <w:pPr>
        <w:spacing w:after="0" w:line="133" w:lineRule="exact"/>
        <w:rPr>
          <w:sz w:val="20"/>
          <w:szCs w:val="20"/>
          <w:color w:val="auto"/>
        </w:rPr>
      </w:pPr>
    </w:p>
    <w:p>
      <w:pPr>
        <w:ind w:left="620" w:hanging="473"/>
        <w:spacing w:after="0"/>
        <w:tabs>
          <w:tab w:leader="none" w:pos="620" w:val="left"/>
        </w:tabs>
        <w:numPr>
          <w:ilvl w:val="0"/>
          <w:numId w:val="15"/>
        </w:numPr>
        <w:rPr>
          <w:rFonts w:ascii="Arial" w:cs="Arial" w:eastAsia="Arial" w:hAnsi="Arial"/>
          <w:sz w:val="21"/>
          <w:szCs w:val="21"/>
          <w:b w:val="1"/>
          <w:bCs w:val="1"/>
          <w:color w:val="auto"/>
        </w:rPr>
      </w:pPr>
      <w:r>
        <w:rPr>
          <w:rFonts w:ascii="Arial" w:cs="Arial" w:eastAsia="Arial" w:hAnsi="Arial"/>
          <w:sz w:val="21"/>
          <w:szCs w:val="21"/>
          <w:b w:val="1"/>
          <w:bCs w:val="1"/>
          <w:color w:val="auto"/>
        </w:rPr>
        <w:t>Plan Eligibility</w:t>
      </w:r>
    </w:p>
    <w:p>
      <w:pPr>
        <w:ind w:left="140"/>
        <w:spacing w:after="0"/>
        <w:rPr>
          <w:sz w:val="20"/>
          <w:szCs w:val="20"/>
          <w:color w:val="auto"/>
        </w:rPr>
      </w:pPr>
      <w:r>
        <w:rPr>
          <w:rFonts w:ascii="Arial" w:cs="Arial" w:eastAsia="Arial" w:hAnsi="Arial"/>
          <w:sz w:val="21"/>
          <w:szCs w:val="21"/>
          <w:color w:val="auto"/>
        </w:rPr>
        <w:t>Plan eligibility is limited to “Executives” of Avnet, Inc.</w:t>
      </w:r>
    </w:p>
    <w:p>
      <w:pPr>
        <w:spacing w:after="0" w:line="138" w:lineRule="exact"/>
        <w:rPr>
          <w:sz w:val="20"/>
          <w:szCs w:val="20"/>
          <w:color w:val="auto"/>
        </w:rPr>
      </w:pPr>
    </w:p>
    <w:p>
      <w:pPr>
        <w:ind w:left="620" w:hanging="473"/>
        <w:spacing w:after="0"/>
        <w:tabs>
          <w:tab w:leader="none" w:pos="620" w:val="left"/>
        </w:tabs>
        <w:numPr>
          <w:ilvl w:val="0"/>
          <w:numId w:val="16"/>
        </w:numPr>
        <w:rPr>
          <w:rFonts w:ascii="Arial" w:cs="Arial" w:eastAsia="Arial" w:hAnsi="Arial"/>
          <w:sz w:val="21"/>
          <w:szCs w:val="21"/>
          <w:b w:val="1"/>
          <w:bCs w:val="1"/>
          <w:color w:val="auto"/>
        </w:rPr>
      </w:pPr>
      <w:r>
        <w:rPr>
          <w:rFonts w:ascii="Arial" w:cs="Arial" w:eastAsia="Arial" w:hAnsi="Arial"/>
          <w:sz w:val="21"/>
          <w:szCs w:val="21"/>
          <w:b w:val="1"/>
          <w:bCs w:val="1"/>
          <w:color w:val="auto"/>
        </w:rPr>
        <w:t>Severance Definitions</w:t>
      </w:r>
    </w:p>
    <w:p>
      <w:pPr>
        <w:jc w:val="both"/>
        <w:ind w:left="160" w:right="139" w:hanging="8"/>
        <w:spacing w:after="0" w:line="225" w:lineRule="auto"/>
        <w:rPr>
          <w:sz w:val="20"/>
          <w:szCs w:val="20"/>
          <w:color w:val="auto"/>
        </w:rPr>
      </w:pPr>
      <w:r>
        <w:rPr>
          <w:rFonts w:ascii="Arial" w:cs="Arial" w:eastAsia="Arial" w:hAnsi="Arial"/>
          <w:sz w:val="21"/>
          <w:szCs w:val="21"/>
          <w:color w:val="auto"/>
        </w:rPr>
        <w:t>“Base Salary Amount” means the Executive’s base salary as determined on a monthly basis at the time of the termination multiplied by twelve (12).</w:t>
      </w:r>
    </w:p>
    <w:p>
      <w:pPr>
        <w:spacing w:after="0" w:line="150" w:lineRule="exact"/>
        <w:rPr>
          <w:sz w:val="20"/>
          <w:szCs w:val="20"/>
          <w:color w:val="auto"/>
        </w:rPr>
      </w:pPr>
    </w:p>
    <w:p>
      <w:pPr>
        <w:jc w:val="both"/>
        <w:ind w:left="140" w:right="139" w:hanging="11"/>
        <w:spacing w:after="0" w:line="224" w:lineRule="auto"/>
        <w:rPr>
          <w:sz w:val="20"/>
          <w:szCs w:val="20"/>
          <w:color w:val="auto"/>
        </w:rPr>
      </w:pPr>
      <w:r>
        <w:rPr>
          <w:rFonts w:ascii="Arial" w:cs="Arial" w:eastAsia="Arial" w:hAnsi="Arial"/>
          <w:sz w:val="21"/>
          <w:szCs w:val="21"/>
          <w:color w:val="auto"/>
        </w:rPr>
        <w:t>“Executive” means an employee elected to the office of Chief Executive Officer or Senior Vice President of Avnet, Inc. by the Company’s Board of Directors (the “Board”) who is not entitled to severance payments under any other employment, severance or similar plan or agreement.</w:t>
      </w:r>
    </w:p>
    <w:p>
      <w:pPr>
        <w:spacing w:after="0" w:line="152" w:lineRule="exact"/>
        <w:rPr>
          <w:sz w:val="20"/>
          <w:szCs w:val="20"/>
          <w:color w:val="auto"/>
        </w:rPr>
      </w:pPr>
    </w:p>
    <w:p>
      <w:pPr>
        <w:jc w:val="both"/>
        <w:ind w:left="160" w:right="139" w:hanging="8"/>
        <w:spacing w:after="0" w:line="277" w:lineRule="auto"/>
        <w:rPr>
          <w:sz w:val="20"/>
          <w:szCs w:val="20"/>
          <w:color w:val="auto"/>
        </w:rPr>
      </w:pPr>
      <w:r>
        <w:rPr>
          <w:rFonts w:ascii="Arial" w:cs="Arial" w:eastAsia="Arial" w:hAnsi="Arial"/>
          <w:sz w:val="19"/>
          <w:szCs w:val="19"/>
          <w:color w:val="auto"/>
        </w:rPr>
        <w:t>“Health Care Severance Benefit” means medical, dental and vision coverage under the Company’s health care plans as the Executive had elected prior to the Executive’s termination of employment.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65405</wp:posOffset>
            </wp:positionV>
            <wp:extent cx="5544185" cy="24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44185" cy="24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240"/>
        <w:spacing w:after="0"/>
        <w:rPr>
          <w:rFonts w:ascii="Arial" w:cs="Arial" w:eastAsia="Arial" w:hAnsi="Arial"/>
          <w:sz w:val="21"/>
          <w:szCs w:val="21"/>
          <w:b w:val="1"/>
          <w:bCs w:val="1"/>
          <w:u w:val="single" w:color="auto"/>
          <w:color w:val="0563C1"/>
        </w:rPr>
      </w:pPr>
      <w:hyperlink w:anchor="page2">
        <w:r>
          <w:rPr>
            <w:rFonts w:ascii="Arial" w:cs="Arial" w:eastAsia="Arial" w:hAnsi="Arial"/>
            <w:sz w:val="21"/>
            <w:szCs w:val="21"/>
            <w:b w:val="1"/>
            <w:bCs w:val="1"/>
            <w:u w:val="single" w:color="auto"/>
            <w:color w:val="0563C1"/>
          </w:rPr>
          <w:t>Table of Contents</w:t>
        </w:r>
      </w:hyperlink>
    </w:p>
    <w:p>
      <w:pPr>
        <w:spacing w:after="0" w:line="112" w:lineRule="exact"/>
        <w:rPr>
          <w:sz w:val="20"/>
          <w:szCs w:val="20"/>
          <w:color w:val="auto"/>
        </w:rPr>
      </w:pPr>
    </w:p>
    <w:p>
      <w:pPr>
        <w:jc w:val="both"/>
        <w:ind w:left="160" w:right="139"/>
        <w:spacing w:after="0" w:line="235" w:lineRule="auto"/>
        <w:rPr>
          <w:sz w:val="20"/>
          <w:szCs w:val="20"/>
          <w:color w:val="auto"/>
        </w:rPr>
      </w:pPr>
      <w:r>
        <w:rPr>
          <w:rFonts w:ascii="Arial" w:cs="Arial" w:eastAsia="Arial" w:hAnsi="Arial"/>
          <w:sz w:val="19"/>
          <w:szCs w:val="19"/>
          <w:color w:val="auto"/>
        </w:rPr>
        <w:t>To be eligible for the Health Care Severance Benefit, Executive must timely and properly elect continuation coverage under the applicable health plans pursuant to Section 4980B (“COBRA”) of the Internal Revenue Code of 1986, as amended (the “Code”). The Health Care Severance Benefit shall be for a period of 2 years for the Chief Executive Officer and 1 year for a Senior Vice President. The Heath Care Severance Benefit period shall run concurrently with the applicable COBRA continuation period and shall not extend the maximum period under which Executive may receive continued group health insurance benefits pursuant to COBRA. Executive may not elect to receive cash or any other allowance in lieu of any medical, dental or vision coverage provided by the Plan.</w:t>
      </w:r>
    </w:p>
    <w:p>
      <w:pPr>
        <w:spacing w:after="0" w:line="151" w:lineRule="exact"/>
        <w:rPr>
          <w:sz w:val="20"/>
          <w:szCs w:val="20"/>
          <w:color w:val="auto"/>
        </w:rPr>
      </w:pPr>
    </w:p>
    <w:p>
      <w:pPr>
        <w:jc w:val="both"/>
        <w:ind w:left="160" w:right="139" w:hanging="8"/>
        <w:spacing w:after="0" w:line="225" w:lineRule="auto"/>
        <w:rPr>
          <w:sz w:val="20"/>
          <w:szCs w:val="20"/>
          <w:color w:val="auto"/>
        </w:rPr>
      </w:pPr>
      <w:r>
        <w:rPr>
          <w:rFonts w:ascii="Arial" w:cs="Arial" w:eastAsia="Arial" w:hAnsi="Arial"/>
          <w:sz w:val="20"/>
          <w:szCs w:val="20"/>
          <w:color w:val="auto"/>
        </w:rPr>
        <w:t>“Incentive Payment” means any annual incentive payments for the performance period in which the Executive’s employment is terminated. Any Incentive Payment due shall be paid at the end of the performance period, at the time prescribed by the Incentive Plan, or if no time is prescribed, within 90 days following the end of the performance period. The Incentive Payment will be based on (and subject to) actual achievement of the applicable performance goals and pro-rated if Executive’s employment terminates before the end of the performance period.</w:t>
      </w:r>
    </w:p>
    <w:p>
      <w:pPr>
        <w:spacing w:after="0" w:line="155" w:lineRule="exact"/>
        <w:rPr>
          <w:sz w:val="20"/>
          <w:szCs w:val="20"/>
          <w:color w:val="auto"/>
        </w:rPr>
      </w:pPr>
    </w:p>
    <w:p>
      <w:pPr>
        <w:ind w:left="140"/>
        <w:spacing w:after="0"/>
        <w:rPr>
          <w:sz w:val="20"/>
          <w:szCs w:val="20"/>
          <w:color w:val="auto"/>
        </w:rPr>
      </w:pPr>
      <w:r>
        <w:rPr>
          <w:rFonts w:ascii="Arial" w:cs="Arial" w:eastAsia="Arial" w:hAnsi="Arial"/>
          <w:sz w:val="21"/>
          <w:szCs w:val="21"/>
          <w:color w:val="auto"/>
        </w:rPr>
        <w:t>“Severance Benefit” means the Severance Benefit provided in Section 5 of the Plan.</w:t>
      </w:r>
    </w:p>
    <w:p>
      <w:pPr>
        <w:spacing w:after="0" w:line="156" w:lineRule="exact"/>
        <w:rPr>
          <w:sz w:val="20"/>
          <w:szCs w:val="20"/>
          <w:color w:val="auto"/>
        </w:rPr>
      </w:pPr>
    </w:p>
    <w:p>
      <w:pPr>
        <w:ind w:left="620" w:hanging="473"/>
        <w:spacing w:after="0"/>
        <w:tabs>
          <w:tab w:leader="none" w:pos="620" w:val="left"/>
        </w:tabs>
        <w:numPr>
          <w:ilvl w:val="0"/>
          <w:numId w:val="17"/>
        </w:numPr>
        <w:rPr>
          <w:rFonts w:ascii="Arial" w:cs="Arial" w:eastAsia="Arial" w:hAnsi="Arial"/>
          <w:sz w:val="21"/>
          <w:szCs w:val="21"/>
          <w:b w:val="1"/>
          <w:bCs w:val="1"/>
          <w:color w:val="auto"/>
        </w:rPr>
      </w:pPr>
      <w:r>
        <w:rPr>
          <w:rFonts w:ascii="Arial" w:cs="Arial" w:eastAsia="Arial" w:hAnsi="Arial"/>
          <w:sz w:val="21"/>
          <w:szCs w:val="21"/>
          <w:b w:val="1"/>
          <w:bCs w:val="1"/>
          <w:color w:val="auto"/>
        </w:rPr>
        <w:t>Eligibility for Severance Benefit</w:t>
      </w:r>
    </w:p>
    <w:p>
      <w:pPr>
        <w:ind w:left="1240" w:right="159" w:hanging="627"/>
        <w:spacing w:after="0" w:line="205" w:lineRule="auto"/>
        <w:tabs>
          <w:tab w:leader="none" w:pos="1240" w:val="left"/>
        </w:tabs>
        <w:numPr>
          <w:ilvl w:val="1"/>
          <w:numId w:val="17"/>
        </w:numPr>
        <w:rPr>
          <w:rFonts w:ascii="Arial" w:cs="Arial" w:eastAsia="Arial" w:hAnsi="Arial"/>
          <w:sz w:val="21"/>
          <w:szCs w:val="21"/>
          <w:color w:val="auto"/>
        </w:rPr>
      </w:pPr>
      <w:r>
        <w:rPr>
          <w:rFonts w:ascii="Arial" w:cs="Arial" w:eastAsia="Arial" w:hAnsi="Arial"/>
          <w:sz w:val="21"/>
          <w:szCs w:val="21"/>
          <w:u w:val="single" w:color="auto"/>
          <w:color w:val="auto"/>
        </w:rPr>
        <w:t>Eligibility for Severance Benefits</w:t>
      </w:r>
      <w:r>
        <w:rPr>
          <w:rFonts w:ascii="Arial" w:cs="Arial" w:eastAsia="Arial" w:hAnsi="Arial"/>
          <w:sz w:val="21"/>
          <w:szCs w:val="21"/>
          <w:color w:val="auto"/>
        </w:rPr>
        <w:t>. An Executive is eligible for a Severance Benefit if any of the following occur:</w:t>
      </w:r>
    </w:p>
    <w:p>
      <w:pPr>
        <w:spacing w:after="0" w:line="1" w:lineRule="exact"/>
        <w:rPr>
          <w:rFonts w:ascii="Arial" w:cs="Arial" w:eastAsia="Arial" w:hAnsi="Arial"/>
          <w:sz w:val="21"/>
          <w:szCs w:val="21"/>
          <w:color w:val="auto"/>
        </w:rPr>
      </w:pPr>
    </w:p>
    <w:p>
      <w:pPr>
        <w:jc w:val="both"/>
        <w:ind w:left="1700" w:right="139" w:hanging="466"/>
        <w:spacing w:after="0" w:line="205" w:lineRule="auto"/>
        <w:tabs>
          <w:tab w:leader="none" w:pos="1700" w:val="left"/>
        </w:tabs>
        <w:numPr>
          <w:ilvl w:val="2"/>
          <w:numId w:val="17"/>
        </w:numPr>
        <w:rPr>
          <w:rFonts w:ascii="Arial" w:cs="Arial" w:eastAsia="Arial" w:hAnsi="Arial"/>
          <w:sz w:val="21"/>
          <w:szCs w:val="21"/>
          <w:color w:val="auto"/>
        </w:rPr>
      </w:pPr>
      <w:r>
        <w:rPr>
          <w:rFonts w:ascii="Arial" w:cs="Arial" w:eastAsia="Arial" w:hAnsi="Arial"/>
          <w:sz w:val="21"/>
          <w:szCs w:val="21"/>
          <w:u w:val="single" w:color="auto"/>
          <w:color w:val="auto"/>
        </w:rPr>
        <w:t>Executive Termination For Good Reason</w:t>
      </w:r>
      <w:r>
        <w:rPr>
          <w:rFonts w:ascii="Arial" w:cs="Arial" w:eastAsia="Arial" w:hAnsi="Arial"/>
          <w:sz w:val="21"/>
          <w:szCs w:val="21"/>
          <w:color w:val="auto"/>
        </w:rPr>
        <w:t>. The Executive is eligible to receive a Severance Benefit in the event that the Executive terminates employment with the Company as the result of an “Adverse Action” without the Executive’s consent. “Adverse Action” means:</w:t>
      </w:r>
    </w:p>
    <w:p>
      <w:pPr>
        <w:spacing w:after="0" w:line="2" w:lineRule="exact"/>
        <w:rPr>
          <w:rFonts w:ascii="Arial" w:cs="Arial" w:eastAsia="Arial" w:hAnsi="Arial"/>
          <w:sz w:val="21"/>
          <w:szCs w:val="21"/>
          <w:color w:val="auto"/>
        </w:rPr>
      </w:pPr>
    </w:p>
    <w:p>
      <w:pPr>
        <w:ind w:left="2320" w:right="159" w:hanging="621"/>
        <w:spacing w:after="0" w:line="257" w:lineRule="auto"/>
        <w:tabs>
          <w:tab w:leader="none" w:pos="2320" w:val="left"/>
        </w:tabs>
        <w:numPr>
          <w:ilvl w:val="3"/>
          <w:numId w:val="17"/>
        </w:numPr>
        <w:rPr>
          <w:rFonts w:ascii="Arial" w:cs="Arial" w:eastAsia="Arial" w:hAnsi="Arial"/>
          <w:sz w:val="19"/>
          <w:szCs w:val="19"/>
          <w:color w:val="auto"/>
        </w:rPr>
      </w:pPr>
      <w:r>
        <w:rPr>
          <w:rFonts w:ascii="Arial" w:cs="Arial" w:eastAsia="Arial" w:hAnsi="Arial"/>
          <w:sz w:val="19"/>
          <w:szCs w:val="19"/>
          <w:color w:val="auto"/>
        </w:rPr>
        <w:t>a material diminution of the Executive’s authorities, duties or responsibilities, including, without limitation, title and reporting relationship;</w:t>
      </w:r>
    </w:p>
    <w:p>
      <w:pPr>
        <w:spacing w:after="0" w:line="134" w:lineRule="exact"/>
        <w:rPr>
          <w:rFonts w:ascii="Arial" w:cs="Arial" w:eastAsia="Arial" w:hAnsi="Arial"/>
          <w:sz w:val="19"/>
          <w:szCs w:val="19"/>
          <w:color w:val="auto"/>
        </w:rPr>
      </w:pPr>
    </w:p>
    <w:p>
      <w:pPr>
        <w:ind w:left="2320" w:right="159" w:hanging="621"/>
        <w:spacing w:after="0" w:line="234" w:lineRule="auto"/>
        <w:tabs>
          <w:tab w:leader="none" w:pos="2320" w:val="left"/>
        </w:tabs>
        <w:numPr>
          <w:ilvl w:val="3"/>
          <w:numId w:val="17"/>
        </w:numPr>
        <w:rPr>
          <w:rFonts w:ascii="Arial" w:cs="Arial" w:eastAsia="Arial" w:hAnsi="Arial"/>
          <w:sz w:val="21"/>
          <w:szCs w:val="21"/>
          <w:color w:val="auto"/>
        </w:rPr>
      </w:pPr>
      <w:r>
        <w:rPr>
          <w:rFonts w:ascii="Arial" w:cs="Arial" w:eastAsia="Arial" w:hAnsi="Arial"/>
          <w:sz w:val="21"/>
          <w:szCs w:val="21"/>
          <w:color w:val="auto"/>
        </w:rPr>
        <w:t>a material change in the geographic location at which the Executive is primarily required to perform services for the Company;</w:t>
      </w:r>
    </w:p>
    <w:p>
      <w:pPr>
        <w:spacing w:after="0" w:line="149" w:lineRule="exact"/>
        <w:rPr>
          <w:rFonts w:ascii="Arial" w:cs="Arial" w:eastAsia="Arial" w:hAnsi="Arial"/>
          <w:sz w:val="21"/>
          <w:szCs w:val="21"/>
          <w:color w:val="auto"/>
        </w:rPr>
      </w:pPr>
    </w:p>
    <w:p>
      <w:pPr>
        <w:ind w:left="2320" w:hanging="621"/>
        <w:spacing w:after="0"/>
        <w:tabs>
          <w:tab w:leader="none" w:pos="2320" w:val="left"/>
        </w:tabs>
        <w:numPr>
          <w:ilvl w:val="3"/>
          <w:numId w:val="17"/>
        </w:numPr>
        <w:rPr>
          <w:rFonts w:ascii="Arial" w:cs="Arial" w:eastAsia="Arial" w:hAnsi="Arial"/>
          <w:sz w:val="21"/>
          <w:szCs w:val="21"/>
          <w:color w:val="auto"/>
        </w:rPr>
      </w:pPr>
      <w:r>
        <w:rPr>
          <w:rFonts w:ascii="Arial" w:cs="Arial" w:eastAsia="Arial" w:hAnsi="Arial"/>
          <w:sz w:val="21"/>
          <w:szCs w:val="21"/>
          <w:color w:val="auto"/>
        </w:rPr>
        <w:t>a material reduction in the Executive’s base compensation; or</w:t>
      </w:r>
    </w:p>
    <w:p>
      <w:pPr>
        <w:spacing w:after="0" w:line="172" w:lineRule="exact"/>
        <w:rPr>
          <w:rFonts w:ascii="Arial" w:cs="Arial" w:eastAsia="Arial" w:hAnsi="Arial"/>
          <w:sz w:val="21"/>
          <w:szCs w:val="21"/>
          <w:color w:val="auto"/>
        </w:rPr>
      </w:pPr>
    </w:p>
    <w:p>
      <w:pPr>
        <w:jc w:val="both"/>
        <w:ind w:left="2320" w:right="159" w:hanging="621"/>
        <w:spacing w:after="0" w:line="224" w:lineRule="auto"/>
        <w:tabs>
          <w:tab w:leader="none" w:pos="2320" w:val="left"/>
        </w:tabs>
        <w:numPr>
          <w:ilvl w:val="3"/>
          <w:numId w:val="17"/>
        </w:numPr>
        <w:rPr>
          <w:rFonts w:ascii="Arial" w:cs="Arial" w:eastAsia="Arial" w:hAnsi="Arial"/>
          <w:sz w:val="21"/>
          <w:szCs w:val="21"/>
          <w:color w:val="auto"/>
        </w:rPr>
      </w:pPr>
      <w:r>
        <w:rPr>
          <w:rFonts w:ascii="Arial" w:cs="Arial" w:eastAsia="Arial" w:hAnsi="Arial"/>
          <w:sz w:val="21"/>
          <w:szCs w:val="21"/>
          <w:color w:val="auto"/>
        </w:rPr>
        <w:t>any other action or inaction that constitutes a material breach by the Company under its letter agreement setting forth the terms of employment with the Executive;</w:t>
      </w:r>
    </w:p>
    <w:p>
      <w:pPr>
        <w:spacing w:after="0" w:line="152" w:lineRule="exact"/>
        <w:rPr>
          <w:sz w:val="20"/>
          <w:szCs w:val="20"/>
          <w:color w:val="auto"/>
        </w:rPr>
      </w:pPr>
    </w:p>
    <w:p>
      <w:pPr>
        <w:jc w:val="both"/>
        <w:ind w:left="1540" w:right="139"/>
        <w:spacing w:after="0" w:line="215" w:lineRule="auto"/>
        <w:rPr>
          <w:sz w:val="20"/>
          <w:szCs w:val="20"/>
          <w:color w:val="auto"/>
        </w:rPr>
      </w:pPr>
      <w:r>
        <w:rPr>
          <w:rFonts w:ascii="Arial" w:cs="Arial" w:eastAsia="Arial" w:hAnsi="Arial"/>
          <w:sz w:val="21"/>
          <w:szCs w:val="21"/>
          <w:color w:val="auto"/>
        </w:rPr>
        <w:t>provided, however, that the Executive shall notify the Company in writing within 90 days of the initial occurrence of the Adverse Action of his/her desire to terminate employment on account of such Adverse Action, and the Company shall have 30 days to remedy the Adverse Action. If the Company fails to remedy the Adverse Action within 30 days, the Executive shall terminate employment and shall receive a Severance Benefit.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65405</wp:posOffset>
            </wp:positionV>
            <wp:extent cx="554418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44185" cy="1651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240"/>
        <w:spacing w:after="0"/>
        <w:rPr>
          <w:rFonts w:ascii="Arial" w:cs="Arial" w:eastAsia="Arial" w:hAnsi="Arial"/>
          <w:sz w:val="21"/>
          <w:szCs w:val="21"/>
          <w:b w:val="1"/>
          <w:bCs w:val="1"/>
          <w:u w:val="single" w:color="auto"/>
          <w:color w:val="0563C1"/>
        </w:rPr>
      </w:pPr>
      <w:hyperlink w:anchor="page2">
        <w:r>
          <w:rPr>
            <w:rFonts w:ascii="Arial" w:cs="Arial" w:eastAsia="Arial" w:hAnsi="Arial"/>
            <w:sz w:val="21"/>
            <w:szCs w:val="21"/>
            <w:b w:val="1"/>
            <w:bCs w:val="1"/>
            <w:u w:val="single" w:color="auto"/>
            <w:color w:val="0563C1"/>
          </w:rPr>
          <w:t>Table of Contents</w:t>
        </w:r>
      </w:hyperlink>
    </w:p>
    <w:p>
      <w:pPr>
        <w:spacing w:after="0" w:line="164" w:lineRule="exact"/>
        <w:rPr>
          <w:sz w:val="20"/>
          <w:szCs w:val="20"/>
          <w:color w:val="auto"/>
        </w:rPr>
      </w:pPr>
    </w:p>
    <w:p>
      <w:pPr>
        <w:jc w:val="both"/>
        <w:ind w:left="1700" w:right="139" w:hanging="466"/>
        <w:spacing w:after="0" w:line="232" w:lineRule="auto"/>
        <w:tabs>
          <w:tab w:leader="none" w:pos="1700" w:val="left"/>
        </w:tabs>
        <w:numPr>
          <w:ilvl w:val="2"/>
          <w:numId w:val="18"/>
        </w:numPr>
        <w:rPr>
          <w:rFonts w:ascii="Arial" w:cs="Arial" w:eastAsia="Arial" w:hAnsi="Arial"/>
          <w:sz w:val="19"/>
          <w:szCs w:val="19"/>
          <w:color w:val="auto"/>
        </w:rPr>
      </w:pPr>
      <w:r>
        <w:rPr>
          <w:rFonts w:ascii="Arial" w:cs="Arial" w:eastAsia="Arial" w:hAnsi="Arial"/>
          <w:sz w:val="19"/>
          <w:szCs w:val="19"/>
          <w:u w:val="single" w:color="auto"/>
          <w:color w:val="auto"/>
        </w:rPr>
        <w:t>Company Termination Without Cause</w:t>
      </w:r>
      <w:r>
        <w:rPr>
          <w:rFonts w:ascii="Arial" w:cs="Arial" w:eastAsia="Arial" w:hAnsi="Arial"/>
          <w:sz w:val="19"/>
          <w:szCs w:val="19"/>
          <w:color w:val="auto"/>
        </w:rPr>
        <w:t>. If the Executive’s employment is terminated by the Company for a reason other than “Cause,” “Death” or “Disability” (as each term is defined below), the Company shall provide to Executive written notice of the termination and shall provide a Severance Benefit.</w:t>
      </w:r>
    </w:p>
    <w:p>
      <w:pPr>
        <w:ind w:left="1240" w:right="159" w:hanging="627"/>
        <w:spacing w:after="0" w:line="205" w:lineRule="auto"/>
        <w:tabs>
          <w:tab w:leader="none" w:pos="1240"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Circumstances Resulting in Ineligibility for a Severance Benefit</w:t>
      </w:r>
      <w:r>
        <w:rPr>
          <w:rFonts w:ascii="Arial" w:cs="Arial" w:eastAsia="Arial" w:hAnsi="Arial"/>
          <w:sz w:val="21"/>
          <w:szCs w:val="21"/>
          <w:color w:val="auto"/>
        </w:rPr>
        <w:t>. The Executive is not eligible for a Severance Benefit under the Plan if any of the following occur:</w:t>
      </w:r>
    </w:p>
    <w:p>
      <w:pPr>
        <w:spacing w:after="0" w:line="1" w:lineRule="exact"/>
        <w:rPr>
          <w:rFonts w:ascii="Arial" w:cs="Arial" w:eastAsia="Arial" w:hAnsi="Arial"/>
          <w:sz w:val="21"/>
          <w:szCs w:val="21"/>
          <w:color w:val="auto"/>
        </w:rPr>
      </w:pPr>
    </w:p>
    <w:p>
      <w:pPr>
        <w:jc w:val="both"/>
        <w:ind w:left="1680" w:right="139" w:hanging="459"/>
        <w:spacing w:after="0" w:line="215" w:lineRule="auto"/>
        <w:tabs>
          <w:tab w:leader="none" w:pos="1680" w:val="left"/>
        </w:tabs>
        <w:numPr>
          <w:ilvl w:val="1"/>
          <w:numId w:val="19"/>
        </w:numPr>
        <w:rPr>
          <w:rFonts w:ascii="Arial" w:cs="Arial" w:eastAsia="Arial" w:hAnsi="Arial"/>
          <w:sz w:val="20"/>
          <w:szCs w:val="20"/>
          <w:color w:val="auto"/>
        </w:rPr>
      </w:pPr>
      <w:r>
        <w:rPr>
          <w:rFonts w:ascii="Arial" w:cs="Arial" w:eastAsia="Arial" w:hAnsi="Arial"/>
          <w:sz w:val="20"/>
          <w:szCs w:val="20"/>
          <w:u w:val="single" w:color="auto"/>
          <w:color w:val="auto"/>
        </w:rPr>
        <w:t>Executive Voluntary Termination</w:t>
      </w:r>
      <w:r>
        <w:rPr>
          <w:rFonts w:ascii="Arial" w:cs="Arial" w:eastAsia="Arial" w:hAnsi="Arial"/>
          <w:sz w:val="20"/>
          <w:szCs w:val="20"/>
          <w:color w:val="auto"/>
        </w:rPr>
        <w:t>. An Executive’s voluntary termination shall not be deemed a qualifying termination under this Plan, and does not qualify for a Severance Benefit. The Company shall pay to Executive any accrued and unpaid base salary due, for service through the date of termination, within the time prescribed by applicable law and no later than thirty (30) days thereafter. Executive also shall receive a pro-rated Incentive Payment for the performance period in which the Executive’s employment is terminated, unless the applicable Incentive Plan provides to the contrary. Any Incentive Payment due shall be paid at the end of the performance period, at the time prescribed by the Incentive Plan, or if no time is prescribed, within 90 days following the end of the performance period. The Incentive Payment will be based on (and subject to) actual achievement of the applicable performance goals and pro-rated if Executive’s employment terminates before the end of the performance period.</w:t>
      </w:r>
    </w:p>
    <w:p>
      <w:pPr>
        <w:spacing w:after="0" w:line="12" w:lineRule="exact"/>
        <w:rPr>
          <w:rFonts w:ascii="Arial" w:cs="Arial" w:eastAsia="Arial" w:hAnsi="Arial"/>
          <w:sz w:val="20"/>
          <w:szCs w:val="20"/>
          <w:color w:val="auto"/>
        </w:rPr>
      </w:pPr>
    </w:p>
    <w:p>
      <w:pPr>
        <w:jc w:val="both"/>
        <w:ind w:left="1680" w:right="139" w:hanging="459"/>
        <w:spacing w:after="0" w:line="215" w:lineRule="auto"/>
        <w:tabs>
          <w:tab w:leader="none" w:pos="1680" w:val="left"/>
        </w:tabs>
        <w:numPr>
          <w:ilvl w:val="1"/>
          <w:numId w:val="19"/>
        </w:numPr>
        <w:rPr>
          <w:rFonts w:ascii="Arial" w:cs="Arial" w:eastAsia="Arial" w:hAnsi="Arial"/>
          <w:sz w:val="20"/>
          <w:szCs w:val="20"/>
          <w:color w:val="auto"/>
        </w:rPr>
      </w:pPr>
      <w:r>
        <w:rPr>
          <w:rFonts w:ascii="Arial" w:cs="Arial" w:eastAsia="Arial" w:hAnsi="Arial"/>
          <w:sz w:val="20"/>
          <w:szCs w:val="20"/>
          <w:u w:val="single" w:color="auto"/>
          <w:color w:val="auto"/>
        </w:rPr>
        <w:t>Death of Executive</w:t>
      </w:r>
      <w:r>
        <w:rPr>
          <w:rFonts w:ascii="Arial" w:cs="Arial" w:eastAsia="Arial" w:hAnsi="Arial"/>
          <w:sz w:val="20"/>
          <w:szCs w:val="20"/>
          <w:color w:val="auto"/>
        </w:rPr>
        <w:t>. In the event of the death of Executive, the Executive shall not qualify for a Severance Benefit. If the Executive dies while employed, the Company shall pay to Executive’s legal representative as soon as practicable all accrued and unpaid base salary due, for service through the date of death and a pro-rated portion of the Incentive Payment for the performance period in which Executive’s death occurs. Such amounts shall be paid within thirty (30) days after Executive’s death, on a date determined by the Company; provided, however, that any pro-rated Incentive Payment shall be paid at the end of the performance period, at the time prescribed by the applicable incentive plan, based on (and subject to) actual achievement of the applicable performance goals</w:t>
      </w:r>
      <w:r>
        <w:rPr>
          <w:rFonts w:ascii="Arial" w:cs="Arial" w:eastAsia="Arial" w:hAnsi="Arial"/>
          <w:sz w:val="20"/>
          <w:szCs w:val="20"/>
          <w:i w:val="1"/>
          <w:iCs w:val="1"/>
          <w:color w:val="auto"/>
        </w:rPr>
        <w:t>.</w:t>
      </w:r>
    </w:p>
    <w:p>
      <w:pPr>
        <w:spacing w:after="0" w:line="9" w:lineRule="exact"/>
        <w:rPr>
          <w:rFonts w:ascii="Arial" w:cs="Arial" w:eastAsia="Arial" w:hAnsi="Arial"/>
          <w:sz w:val="20"/>
          <w:szCs w:val="20"/>
          <w:color w:val="auto"/>
        </w:rPr>
      </w:pPr>
    </w:p>
    <w:p>
      <w:pPr>
        <w:jc w:val="both"/>
        <w:ind w:left="1680" w:right="139" w:hanging="459"/>
        <w:spacing w:after="0" w:line="219" w:lineRule="auto"/>
        <w:tabs>
          <w:tab w:leader="none" w:pos="1680" w:val="left"/>
        </w:tabs>
        <w:numPr>
          <w:ilvl w:val="1"/>
          <w:numId w:val="19"/>
        </w:numPr>
        <w:rPr>
          <w:rFonts w:ascii="Arial" w:cs="Arial" w:eastAsia="Arial" w:hAnsi="Arial"/>
          <w:sz w:val="20"/>
          <w:szCs w:val="20"/>
          <w:color w:val="auto"/>
        </w:rPr>
      </w:pPr>
      <w:r>
        <w:rPr>
          <w:rFonts w:ascii="Arial" w:cs="Arial" w:eastAsia="Arial" w:hAnsi="Arial"/>
          <w:sz w:val="20"/>
          <w:szCs w:val="20"/>
          <w:u w:val="single" w:color="auto"/>
          <w:color w:val="auto"/>
        </w:rPr>
        <w:t>Disability of Executive</w:t>
      </w:r>
      <w:r>
        <w:rPr>
          <w:rFonts w:ascii="Arial" w:cs="Arial" w:eastAsia="Arial" w:hAnsi="Arial"/>
          <w:sz w:val="20"/>
          <w:szCs w:val="20"/>
          <w:color w:val="auto"/>
        </w:rPr>
        <w:t>. If the Executive becomes Disabled (as defined below) and the Executive’s employment terminates, the Executive shall not qualify for a Severance Benefit. In the alternative to a Severance Benefit, Executive shall be entitled to any disability benefits payable under Company-sponsored disability benefit plans made available to Company employees generally, subject to the terms of those plans. Executive shall be entitled to a pro-rated Incentive Payment for the performance period in which his/her employment terminates; such Incentive Payment shall be paid at the end of the performance period, at the time prescribed by the relevant incentive plan, based on (and subject to) actual achievement of the applicable performance goals. “Disabled” and “Disability” shall mean that Executive has been totally disabled by injury or illness, mental or physical, as a result of which Executive is prevented from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65405</wp:posOffset>
            </wp:positionV>
            <wp:extent cx="5544185" cy="24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44185" cy="24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240"/>
        <w:spacing w:after="0"/>
        <w:rPr>
          <w:rFonts w:ascii="Arial" w:cs="Arial" w:eastAsia="Arial" w:hAnsi="Arial"/>
          <w:sz w:val="21"/>
          <w:szCs w:val="21"/>
          <w:b w:val="1"/>
          <w:bCs w:val="1"/>
          <w:u w:val="single" w:color="auto"/>
          <w:color w:val="0563C1"/>
        </w:rPr>
      </w:pPr>
      <w:hyperlink w:anchor="page2">
        <w:r>
          <w:rPr>
            <w:rFonts w:ascii="Arial" w:cs="Arial" w:eastAsia="Arial" w:hAnsi="Arial"/>
            <w:sz w:val="21"/>
            <w:szCs w:val="21"/>
            <w:b w:val="1"/>
            <w:bCs w:val="1"/>
            <w:u w:val="single" w:color="auto"/>
            <w:color w:val="0563C1"/>
          </w:rPr>
          <w:t>Table of Contents</w:t>
        </w:r>
      </w:hyperlink>
    </w:p>
    <w:p>
      <w:pPr>
        <w:spacing w:after="0" w:line="112" w:lineRule="exact"/>
        <w:rPr>
          <w:sz w:val="20"/>
          <w:szCs w:val="20"/>
          <w:color w:val="auto"/>
        </w:rPr>
      </w:pPr>
    </w:p>
    <w:p>
      <w:pPr>
        <w:jc w:val="both"/>
        <w:ind w:left="1700" w:right="139"/>
        <w:spacing w:after="0" w:line="209" w:lineRule="auto"/>
        <w:rPr>
          <w:sz w:val="20"/>
          <w:szCs w:val="20"/>
          <w:color w:val="auto"/>
        </w:rPr>
      </w:pPr>
      <w:r>
        <w:rPr>
          <w:rFonts w:ascii="Arial" w:cs="Arial" w:eastAsia="Arial" w:hAnsi="Arial"/>
          <w:sz w:val="21"/>
          <w:szCs w:val="21"/>
          <w:color w:val="auto"/>
        </w:rPr>
        <w:t>further performance of his or her duties, and that such disability is likely to be permanent and continuous during the remainder of Executive’s life. In the event of a dispute over whether Executive has become Disabled, such dispute shall be resolved through arbitration under American Arbitration Association rules, in Phoenix, Arizona.</w:t>
      </w:r>
    </w:p>
    <w:p>
      <w:pPr>
        <w:spacing w:after="0" w:line="1" w:lineRule="exact"/>
        <w:rPr>
          <w:sz w:val="20"/>
          <w:szCs w:val="20"/>
          <w:color w:val="auto"/>
        </w:rPr>
      </w:pPr>
    </w:p>
    <w:p>
      <w:pPr>
        <w:jc w:val="both"/>
        <w:ind w:left="1680" w:right="139" w:hanging="459"/>
        <w:spacing w:after="0" w:line="215" w:lineRule="auto"/>
        <w:tabs>
          <w:tab w:leader="none" w:pos="1680"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Company Termination With Cause</w:t>
      </w:r>
      <w:r>
        <w:rPr>
          <w:rFonts w:ascii="Arial" w:cs="Arial" w:eastAsia="Arial" w:hAnsi="Arial"/>
          <w:sz w:val="20"/>
          <w:szCs w:val="20"/>
          <w:color w:val="auto"/>
        </w:rPr>
        <w:t>. If the Executive’s employment is terminated by the Company for “Cause,” the Executive shall not qualify for a Severance Benefit. The Company shall pay to Executive any salary due, for service through the date of termination, within the time prescribed by applicable law and no later than thirty (30) days thereafter, and Executive shall forfeit any right to receive Incentive Payment or a bonus. For purposes of this Plan, “Cause” means, but is not limited to, Executive’s gross misconduct, habitual neglect or wanton disregard of his or her duties, or conviction of any criminal act as determined by the Company’s Chief Executive Officer or, in the case of the Chief Executive Officer, the Company’s Board of Directors.</w:t>
      </w:r>
    </w:p>
    <w:p>
      <w:pPr>
        <w:spacing w:after="0" w:line="9" w:lineRule="exact"/>
        <w:rPr>
          <w:rFonts w:ascii="Arial" w:cs="Arial" w:eastAsia="Arial" w:hAnsi="Arial"/>
          <w:sz w:val="20"/>
          <w:szCs w:val="20"/>
          <w:color w:val="auto"/>
        </w:rPr>
      </w:pPr>
    </w:p>
    <w:p>
      <w:pPr>
        <w:jc w:val="both"/>
        <w:ind w:left="1680" w:right="139" w:hanging="459"/>
        <w:spacing w:after="0" w:line="218" w:lineRule="auto"/>
        <w:tabs>
          <w:tab w:leader="none" w:pos="1680"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Retirement</w:t>
      </w:r>
      <w:r>
        <w:rPr>
          <w:rFonts w:ascii="Arial" w:cs="Arial" w:eastAsia="Arial" w:hAnsi="Arial"/>
          <w:sz w:val="21"/>
          <w:szCs w:val="21"/>
          <w:color w:val="auto"/>
        </w:rPr>
        <w:t>. Executive’s termination of employment under this Plan by reason of retirement shall be treated as a voluntary termination by Executive pursuant to, and subject to the requirements of, Section 4(B)(a) above.</w:t>
      </w:r>
    </w:p>
    <w:p>
      <w:pPr>
        <w:spacing w:after="0" w:line="135" w:lineRule="exact"/>
        <w:rPr>
          <w:sz w:val="20"/>
          <w:szCs w:val="20"/>
          <w:color w:val="auto"/>
        </w:rPr>
      </w:pPr>
    </w:p>
    <w:p>
      <w:pPr>
        <w:ind w:left="620" w:hanging="473"/>
        <w:spacing w:after="0"/>
        <w:tabs>
          <w:tab w:leader="none" w:pos="620" w:val="left"/>
        </w:tabs>
        <w:numPr>
          <w:ilvl w:val="0"/>
          <w:numId w:val="21"/>
        </w:numPr>
        <w:rPr>
          <w:rFonts w:ascii="Arial" w:cs="Arial" w:eastAsia="Arial" w:hAnsi="Arial"/>
          <w:sz w:val="21"/>
          <w:szCs w:val="21"/>
          <w:b w:val="1"/>
          <w:bCs w:val="1"/>
          <w:color w:val="auto"/>
        </w:rPr>
      </w:pPr>
      <w:r>
        <w:rPr>
          <w:rFonts w:ascii="Arial" w:cs="Arial" w:eastAsia="Arial" w:hAnsi="Arial"/>
          <w:sz w:val="21"/>
          <w:szCs w:val="21"/>
          <w:b w:val="1"/>
          <w:bCs w:val="1"/>
          <w:color w:val="auto"/>
        </w:rPr>
        <w:t>Amount of Severance Benefit</w:t>
      </w:r>
    </w:p>
    <w:p>
      <w:pPr>
        <w:jc w:val="both"/>
        <w:ind w:left="160" w:right="139" w:hanging="8"/>
        <w:spacing w:after="0" w:line="213" w:lineRule="auto"/>
        <w:rPr>
          <w:sz w:val="20"/>
          <w:szCs w:val="20"/>
          <w:color w:val="auto"/>
        </w:rPr>
      </w:pPr>
      <w:r>
        <w:rPr>
          <w:rFonts w:ascii="Arial" w:cs="Arial" w:eastAsia="Arial" w:hAnsi="Arial"/>
          <w:sz w:val="21"/>
          <w:szCs w:val="21"/>
          <w:color w:val="auto"/>
        </w:rPr>
        <w:t>The Severance Benefit is the amount described in the chart below based on the Executive’s position with the Company at the time of the Executive’s termination of employment. The Base Salary Amount shall be paid in a lump sum within sixty (60) days following the Executive’s termination of employment. The Severance Benefit is contingent on the Executive executing and not revoking the Release called by for Section 9.</w:t>
      </w:r>
    </w:p>
    <w:p>
      <w:pPr>
        <w:spacing w:after="0" w:line="383" w:lineRule="exact"/>
        <w:rPr>
          <w:sz w:val="20"/>
          <w:szCs w:val="20"/>
          <w:color w:val="auto"/>
        </w:rPr>
      </w:pPr>
    </w:p>
    <w:tbl>
      <w:tblPr>
        <w:tblLayout w:type="fixed"/>
        <w:tblInd w:w="170" w:type="dxa"/>
        <w:tblCellMar>
          <w:top w:w="0" w:type="dxa"/>
          <w:left w:w="0" w:type="dxa"/>
          <w:bottom w:w="0" w:type="dxa"/>
          <w:right w:w="0" w:type="dxa"/>
        </w:tblCellMar>
      </w:tblPr>
      <w:tr>
        <w:trPr>
          <w:trHeight w:val="287"/>
        </w:trPr>
        <w:tc>
          <w:tcPr>
            <w:tcW w:w="30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1"/>
                <w:szCs w:val="21"/>
                <w:b w:val="1"/>
                <w:bCs w:val="1"/>
                <w:color w:val="auto"/>
              </w:rPr>
              <w:t>Position</w:t>
            </w:r>
          </w:p>
        </w:tc>
        <w:tc>
          <w:tcPr>
            <w:tcW w:w="566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21"/>
                <w:szCs w:val="21"/>
                <w:b w:val="1"/>
                <w:bCs w:val="1"/>
                <w:color w:val="auto"/>
              </w:rPr>
              <w:t>Severance Benefit</w:t>
            </w:r>
          </w:p>
        </w:tc>
      </w:tr>
      <w:tr>
        <w:trPr>
          <w:trHeight w:val="144"/>
        </w:trPr>
        <w:tc>
          <w:tcPr>
            <w:tcW w:w="3000" w:type="dxa"/>
            <w:vAlign w:val="bottom"/>
            <w:tcBorders>
              <w:left w:val="single" w:sz="8" w:color="auto"/>
              <w:bottom w:val="single" w:sz="8" w:color="auto"/>
              <w:right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260" w:type="dxa"/>
            <w:vAlign w:val="bottom"/>
            <w:tcBorders>
              <w:bottom w:val="single" w:sz="8" w:color="auto"/>
              <w:right w:val="single" w:sz="8" w:color="auto"/>
            </w:tcBorders>
          </w:tcPr>
          <w:p>
            <w:pPr>
              <w:spacing w:after="0"/>
              <w:rPr>
                <w:sz w:val="12"/>
                <w:szCs w:val="12"/>
                <w:color w:val="auto"/>
              </w:rPr>
            </w:pPr>
          </w:p>
        </w:tc>
      </w:tr>
      <w:tr>
        <w:trPr>
          <w:trHeight w:val="166"/>
        </w:trPr>
        <w:tc>
          <w:tcPr>
            <w:tcW w:w="3000" w:type="dxa"/>
            <w:vAlign w:val="bottom"/>
            <w:tcBorders>
              <w:left w:val="single" w:sz="8" w:color="auto"/>
              <w:right w:val="single" w:sz="8" w:color="auto"/>
            </w:tcBorders>
          </w:tcPr>
          <w:p>
            <w:pPr>
              <w:ind w:left="120"/>
              <w:spacing w:after="0" w:line="165" w:lineRule="exact"/>
              <w:rPr>
                <w:sz w:val="20"/>
                <w:szCs w:val="20"/>
                <w:color w:val="auto"/>
              </w:rPr>
            </w:pPr>
            <w:r>
              <w:rPr>
                <w:rFonts w:ascii="Arial" w:cs="Arial" w:eastAsia="Arial" w:hAnsi="Arial"/>
                <w:sz w:val="19"/>
                <w:szCs w:val="19"/>
                <w:color w:val="auto"/>
              </w:rPr>
              <w:t>Chief Executive Officer</w:t>
            </w:r>
          </w:p>
        </w:tc>
        <w:tc>
          <w:tcPr>
            <w:tcW w:w="400" w:type="dxa"/>
            <w:vAlign w:val="bottom"/>
          </w:tcPr>
          <w:p>
            <w:pPr>
              <w:ind w:left="100"/>
              <w:spacing w:after="0" w:line="165" w:lineRule="exact"/>
              <w:rPr>
                <w:sz w:val="20"/>
                <w:szCs w:val="20"/>
                <w:color w:val="auto"/>
              </w:rPr>
            </w:pPr>
            <w:r>
              <w:rPr>
                <w:rFonts w:ascii="Arial" w:cs="Arial" w:eastAsia="Arial" w:hAnsi="Arial"/>
                <w:sz w:val="19"/>
                <w:szCs w:val="19"/>
                <w:color w:val="auto"/>
              </w:rPr>
              <w:t>2.0</w:t>
            </w:r>
          </w:p>
        </w:tc>
        <w:tc>
          <w:tcPr>
            <w:tcW w:w="5260" w:type="dxa"/>
            <w:vAlign w:val="bottom"/>
            <w:tcBorders>
              <w:right w:val="single" w:sz="8" w:color="auto"/>
            </w:tcBorders>
          </w:tcPr>
          <w:p>
            <w:pPr>
              <w:ind w:left="20"/>
              <w:spacing w:after="0" w:line="165" w:lineRule="exact"/>
              <w:rPr>
                <w:sz w:val="20"/>
                <w:szCs w:val="20"/>
                <w:color w:val="auto"/>
              </w:rPr>
            </w:pPr>
            <w:r>
              <w:rPr>
                <w:rFonts w:ascii="Arial" w:cs="Arial" w:eastAsia="Arial" w:hAnsi="Arial"/>
                <w:sz w:val="19"/>
                <w:szCs w:val="19"/>
                <w:color w:val="auto"/>
              </w:rPr>
              <w:t>times Base Salary Amount, plus the Health Care Severance</w:t>
            </w:r>
          </w:p>
        </w:tc>
      </w:tr>
      <w:tr>
        <w:trPr>
          <w:trHeight w:val="264"/>
        </w:trPr>
        <w:tc>
          <w:tcPr>
            <w:tcW w:w="3000" w:type="dxa"/>
            <w:vAlign w:val="bottom"/>
            <w:tcBorders>
              <w:left w:val="single" w:sz="8" w:color="auto"/>
              <w:right w:val="single" w:sz="8" w:color="auto"/>
            </w:tcBorders>
          </w:tcPr>
          <w:p>
            <w:pPr>
              <w:spacing w:after="0"/>
              <w:rPr>
                <w:sz w:val="22"/>
                <w:szCs w:val="22"/>
                <w:color w:val="auto"/>
              </w:rPr>
            </w:pPr>
          </w:p>
        </w:tc>
        <w:tc>
          <w:tcPr>
            <w:tcW w:w="5660" w:type="dxa"/>
            <w:vAlign w:val="bottom"/>
            <w:tcBorders>
              <w:right w:val="single" w:sz="8" w:color="auto"/>
            </w:tcBorders>
            <w:gridSpan w:val="2"/>
          </w:tcPr>
          <w:p>
            <w:pPr>
              <w:ind w:left="100"/>
              <w:spacing w:after="0"/>
              <w:rPr>
                <w:sz w:val="20"/>
                <w:szCs w:val="20"/>
                <w:color w:val="auto"/>
              </w:rPr>
            </w:pPr>
            <w:r>
              <w:rPr>
                <w:rFonts w:ascii="Arial" w:cs="Arial" w:eastAsia="Arial" w:hAnsi="Arial"/>
                <w:sz w:val="21"/>
                <w:szCs w:val="21"/>
                <w:color w:val="auto"/>
              </w:rPr>
              <w:t>Benefit, plus the Incentive Payment.</w:t>
            </w:r>
          </w:p>
        </w:tc>
      </w:tr>
      <w:tr>
        <w:trPr>
          <w:trHeight w:val="184"/>
        </w:trPr>
        <w:tc>
          <w:tcPr>
            <w:tcW w:w="3000" w:type="dxa"/>
            <w:vAlign w:val="bottom"/>
            <w:tcBorders>
              <w:left w:val="single" w:sz="8" w:color="auto"/>
              <w:bottom w:val="single" w:sz="8" w:color="auto"/>
              <w:right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260" w:type="dxa"/>
            <w:vAlign w:val="bottom"/>
            <w:tcBorders>
              <w:bottom w:val="single" w:sz="8" w:color="auto"/>
              <w:right w:val="single" w:sz="8" w:color="auto"/>
            </w:tcBorders>
          </w:tcPr>
          <w:p>
            <w:pPr>
              <w:spacing w:after="0"/>
              <w:rPr>
                <w:sz w:val="15"/>
                <w:szCs w:val="15"/>
                <w:color w:val="auto"/>
              </w:rPr>
            </w:pPr>
          </w:p>
        </w:tc>
      </w:tr>
      <w:tr>
        <w:trPr>
          <w:trHeight w:val="166"/>
        </w:trPr>
        <w:tc>
          <w:tcPr>
            <w:tcW w:w="3000" w:type="dxa"/>
            <w:vAlign w:val="bottom"/>
            <w:tcBorders>
              <w:left w:val="single" w:sz="8" w:color="auto"/>
              <w:right w:val="single" w:sz="8" w:color="auto"/>
            </w:tcBorders>
          </w:tcPr>
          <w:p>
            <w:pPr>
              <w:ind w:left="120"/>
              <w:spacing w:after="0" w:line="165" w:lineRule="exact"/>
              <w:rPr>
                <w:sz w:val="20"/>
                <w:szCs w:val="20"/>
                <w:color w:val="auto"/>
              </w:rPr>
            </w:pPr>
            <w:r>
              <w:rPr>
                <w:rFonts w:ascii="Arial" w:cs="Arial" w:eastAsia="Arial" w:hAnsi="Arial"/>
                <w:sz w:val="19"/>
                <w:szCs w:val="19"/>
                <w:color w:val="auto"/>
              </w:rPr>
              <w:t>Senior Vice President</w:t>
            </w:r>
          </w:p>
        </w:tc>
        <w:tc>
          <w:tcPr>
            <w:tcW w:w="400" w:type="dxa"/>
            <w:vAlign w:val="bottom"/>
          </w:tcPr>
          <w:p>
            <w:pPr>
              <w:ind w:left="100"/>
              <w:spacing w:after="0" w:line="165" w:lineRule="exact"/>
              <w:rPr>
                <w:sz w:val="20"/>
                <w:szCs w:val="20"/>
                <w:color w:val="auto"/>
              </w:rPr>
            </w:pPr>
            <w:r>
              <w:rPr>
                <w:rFonts w:ascii="Arial" w:cs="Arial" w:eastAsia="Arial" w:hAnsi="Arial"/>
                <w:sz w:val="19"/>
                <w:szCs w:val="19"/>
                <w:color w:val="auto"/>
              </w:rPr>
              <w:t>1.0</w:t>
            </w:r>
          </w:p>
        </w:tc>
        <w:tc>
          <w:tcPr>
            <w:tcW w:w="5260" w:type="dxa"/>
            <w:vAlign w:val="bottom"/>
            <w:tcBorders>
              <w:right w:val="single" w:sz="8" w:color="auto"/>
            </w:tcBorders>
          </w:tcPr>
          <w:p>
            <w:pPr>
              <w:ind w:left="20"/>
              <w:spacing w:after="0" w:line="165" w:lineRule="exact"/>
              <w:rPr>
                <w:sz w:val="20"/>
                <w:szCs w:val="20"/>
                <w:color w:val="auto"/>
              </w:rPr>
            </w:pPr>
            <w:r>
              <w:rPr>
                <w:rFonts w:ascii="Arial" w:cs="Arial" w:eastAsia="Arial" w:hAnsi="Arial"/>
                <w:sz w:val="19"/>
                <w:szCs w:val="19"/>
                <w:color w:val="auto"/>
              </w:rPr>
              <w:t>times Base Salary Amount, plus the Health Care Severance</w:t>
            </w:r>
          </w:p>
        </w:tc>
      </w:tr>
      <w:tr>
        <w:trPr>
          <w:trHeight w:val="264"/>
        </w:trPr>
        <w:tc>
          <w:tcPr>
            <w:tcW w:w="3000" w:type="dxa"/>
            <w:vAlign w:val="bottom"/>
            <w:tcBorders>
              <w:left w:val="single" w:sz="8" w:color="auto"/>
              <w:right w:val="single" w:sz="8" w:color="auto"/>
            </w:tcBorders>
          </w:tcPr>
          <w:p>
            <w:pPr>
              <w:spacing w:after="0"/>
              <w:rPr>
                <w:sz w:val="22"/>
                <w:szCs w:val="22"/>
                <w:color w:val="auto"/>
              </w:rPr>
            </w:pPr>
          </w:p>
        </w:tc>
        <w:tc>
          <w:tcPr>
            <w:tcW w:w="5660" w:type="dxa"/>
            <w:vAlign w:val="bottom"/>
            <w:tcBorders>
              <w:right w:val="single" w:sz="8" w:color="auto"/>
            </w:tcBorders>
            <w:gridSpan w:val="2"/>
          </w:tcPr>
          <w:p>
            <w:pPr>
              <w:ind w:left="100"/>
              <w:spacing w:after="0"/>
              <w:rPr>
                <w:sz w:val="20"/>
                <w:szCs w:val="20"/>
                <w:color w:val="auto"/>
              </w:rPr>
            </w:pPr>
            <w:r>
              <w:rPr>
                <w:rFonts w:ascii="Arial" w:cs="Arial" w:eastAsia="Arial" w:hAnsi="Arial"/>
                <w:sz w:val="21"/>
                <w:szCs w:val="21"/>
                <w:color w:val="auto"/>
              </w:rPr>
              <w:t>Benefit, plus the Incentive Payment.</w:t>
            </w:r>
          </w:p>
        </w:tc>
      </w:tr>
      <w:tr>
        <w:trPr>
          <w:trHeight w:val="184"/>
        </w:trPr>
        <w:tc>
          <w:tcPr>
            <w:tcW w:w="3000" w:type="dxa"/>
            <w:vAlign w:val="bottom"/>
            <w:tcBorders>
              <w:left w:val="single" w:sz="8" w:color="auto"/>
              <w:bottom w:val="single" w:sz="8" w:color="auto"/>
              <w:right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26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357" w:lineRule="exact"/>
        <w:rPr>
          <w:sz w:val="20"/>
          <w:szCs w:val="20"/>
          <w:color w:val="auto"/>
        </w:rPr>
      </w:pPr>
    </w:p>
    <w:p>
      <w:pPr>
        <w:ind w:left="620" w:hanging="473"/>
        <w:spacing w:after="0"/>
        <w:tabs>
          <w:tab w:leader="none" w:pos="620" w:val="left"/>
        </w:tabs>
        <w:numPr>
          <w:ilvl w:val="0"/>
          <w:numId w:val="22"/>
        </w:numPr>
        <w:rPr>
          <w:rFonts w:ascii="Arial" w:cs="Arial" w:eastAsia="Arial" w:hAnsi="Arial"/>
          <w:sz w:val="21"/>
          <w:szCs w:val="21"/>
          <w:b w:val="1"/>
          <w:bCs w:val="1"/>
          <w:color w:val="auto"/>
        </w:rPr>
      </w:pPr>
      <w:r>
        <w:rPr>
          <w:rFonts w:ascii="Arial" w:cs="Arial" w:eastAsia="Arial" w:hAnsi="Arial"/>
          <w:sz w:val="21"/>
          <w:szCs w:val="21"/>
          <w:b w:val="1"/>
          <w:bCs w:val="1"/>
          <w:color w:val="auto"/>
        </w:rPr>
        <w:t>Section 409A and Cash in Lieu of Benefits</w:t>
      </w:r>
    </w:p>
    <w:p>
      <w:pPr>
        <w:jc w:val="both"/>
        <w:ind w:left="1240" w:right="139" w:hanging="627"/>
        <w:spacing w:after="0" w:line="205" w:lineRule="auto"/>
        <w:tabs>
          <w:tab w:leader="none" w:pos="1240" w:val="left"/>
        </w:tabs>
        <w:numPr>
          <w:ilvl w:val="1"/>
          <w:numId w:val="22"/>
        </w:numPr>
        <w:rPr>
          <w:rFonts w:ascii="Arial" w:cs="Arial" w:eastAsia="Arial" w:hAnsi="Arial"/>
          <w:sz w:val="21"/>
          <w:szCs w:val="21"/>
          <w:color w:val="auto"/>
        </w:rPr>
      </w:pPr>
      <w:r>
        <w:rPr>
          <w:rFonts w:ascii="Arial" w:cs="Arial" w:eastAsia="Arial" w:hAnsi="Arial"/>
          <w:sz w:val="21"/>
          <w:szCs w:val="21"/>
          <w:u w:val="single" w:color="auto"/>
          <w:color w:val="auto"/>
        </w:rPr>
        <w:t>Intent to Comply With Section 409A</w:t>
      </w:r>
      <w:r>
        <w:rPr>
          <w:rFonts w:ascii="Arial" w:cs="Arial" w:eastAsia="Arial" w:hAnsi="Arial"/>
          <w:sz w:val="21"/>
          <w:szCs w:val="21"/>
          <w:color w:val="auto"/>
        </w:rPr>
        <w:t>. This Plan shall be administered in accordance with Section 409A of the Code, or an exception thereto, and each provision of the Plan shall be interpreted, to the extent possible, to comply with Section 409A of the Code or an exception thereto.</w:t>
      </w:r>
    </w:p>
    <w:p>
      <w:pPr>
        <w:spacing w:after="0" w:line="2" w:lineRule="exact"/>
        <w:rPr>
          <w:rFonts w:ascii="Arial" w:cs="Arial" w:eastAsia="Arial" w:hAnsi="Arial"/>
          <w:sz w:val="21"/>
          <w:szCs w:val="21"/>
          <w:color w:val="auto"/>
        </w:rPr>
      </w:pPr>
    </w:p>
    <w:p>
      <w:pPr>
        <w:ind w:left="1240" w:right="139" w:hanging="627"/>
        <w:spacing w:after="0" w:line="236" w:lineRule="auto"/>
        <w:tabs>
          <w:tab w:leader="none" w:pos="1240" w:val="left"/>
        </w:tabs>
        <w:numPr>
          <w:ilvl w:val="1"/>
          <w:numId w:val="22"/>
        </w:numPr>
        <w:rPr>
          <w:rFonts w:ascii="Arial" w:cs="Arial" w:eastAsia="Arial" w:hAnsi="Arial"/>
          <w:sz w:val="20"/>
          <w:szCs w:val="20"/>
          <w:color w:val="auto"/>
        </w:rPr>
      </w:pPr>
      <w:r>
        <w:rPr>
          <w:rFonts w:ascii="Arial" w:cs="Arial" w:eastAsia="Arial" w:hAnsi="Arial"/>
          <w:sz w:val="20"/>
          <w:szCs w:val="20"/>
          <w:u w:val="single" w:color="auto"/>
          <w:color w:val="auto"/>
        </w:rPr>
        <w:t>Separation From Service</w:t>
      </w:r>
      <w:r>
        <w:rPr>
          <w:rFonts w:ascii="Arial" w:cs="Arial" w:eastAsia="Arial" w:hAnsi="Arial"/>
          <w:sz w:val="20"/>
          <w:szCs w:val="20"/>
          <w:color w:val="auto"/>
        </w:rPr>
        <w:t>. Except as otherwise expressly provided, references in this Plan to Executive’s termination of employment, termination date, and similar terms</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65405</wp:posOffset>
            </wp:positionV>
            <wp:extent cx="5544185" cy="2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44185" cy="24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240"/>
        <w:spacing w:after="0"/>
        <w:rPr>
          <w:rFonts w:ascii="Arial" w:cs="Arial" w:eastAsia="Arial" w:hAnsi="Arial"/>
          <w:sz w:val="21"/>
          <w:szCs w:val="21"/>
          <w:b w:val="1"/>
          <w:bCs w:val="1"/>
          <w:u w:val="single" w:color="auto"/>
          <w:color w:val="0563C1"/>
        </w:rPr>
      </w:pPr>
      <w:hyperlink w:anchor="page2">
        <w:r>
          <w:rPr>
            <w:rFonts w:ascii="Arial" w:cs="Arial" w:eastAsia="Arial" w:hAnsi="Arial"/>
            <w:sz w:val="21"/>
            <w:szCs w:val="21"/>
            <w:b w:val="1"/>
            <w:bCs w:val="1"/>
            <w:u w:val="single" w:color="auto"/>
            <w:color w:val="0563C1"/>
          </w:rPr>
          <w:t>Table of Contents</w:t>
        </w:r>
      </w:hyperlink>
    </w:p>
    <w:p>
      <w:pPr>
        <w:spacing w:after="0" w:line="112" w:lineRule="exact"/>
        <w:rPr>
          <w:sz w:val="20"/>
          <w:szCs w:val="20"/>
          <w:color w:val="auto"/>
        </w:rPr>
      </w:pPr>
    </w:p>
    <w:p>
      <w:pPr>
        <w:jc w:val="both"/>
        <w:ind w:left="1240" w:right="159"/>
        <w:spacing w:after="0" w:line="211" w:lineRule="auto"/>
        <w:rPr>
          <w:sz w:val="20"/>
          <w:szCs w:val="20"/>
          <w:color w:val="auto"/>
        </w:rPr>
      </w:pPr>
      <w:r>
        <w:rPr>
          <w:rFonts w:ascii="Arial" w:cs="Arial" w:eastAsia="Arial" w:hAnsi="Arial"/>
          <w:sz w:val="21"/>
          <w:szCs w:val="21"/>
          <w:color w:val="auto"/>
        </w:rPr>
        <w:t>related to Executive’s termination of employment or separation from service shall refer to the date of Executive’s “separation from service” within the meaning of Section 409A(a)(2) (A)(i) of the Code, as determined by the Company.</w:t>
      </w:r>
    </w:p>
    <w:p>
      <w:pPr>
        <w:spacing w:after="0" w:line="2" w:lineRule="exact"/>
        <w:rPr>
          <w:sz w:val="20"/>
          <w:szCs w:val="20"/>
          <w:color w:val="auto"/>
        </w:rPr>
      </w:pPr>
    </w:p>
    <w:p>
      <w:pPr>
        <w:jc w:val="both"/>
        <w:ind w:left="1240" w:right="139" w:hanging="627"/>
        <w:spacing w:after="0" w:line="239" w:lineRule="auto"/>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Six-Month Delay Rule</w:t>
      </w:r>
      <w:r>
        <w:rPr>
          <w:rFonts w:ascii="Arial" w:cs="Arial" w:eastAsia="Arial" w:hAnsi="Arial"/>
          <w:sz w:val="18"/>
          <w:szCs w:val="18"/>
          <w:color w:val="auto"/>
        </w:rPr>
        <w:t>. If, as of Executive’s termination date, Executive is a “specified employee” (as determined by the Company in accordance with its guidelines established pursuant to Treas. Reg. § 1.409A-1(i)), any amount payable to Executive upon or by reason of his/her termination of employment (including expense reimbursements and in-kind benefits that are includible in income) shall be subject to the six (6) month delay required by Section 409A(a)(2)(B)(i) of the Code; provided, however, that such six (6) month delay shall not be required with respect to any payment that the Company determines is not subject to Section 409A by reason of the “short-term deferral” rule described in Treas. Reg. § 1.409A-1(b)(4), the “two-year, two-time” rule described in Treas. Reg. § 1.409A-1(b)(9) (iii), or any other exemption. If payment of any amount is delayed by reason of this six (6) month delay, such amount shall be paid with interest on the Company’s first pay date for the seventh (7th) month that starts after Executive’s termination date (or, if earlier, within 90 days after Executive’s death). Except as otherwise provided in a governing document for an applicable benefit plan, program, or other arrangement, interest shall be calculated using the prime rate of interest in effect at Bank of America, N.A. (or another bank designated by the Company that is one of its principal banks) on Executive’s termination date.</w:t>
      </w:r>
    </w:p>
    <w:p>
      <w:pPr>
        <w:spacing w:after="0" w:line="13" w:lineRule="exact"/>
        <w:rPr>
          <w:rFonts w:ascii="Arial" w:cs="Arial" w:eastAsia="Arial" w:hAnsi="Arial"/>
          <w:sz w:val="18"/>
          <w:szCs w:val="18"/>
          <w:color w:val="auto"/>
        </w:rPr>
      </w:pPr>
    </w:p>
    <w:p>
      <w:pPr>
        <w:jc w:val="both"/>
        <w:ind w:left="1240" w:right="139" w:hanging="627"/>
        <w:spacing w:after="0" w:line="205" w:lineRule="auto"/>
        <w:tabs>
          <w:tab w:leader="none" w:pos="1240"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Installments Treated as Separate Payments</w:t>
      </w:r>
      <w:r>
        <w:rPr>
          <w:rFonts w:ascii="Arial" w:cs="Arial" w:eastAsia="Arial" w:hAnsi="Arial"/>
          <w:sz w:val="21"/>
          <w:szCs w:val="21"/>
          <w:color w:val="auto"/>
        </w:rPr>
        <w:t>. For purposes of Section 409A of the Code, except as otherwise expressly provided, each installment of payments and benefits due under this Plan shall be treated as a separate payment.</w:t>
      </w:r>
    </w:p>
    <w:p>
      <w:pPr>
        <w:spacing w:after="0" w:line="2" w:lineRule="exact"/>
        <w:rPr>
          <w:rFonts w:ascii="Arial" w:cs="Arial" w:eastAsia="Arial" w:hAnsi="Arial"/>
          <w:sz w:val="21"/>
          <w:szCs w:val="21"/>
          <w:color w:val="auto"/>
        </w:rPr>
      </w:pPr>
    </w:p>
    <w:p>
      <w:pPr>
        <w:jc w:val="both"/>
        <w:ind w:left="1240" w:right="139" w:hanging="627"/>
        <w:spacing w:after="0" w:line="215" w:lineRule="auto"/>
        <w:tabs>
          <w:tab w:leader="none" w:pos="124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Payment Date</w:t>
      </w:r>
      <w:r>
        <w:rPr>
          <w:rFonts w:ascii="Arial" w:cs="Arial" w:eastAsia="Arial" w:hAnsi="Arial"/>
          <w:sz w:val="20"/>
          <w:szCs w:val="20"/>
          <w:color w:val="auto"/>
        </w:rPr>
        <w:t>. To the extent that any payment under this Plan may be made during a payment window, the date of payment shall be determined by the Company, in its sole discretion, and not by Executive or any other individual entitled to receive the payment. If the Release consideration period plus any applicable revocation period spans two calendar years, any Severance Benefits that are subject to Section 409A shall be paid in the second calendar year. No Executive has any right to make any election regarding the time or form of any payment due under this Plan.</w:t>
      </w:r>
    </w:p>
    <w:p>
      <w:pPr>
        <w:spacing w:after="0" w:line="6" w:lineRule="exact"/>
        <w:rPr>
          <w:rFonts w:ascii="Arial" w:cs="Arial" w:eastAsia="Arial" w:hAnsi="Arial"/>
          <w:sz w:val="20"/>
          <w:szCs w:val="20"/>
          <w:color w:val="auto"/>
        </w:rPr>
      </w:pPr>
    </w:p>
    <w:p>
      <w:pPr>
        <w:ind w:left="1240" w:hanging="627"/>
        <w:spacing w:after="0" w:line="227" w:lineRule="auto"/>
        <w:tabs>
          <w:tab w:leader="none" w:pos="124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Expense  Reimbursements  and  In-Kind  Benefits</w:t>
      </w:r>
      <w:r>
        <w:rPr>
          <w:rFonts w:ascii="Arial" w:cs="Arial" w:eastAsia="Arial" w:hAnsi="Arial"/>
          <w:sz w:val="19"/>
          <w:szCs w:val="19"/>
          <w:color w:val="auto"/>
        </w:rPr>
        <w:t>.   To  the  extent  that  any  expense</w:t>
      </w:r>
    </w:p>
    <w:p>
      <w:pPr>
        <w:jc w:val="both"/>
        <w:ind w:left="1240" w:right="139"/>
        <w:spacing w:after="0" w:line="205" w:lineRule="auto"/>
        <w:rPr>
          <w:sz w:val="20"/>
          <w:szCs w:val="20"/>
          <w:color w:val="auto"/>
        </w:rPr>
      </w:pPr>
      <w:r>
        <w:rPr>
          <w:rFonts w:ascii="Arial" w:cs="Arial" w:eastAsia="Arial" w:hAnsi="Arial"/>
          <w:sz w:val="21"/>
          <w:szCs w:val="21"/>
          <w:color w:val="auto"/>
        </w:rPr>
        <w:t>reimbursement or in-kind benefit is subject to Section 409A (</w:t>
      </w:r>
      <w:r>
        <w:rPr>
          <w:rFonts w:ascii="Arial" w:cs="Arial" w:eastAsia="Arial" w:hAnsi="Arial"/>
          <w:sz w:val="21"/>
          <w:szCs w:val="21"/>
          <w:i w:val="1"/>
          <w:iCs w:val="1"/>
          <w:color w:val="auto"/>
        </w:rPr>
        <w:t>e.g.</w:t>
      </w:r>
      <w:r>
        <w:rPr>
          <w:rFonts w:ascii="Arial" w:cs="Arial" w:eastAsia="Arial" w:hAnsi="Arial"/>
          <w:sz w:val="21"/>
          <w:szCs w:val="21"/>
          <w:color w:val="auto"/>
        </w:rPr>
        <w:t>, the expense reimbursement is includible in income and is not required to be paid by the end of the “applicable 2½-month period” described in Treas. Reg. § 1.409A-1(b)(4)(i)(A)), such reimbursement or benefit shall be subject to the conditions set forth in Treas. Reg. § 1.409A-3(i)(1)(iv). Accordingly:</w:t>
      </w:r>
    </w:p>
    <w:p>
      <w:pPr>
        <w:spacing w:after="0" w:line="3" w:lineRule="exact"/>
        <w:rPr>
          <w:sz w:val="20"/>
          <w:szCs w:val="20"/>
          <w:color w:val="auto"/>
        </w:rPr>
      </w:pPr>
    </w:p>
    <w:p>
      <w:pPr>
        <w:jc w:val="both"/>
        <w:ind w:left="1860" w:right="139" w:hanging="626"/>
        <w:spacing w:after="0" w:line="242" w:lineRule="auto"/>
        <w:tabs>
          <w:tab w:leader="none" w:pos="18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amount of such expenses eligible for reimbursement, or in-kind benefits provided, during a taxable year of Executive shall not affect the expenses eligible for reimbursement, or in-kind benefits to be provided, in any other taxable year;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65405</wp:posOffset>
            </wp:positionV>
            <wp:extent cx="554418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44185" cy="1651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240"/>
        <w:spacing w:after="0"/>
        <w:rPr>
          <w:rFonts w:ascii="Arial" w:cs="Arial" w:eastAsia="Arial" w:hAnsi="Arial"/>
          <w:sz w:val="21"/>
          <w:szCs w:val="21"/>
          <w:b w:val="1"/>
          <w:bCs w:val="1"/>
          <w:u w:val="single" w:color="auto"/>
          <w:color w:val="0563C1"/>
        </w:rPr>
      </w:pPr>
      <w:hyperlink w:anchor="page2">
        <w:r>
          <w:rPr>
            <w:rFonts w:ascii="Arial" w:cs="Arial" w:eastAsia="Arial" w:hAnsi="Arial"/>
            <w:sz w:val="21"/>
            <w:szCs w:val="21"/>
            <w:b w:val="1"/>
            <w:bCs w:val="1"/>
            <w:u w:val="single" w:color="auto"/>
            <w:color w:val="0563C1"/>
          </w:rPr>
          <w:t>Table of Contents</w:t>
        </w:r>
      </w:hyperlink>
    </w:p>
    <w:p>
      <w:pPr>
        <w:spacing w:after="0" w:line="164" w:lineRule="exact"/>
        <w:rPr>
          <w:sz w:val="20"/>
          <w:szCs w:val="20"/>
          <w:color w:val="auto"/>
        </w:rPr>
      </w:pPr>
    </w:p>
    <w:p>
      <w:pPr>
        <w:jc w:val="both"/>
        <w:ind w:left="1860" w:right="139" w:hanging="626"/>
        <w:spacing w:after="0" w:line="224" w:lineRule="auto"/>
        <w:tabs>
          <w:tab w:leader="none" w:pos="1860" w:val="left"/>
        </w:tabs>
        <w:numPr>
          <w:ilvl w:val="1"/>
          <w:numId w:val="25"/>
        </w:numPr>
        <w:rPr>
          <w:rFonts w:ascii="Arial" w:cs="Arial" w:eastAsia="Arial" w:hAnsi="Arial"/>
          <w:sz w:val="21"/>
          <w:szCs w:val="21"/>
          <w:color w:val="auto"/>
        </w:rPr>
      </w:pPr>
      <w:r>
        <w:rPr>
          <w:rFonts w:ascii="Arial" w:cs="Arial" w:eastAsia="Arial" w:hAnsi="Arial"/>
          <w:sz w:val="21"/>
          <w:szCs w:val="21"/>
          <w:color w:val="auto"/>
        </w:rPr>
        <w:t>The reimbursement of each such expense shall be paid no later than the last day of Executive’s taxable year next following the taxable year in which the expense was incurred; and</w:t>
      </w:r>
    </w:p>
    <w:p>
      <w:pPr>
        <w:spacing w:after="0" w:line="151" w:lineRule="exact"/>
        <w:rPr>
          <w:rFonts w:ascii="Arial" w:cs="Arial" w:eastAsia="Arial" w:hAnsi="Arial"/>
          <w:sz w:val="21"/>
          <w:szCs w:val="21"/>
          <w:color w:val="auto"/>
        </w:rPr>
      </w:pPr>
    </w:p>
    <w:p>
      <w:pPr>
        <w:ind w:left="1860" w:right="139" w:hanging="626"/>
        <w:spacing w:after="0" w:line="234" w:lineRule="auto"/>
        <w:tabs>
          <w:tab w:leader="none" w:pos="1860" w:val="left"/>
        </w:tabs>
        <w:numPr>
          <w:ilvl w:val="1"/>
          <w:numId w:val="25"/>
        </w:numPr>
        <w:rPr>
          <w:rFonts w:ascii="Arial" w:cs="Arial" w:eastAsia="Arial" w:hAnsi="Arial"/>
          <w:sz w:val="21"/>
          <w:szCs w:val="21"/>
          <w:color w:val="auto"/>
        </w:rPr>
      </w:pPr>
      <w:r>
        <w:rPr>
          <w:rFonts w:ascii="Arial" w:cs="Arial" w:eastAsia="Arial" w:hAnsi="Arial"/>
          <w:sz w:val="21"/>
          <w:szCs w:val="21"/>
          <w:color w:val="auto"/>
        </w:rPr>
        <w:t>The right to reimbursement or in-kind benefits shall not be subject to liquidation or exchange for another benefit.</w:t>
      </w:r>
    </w:p>
    <w:p>
      <w:pPr>
        <w:spacing w:after="0" w:line="149" w:lineRule="exact"/>
        <w:rPr>
          <w:rFonts w:ascii="Arial" w:cs="Arial" w:eastAsia="Arial" w:hAnsi="Arial"/>
          <w:sz w:val="21"/>
          <w:szCs w:val="21"/>
          <w:color w:val="auto"/>
        </w:rPr>
      </w:pPr>
    </w:p>
    <w:p>
      <w:pPr>
        <w:jc w:val="both"/>
        <w:ind w:left="1240" w:right="139" w:hanging="627"/>
        <w:spacing w:after="0" w:line="219" w:lineRule="auto"/>
        <w:tabs>
          <w:tab w:leader="none" w:pos="1240"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Limited Indemnity for Company Error</w:t>
      </w:r>
      <w:r>
        <w:rPr>
          <w:rFonts w:ascii="Arial" w:cs="Arial" w:eastAsia="Arial" w:hAnsi="Arial"/>
          <w:sz w:val="20"/>
          <w:szCs w:val="20"/>
          <w:color w:val="auto"/>
        </w:rPr>
        <w:t>. If (and only if) Executive becomes subject to adverse tax consequences under Section 409A of the Code as a result of (a) the Company’s failure to administer this Plan in accordance with its terms; (b) the Company’s failure to administer any “nonqualified deferred compensation plan” (within the meaning of Section 409A of the Code) other than this Plan in accordance with its terms or the requirements of Section 409A; or (c) the Company’s failure to satisfy the Section 409A document requirements for any nonqualified deferred compensation plan other than this Plan, the Company shall pay to Executive an amount such that after all required income and employment tax withholding, the net amount paid to Executive is equal to the tax imposed under Section 409A of the Code as a result of the applicable error. Such amount shall be calculated by a certified public accounting firm selected and paid by the Company (the “Accounting Firm”), and shall be paid no later than the last day of Executive’s taxable year next following the taxable year in which Executive remits the applicable taxes to the U.S. Treasury. Any determination by the Accounting Firm shall be binding upon the Company and Executive.</w:t>
      </w:r>
    </w:p>
    <w:p>
      <w:pPr>
        <w:spacing w:after="0" w:line="147" w:lineRule="exact"/>
        <w:rPr>
          <w:sz w:val="20"/>
          <w:szCs w:val="20"/>
          <w:color w:val="auto"/>
        </w:rPr>
      </w:pPr>
    </w:p>
    <w:p>
      <w:pPr>
        <w:ind w:left="620" w:hanging="473"/>
        <w:spacing w:after="0"/>
        <w:tabs>
          <w:tab w:leader="none" w:pos="620" w:val="left"/>
        </w:tabs>
        <w:numPr>
          <w:ilvl w:val="0"/>
          <w:numId w:val="27"/>
        </w:numPr>
        <w:rPr>
          <w:rFonts w:ascii="Arial" w:cs="Arial" w:eastAsia="Arial" w:hAnsi="Arial"/>
          <w:sz w:val="21"/>
          <w:szCs w:val="21"/>
          <w:b w:val="1"/>
          <w:bCs w:val="1"/>
          <w:color w:val="auto"/>
        </w:rPr>
      </w:pPr>
      <w:r>
        <w:rPr>
          <w:rFonts w:ascii="Arial" w:cs="Arial" w:eastAsia="Arial" w:hAnsi="Arial"/>
          <w:sz w:val="21"/>
          <w:szCs w:val="21"/>
          <w:b w:val="1"/>
          <w:bCs w:val="1"/>
          <w:color w:val="auto"/>
        </w:rPr>
        <w:t>Governing Law</w:t>
      </w:r>
    </w:p>
    <w:p>
      <w:pPr>
        <w:jc w:val="both"/>
        <w:ind w:left="160" w:right="139" w:hanging="8"/>
        <w:spacing w:after="0" w:line="215" w:lineRule="auto"/>
        <w:rPr>
          <w:sz w:val="20"/>
          <w:szCs w:val="20"/>
          <w:color w:val="auto"/>
        </w:rPr>
      </w:pPr>
      <w:r>
        <w:rPr>
          <w:rFonts w:ascii="Arial" w:cs="Arial" w:eastAsia="Arial" w:hAnsi="Arial"/>
          <w:sz w:val="21"/>
          <w:szCs w:val="21"/>
          <w:color w:val="auto"/>
        </w:rPr>
        <w:t>This Plan shall be construed, interpreted and governed by the law of the State of Arizona, without giving effect to Arizona principles regarding conflict of laws. Reference to any provision of the Code or other law shall include all regulations and other guidance of general applicability issued thereunder, and shall be deemed to include any successor provision.</w:t>
      </w:r>
    </w:p>
    <w:p>
      <w:pPr>
        <w:spacing w:after="0" w:line="135" w:lineRule="exact"/>
        <w:rPr>
          <w:sz w:val="20"/>
          <w:szCs w:val="20"/>
          <w:color w:val="auto"/>
        </w:rPr>
      </w:pPr>
    </w:p>
    <w:p>
      <w:pPr>
        <w:ind w:left="620" w:hanging="473"/>
        <w:spacing w:after="0"/>
        <w:tabs>
          <w:tab w:leader="none" w:pos="620" w:val="left"/>
        </w:tabs>
        <w:numPr>
          <w:ilvl w:val="0"/>
          <w:numId w:val="28"/>
        </w:numPr>
        <w:rPr>
          <w:rFonts w:ascii="Arial" w:cs="Arial" w:eastAsia="Arial" w:hAnsi="Arial"/>
          <w:sz w:val="21"/>
          <w:szCs w:val="21"/>
          <w:b w:val="1"/>
          <w:bCs w:val="1"/>
          <w:color w:val="auto"/>
        </w:rPr>
      </w:pPr>
      <w:r>
        <w:rPr>
          <w:rFonts w:ascii="Arial" w:cs="Arial" w:eastAsia="Arial" w:hAnsi="Arial"/>
          <w:sz w:val="21"/>
          <w:szCs w:val="21"/>
          <w:b w:val="1"/>
          <w:bCs w:val="1"/>
          <w:color w:val="auto"/>
        </w:rPr>
        <w:t>Miscellaneous Provisions</w:t>
      </w:r>
    </w:p>
    <w:p>
      <w:pPr>
        <w:jc w:val="both"/>
        <w:ind w:left="1240" w:right="139" w:hanging="627"/>
        <w:spacing w:after="0" w:line="227" w:lineRule="auto"/>
        <w:tabs>
          <w:tab w:leader="none" w:pos="1240"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All amounts payable under this Plan are subject to withholding for all federal, state, and local taxes, and all other amounts relating to tax or other payroll deductions, as the Company may reasonably determine should be withheld. Regardless of the amount withheld, Executive shall be solely responsible for paying all required taxes (other than the Company’s share of employment taxes) on all payments and other compensation (including imputed compensation) and benefits provided under this Plan.</w:t>
      </w:r>
    </w:p>
    <w:p>
      <w:pPr>
        <w:spacing w:after="0" w:line="1" w:lineRule="exact"/>
        <w:rPr>
          <w:rFonts w:ascii="Arial" w:cs="Arial" w:eastAsia="Arial" w:hAnsi="Arial"/>
          <w:sz w:val="19"/>
          <w:szCs w:val="19"/>
          <w:color w:val="auto"/>
        </w:rPr>
      </w:pPr>
    </w:p>
    <w:p>
      <w:pPr>
        <w:ind w:left="1240" w:right="159" w:hanging="627"/>
        <w:spacing w:after="0" w:line="239" w:lineRule="auto"/>
        <w:tabs>
          <w:tab w:leader="none" w:pos="124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Succession</w:t>
      </w:r>
      <w:r>
        <w:rPr>
          <w:rFonts w:ascii="Arial" w:cs="Arial" w:eastAsia="Arial" w:hAnsi="Arial"/>
          <w:sz w:val="18"/>
          <w:szCs w:val="18"/>
          <w:color w:val="auto"/>
        </w:rPr>
        <w:t>. This Plan shall extend to and be binding upon Executive, the Executive’s legal representatives, heirs, and distributees, and upon the Company, its successors and assigns.</w:t>
      </w:r>
    </w:p>
    <w:p>
      <w:pPr>
        <w:spacing w:after="0" w:line="1" w:lineRule="exact"/>
        <w:rPr>
          <w:rFonts w:ascii="Arial" w:cs="Arial" w:eastAsia="Arial" w:hAnsi="Arial"/>
          <w:sz w:val="18"/>
          <w:szCs w:val="18"/>
          <w:color w:val="auto"/>
        </w:rPr>
      </w:pPr>
    </w:p>
    <w:p>
      <w:pPr>
        <w:ind w:left="1240" w:right="139" w:hanging="627"/>
        <w:spacing w:after="0" w:line="225" w:lineRule="auto"/>
        <w:tabs>
          <w:tab w:leader="none" w:pos="1240" w:val="left"/>
        </w:tabs>
        <w:numPr>
          <w:ilvl w:val="1"/>
          <w:numId w:val="28"/>
        </w:numPr>
        <w:rPr>
          <w:rFonts w:ascii="Arial" w:cs="Arial" w:eastAsia="Arial" w:hAnsi="Arial"/>
          <w:sz w:val="21"/>
          <w:szCs w:val="21"/>
          <w:color w:val="auto"/>
        </w:rPr>
      </w:pPr>
      <w:r>
        <w:rPr>
          <w:rFonts w:ascii="Arial" w:cs="Arial" w:eastAsia="Arial" w:hAnsi="Arial"/>
          <w:sz w:val="21"/>
          <w:szCs w:val="21"/>
          <w:u w:val="single" w:color="auto"/>
          <w:color w:val="auto"/>
        </w:rPr>
        <w:t>Waiver of Breach</w:t>
      </w:r>
      <w:r>
        <w:rPr>
          <w:rFonts w:ascii="Arial" w:cs="Arial" w:eastAsia="Arial" w:hAnsi="Arial"/>
          <w:sz w:val="21"/>
          <w:szCs w:val="21"/>
          <w:color w:val="auto"/>
        </w:rPr>
        <w:t>. The waiver of breach of any term or condition of this Plan shall not be deemed to constitute a waiver of any other term or condition of this Plan.</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65405</wp:posOffset>
            </wp:positionV>
            <wp:extent cx="5544185" cy="24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44185" cy="24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240"/>
        <w:spacing w:after="0"/>
        <w:rPr>
          <w:rFonts w:ascii="Arial" w:cs="Arial" w:eastAsia="Arial" w:hAnsi="Arial"/>
          <w:sz w:val="21"/>
          <w:szCs w:val="21"/>
          <w:b w:val="1"/>
          <w:bCs w:val="1"/>
          <w:u w:val="single" w:color="auto"/>
          <w:color w:val="0563C1"/>
        </w:rPr>
      </w:pPr>
      <w:hyperlink w:anchor="page2">
        <w:r>
          <w:rPr>
            <w:rFonts w:ascii="Arial" w:cs="Arial" w:eastAsia="Arial" w:hAnsi="Arial"/>
            <w:sz w:val="21"/>
            <w:szCs w:val="21"/>
            <w:b w:val="1"/>
            <w:bCs w:val="1"/>
            <w:u w:val="single" w:color="auto"/>
            <w:color w:val="0563C1"/>
          </w:rPr>
          <w:t>Table of Contents</w:t>
        </w:r>
      </w:hyperlink>
    </w:p>
    <w:p>
      <w:pPr>
        <w:spacing w:after="0" w:line="164" w:lineRule="exact"/>
        <w:rPr>
          <w:sz w:val="20"/>
          <w:szCs w:val="20"/>
          <w:color w:val="auto"/>
        </w:rPr>
      </w:pPr>
    </w:p>
    <w:p>
      <w:pPr>
        <w:jc w:val="both"/>
        <w:ind w:left="1240" w:right="139" w:hanging="627"/>
        <w:spacing w:after="0" w:line="229" w:lineRule="auto"/>
        <w:tabs>
          <w:tab w:leader="none" w:pos="1240"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Plan is held to be invalid, illegal, or unenforceable, such provision shall be reformed to resolve the applicable issue while still achieving the intent of the provision to the maximum extent possible, and no other provision of the Plan shall be affected or impaired in any way. With respect to any restrictive covenant, it is understood and agreed that if a court of competent jurisdiction or a duly constituted arbitration panel refuses to enforce any part of such restrictive covenant because it is unreasonable (whether as to geographic scope, duration, activity, subject, or otherwise), the unenforceable provision shall not be void but rather shall be deemed reduced or limited to the minimum extent necessary to permit enforcement of the covenant. For this purpose, the geographic scope, duration, activity, and subject are divisible.</w:t>
      </w:r>
    </w:p>
    <w:p>
      <w:pPr>
        <w:spacing w:after="0" w:line="2" w:lineRule="exact"/>
        <w:rPr>
          <w:rFonts w:ascii="Arial" w:cs="Arial" w:eastAsia="Arial" w:hAnsi="Arial"/>
          <w:sz w:val="19"/>
          <w:szCs w:val="19"/>
          <w:color w:val="auto"/>
        </w:rPr>
      </w:pPr>
    </w:p>
    <w:p>
      <w:pPr>
        <w:ind w:left="1240" w:hanging="627"/>
        <w:spacing w:after="0" w:line="205" w:lineRule="auto"/>
        <w:tabs>
          <w:tab w:leader="none" w:pos="1240"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Forfeiture of Certain Parachute Payments</w:t>
      </w:r>
      <w:r>
        <w:rPr>
          <w:rFonts w:ascii="Arial" w:cs="Arial" w:eastAsia="Arial" w:hAnsi="Arial"/>
          <w:sz w:val="21"/>
          <w:szCs w:val="21"/>
          <w:color w:val="auto"/>
        </w:rPr>
        <w:t>.</w:t>
      </w:r>
    </w:p>
    <w:p>
      <w:pPr>
        <w:jc w:val="both"/>
        <w:ind w:left="1860" w:right="139" w:hanging="626"/>
        <w:spacing w:after="0" w:line="234" w:lineRule="auto"/>
        <w:tabs>
          <w:tab w:leader="none" w:pos="1860" w:val="left"/>
        </w:tabs>
        <w:numPr>
          <w:ilvl w:val="1"/>
          <w:numId w:val="29"/>
        </w:numPr>
        <w:rPr>
          <w:rFonts w:ascii="Arial" w:cs="Arial" w:eastAsia="Arial" w:hAnsi="Arial"/>
          <w:sz w:val="19"/>
          <w:szCs w:val="19"/>
          <w:color w:val="auto"/>
        </w:rPr>
      </w:pPr>
      <w:r>
        <w:rPr>
          <w:rFonts w:ascii="Arial" w:cs="Arial" w:eastAsia="Arial" w:hAnsi="Arial"/>
          <w:sz w:val="19"/>
          <w:szCs w:val="19"/>
          <w:color w:val="auto"/>
        </w:rPr>
        <w:t>Notwithstanding any other provision of this Plan, if paragraph b, below, applies, Executive shall forfeit amounts payable to Executive under this Plan to the extent that the Accounting Firm determines is necessary to ensure that Executive is not reasonably likely to receive a “parachute payment” within the meaning of Section 280G(b)(2) of the Code. The Accounting Firm’s determination shall be conclusive and binding upon the Company and Executive.</w:t>
      </w:r>
    </w:p>
    <w:p>
      <w:pPr>
        <w:spacing w:after="0" w:line="152" w:lineRule="exact"/>
        <w:rPr>
          <w:rFonts w:ascii="Arial" w:cs="Arial" w:eastAsia="Arial" w:hAnsi="Arial"/>
          <w:sz w:val="19"/>
          <w:szCs w:val="19"/>
          <w:color w:val="auto"/>
        </w:rPr>
      </w:pPr>
    </w:p>
    <w:p>
      <w:pPr>
        <w:jc w:val="both"/>
        <w:ind w:left="1860" w:right="139" w:hanging="626"/>
        <w:spacing w:after="0" w:line="225" w:lineRule="auto"/>
        <w:tabs>
          <w:tab w:leader="none" w:pos="1860"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This paragraph b shall apply if (and only if) (i) any payment to be made under this Plan is reasonably likely to result in Executive receiving a “parachute payment” (as defined in Section 280G(b)(2) of the Code), and (ii) Executive’s forfeiture of payments due under this Plan would result in the aggregate after-tax amount that Executive would receive being greater than the aggregate after-tax amount that Executive would receive if there were no such forfeiture.</w:t>
      </w:r>
    </w:p>
    <w:p>
      <w:pPr>
        <w:spacing w:after="0" w:line="155" w:lineRule="exact"/>
        <w:rPr>
          <w:rFonts w:ascii="Arial" w:cs="Arial" w:eastAsia="Arial" w:hAnsi="Arial"/>
          <w:sz w:val="20"/>
          <w:szCs w:val="20"/>
          <w:color w:val="auto"/>
        </w:rPr>
      </w:pPr>
    </w:p>
    <w:p>
      <w:pPr>
        <w:jc w:val="both"/>
        <w:ind w:left="1860" w:right="159" w:hanging="626"/>
        <w:spacing w:after="0" w:line="219" w:lineRule="auto"/>
        <w:tabs>
          <w:tab w:leader="none" w:pos="1860" w:val="left"/>
        </w:tabs>
        <w:numPr>
          <w:ilvl w:val="1"/>
          <w:numId w:val="29"/>
        </w:numPr>
        <w:rPr>
          <w:rFonts w:ascii="Arial" w:cs="Arial" w:eastAsia="Arial" w:hAnsi="Arial"/>
          <w:sz w:val="21"/>
          <w:szCs w:val="21"/>
          <w:color w:val="auto"/>
        </w:rPr>
      </w:pPr>
      <w:r>
        <w:rPr>
          <w:rFonts w:ascii="Arial" w:cs="Arial" w:eastAsia="Arial" w:hAnsi="Arial"/>
          <w:sz w:val="21"/>
          <w:szCs w:val="21"/>
          <w:color w:val="auto"/>
        </w:rPr>
        <w:t xml:space="preserve">Neither the Company nor Executive shall have any discretion to determine which payments are forfeited. The forfeiture shall apply in reverse chronological order— </w:t>
      </w:r>
      <w:r>
        <w:rPr>
          <w:rFonts w:ascii="Arial" w:cs="Arial" w:eastAsia="Arial" w:hAnsi="Arial"/>
          <w:sz w:val="21"/>
          <w:szCs w:val="21"/>
          <w:i w:val="1"/>
          <w:iCs w:val="1"/>
          <w:color w:val="auto"/>
        </w:rPr>
        <w:t>e.g.</w:t>
      </w:r>
      <w:r>
        <w:rPr>
          <w:rFonts w:ascii="Arial" w:cs="Arial" w:eastAsia="Arial" w:hAnsi="Arial"/>
          <w:sz w:val="21"/>
          <w:szCs w:val="21"/>
          <w:color w:val="auto"/>
        </w:rPr>
        <w:t>, the last payment in any series of payments shall be forfeited before any part of</w:t>
      </w:r>
      <w:r>
        <w:rPr>
          <w:rFonts w:ascii="Arial" w:cs="Arial" w:eastAsia="Arial" w:hAnsi="Arial"/>
          <w:sz w:val="21"/>
          <w:szCs w:val="21"/>
          <w:i w:val="1"/>
          <w:iCs w:val="1"/>
          <w:color w:val="auto"/>
        </w:rPr>
        <w:t xml:space="preserve"> </w:t>
      </w:r>
      <w:r>
        <w:rPr>
          <w:rFonts w:ascii="Arial" w:cs="Arial" w:eastAsia="Arial" w:hAnsi="Arial"/>
          <w:sz w:val="21"/>
          <w:szCs w:val="21"/>
          <w:color w:val="auto"/>
        </w:rPr>
        <w:t>an earlier payment is forfeited.</w:t>
      </w:r>
    </w:p>
    <w:p>
      <w:pPr>
        <w:spacing w:after="0" w:line="153" w:lineRule="exact"/>
        <w:rPr>
          <w:rFonts w:ascii="Arial" w:cs="Arial" w:eastAsia="Arial" w:hAnsi="Arial"/>
          <w:sz w:val="21"/>
          <w:szCs w:val="21"/>
          <w:color w:val="auto"/>
        </w:rPr>
      </w:pPr>
    </w:p>
    <w:p>
      <w:pPr>
        <w:jc w:val="both"/>
        <w:ind w:left="1240" w:right="139" w:hanging="627"/>
        <w:spacing w:after="0" w:line="210" w:lineRule="auto"/>
        <w:tabs>
          <w:tab w:leader="none" w:pos="1240"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Recoupment Policy</w:t>
      </w:r>
      <w:r>
        <w:rPr>
          <w:rFonts w:ascii="Arial" w:cs="Arial" w:eastAsia="Arial" w:hAnsi="Arial"/>
          <w:sz w:val="21"/>
          <w:szCs w:val="21"/>
          <w:color w:val="auto"/>
        </w:rPr>
        <w:t>. Any payment made to Executive pursuant to this Plan shall be subject to the terms and conditions of the Company’s recoupment or clawback policy, as in effect and amended from time to time, including disgorgement or repayment to the extent required by such policy.</w:t>
      </w:r>
    </w:p>
    <w:p>
      <w:pPr>
        <w:ind w:left="1240" w:right="139" w:hanging="627"/>
        <w:spacing w:after="0" w:line="227" w:lineRule="auto"/>
        <w:tabs>
          <w:tab w:leader="none" w:pos="1240"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headings of the sections and subsections are inserted for convenience only and shall not be deemed to constitute a part hereof or to affect the meaning thereof.</w:t>
      </w:r>
    </w:p>
    <w:p>
      <w:pPr>
        <w:jc w:val="both"/>
        <w:ind w:left="1240" w:right="139" w:hanging="627"/>
        <w:spacing w:after="0" w:line="224" w:lineRule="auto"/>
        <w:tabs>
          <w:tab w:leader="none" w:pos="1240"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No Duplication of Benefits</w:t>
      </w:r>
      <w:r>
        <w:rPr>
          <w:rFonts w:ascii="Arial" w:cs="Arial" w:eastAsia="Arial" w:hAnsi="Arial"/>
          <w:sz w:val="20"/>
          <w:szCs w:val="20"/>
          <w:color w:val="auto"/>
        </w:rPr>
        <w:t>. The right to receive any benefits under this Plan by any Executive is specifically conditioned upon such Executive either waiving or being ineligible for any and all severance benefits under any other employment, change in control, severance, retention or other plan or agreement otherwise available to the Executive. The Company does not intend to provide any Executive with benefits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65405</wp:posOffset>
            </wp:positionV>
            <wp:extent cx="5544185" cy="24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44185" cy="24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240"/>
        <w:spacing w:after="0"/>
        <w:rPr>
          <w:rFonts w:ascii="Arial" w:cs="Arial" w:eastAsia="Arial" w:hAnsi="Arial"/>
          <w:sz w:val="21"/>
          <w:szCs w:val="21"/>
          <w:b w:val="1"/>
          <w:bCs w:val="1"/>
          <w:u w:val="single" w:color="auto"/>
          <w:color w:val="0563C1"/>
        </w:rPr>
      </w:pPr>
      <w:hyperlink w:anchor="page2">
        <w:r>
          <w:rPr>
            <w:rFonts w:ascii="Arial" w:cs="Arial" w:eastAsia="Arial" w:hAnsi="Arial"/>
            <w:sz w:val="21"/>
            <w:szCs w:val="21"/>
            <w:b w:val="1"/>
            <w:bCs w:val="1"/>
            <w:u w:val="single" w:color="auto"/>
            <w:color w:val="0563C1"/>
          </w:rPr>
          <w:t>Table of Contents</w:t>
        </w:r>
      </w:hyperlink>
    </w:p>
    <w:p>
      <w:pPr>
        <w:spacing w:after="0" w:line="112" w:lineRule="exact"/>
        <w:rPr>
          <w:sz w:val="20"/>
          <w:szCs w:val="20"/>
          <w:color w:val="auto"/>
        </w:rPr>
      </w:pPr>
    </w:p>
    <w:p>
      <w:pPr>
        <w:jc w:val="both"/>
        <w:ind w:left="1240" w:right="139"/>
        <w:spacing w:after="0" w:line="237" w:lineRule="auto"/>
        <w:rPr>
          <w:sz w:val="20"/>
          <w:szCs w:val="20"/>
          <w:color w:val="auto"/>
        </w:rPr>
      </w:pPr>
      <w:r>
        <w:rPr>
          <w:rFonts w:ascii="Arial" w:cs="Arial" w:eastAsia="Arial" w:hAnsi="Arial"/>
          <w:sz w:val="19"/>
          <w:szCs w:val="19"/>
          <w:color w:val="auto"/>
        </w:rPr>
        <w:t>under both this Plan and benefits under any other employment, severance, retention, change in control or other plan or agreement sponsored by the Company or any affiliate. The Company may override this provision by expressly stating in the other employment, change in control, severance, retention or other plan or agreement that some or all of the benefits provided by the other employment, change in control, severance retention or other plan or agreement are intended to supplement the benefits provided by this Plan.</w:t>
      </w:r>
    </w:p>
    <w:p>
      <w:pPr>
        <w:spacing w:after="0" w:line="138" w:lineRule="exact"/>
        <w:rPr>
          <w:sz w:val="20"/>
          <w:szCs w:val="20"/>
          <w:color w:val="auto"/>
        </w:rPr>
      </w:pPr>
    </w:p>
    <w:p>
      <w:pPr>
        <w:ind w:left="620" w:hanging="473"/>
        <w:spacing w:after="0"/>
        <w:tabs>
          <w:tab w:leader="none" w:pos="620" w:val="left"/>
        </w:tabs>
        <w:numPr>
          <w:ilvl w:val="0"/>
          <w:numId w:val="30"/>
        </w:numPr>
        <w:rPr>
          <w:rFonts w:ascii="Arial" w:cs="Arial" w:eastAsia="Arial" w:hAnsi="Arial"/>
          <w:sz w:val="21"/>
          <w:szCs w:val="21"/>
          <w:b w:val="1"/>
          <w:bCs w:val="1"/>
          <w:color w:val="auto"/>
        </w:rPr>
      </w:pPr>
      <w:r>
        <w:rPr>
          <w:rFonts w:ascii="Arial" w:cs="Arial" w:eastAsia="Arial" w:hAnsi="Arial"/>
          <w:sz w:val="21"/>
          <w:szCs w:val="21"/>
          <w:b w:val="1"/>
          <w:bCs w:val="1"/>
          <w:color w:val="auto"/>
        </w:rPr>
        <w:t>Restrictive Covenants and Release</w:t>
      </w:r>
    </w:p>
    <w:p>
      <w:pPr>
        <w:jc w:val="both"/>
        <w:ind w:left="140" w:right="139" w:hanging="7"/>
        <w:spacing w:after="0" w:line="225" w:lineRule="auto"/>
        <w:rPr>
          <w:sz w:val="20"/>
          <w:szCs w:val="20"/>
          <w:color w:val="auto"/>
        </w:rPr>
      </w:pPr>
      <w:r>
        <w:rPr>
          <w:rFonts w:ascii="Arial" w:cs="Arial" w:eastAsia="Arial" w:hAnsi="Arial"/>
          <w:sz w:val="21"/>
          <w:szCs w:val="21"/>
          <w:color w:val="auto"/>
        </w:rPr>
        <w:t xml:space="preserve">Your right to a Severance Benefit under the Plan is conditioned on your executing </w:t>
      </w:r>
      <w:r>
        <w:rPr>
          <w:rFonts w:ascii="Arial" w:cs="Arial" w:eastAsia="Arial" w:hAnsi="Arial"/>
          <w:sz w:val="19"/>
          <w:szCs w:val="19"/>
          <w:color w:val="auto"/>
        </w:rPr>
        <w:t>a Release that is</w:t>
      </w:r>
      <w:r>
        <w:rPr>
          <w:rFonts w:ascii="Arial" w:cs="Arial" w:eastAsia="Arial" w:hAnsi="Arial"/>
          <w:sz w:val="21"/>
          <w:szCs w:val="21"/>
          <w:color w:val="auto"/>
        </w:rPr>
        <w:t xml:space="preserve"> </w:t>
      </w:r>
      <w:r>
        <w:rPr>
          <w:rFonts w:ascii="Arial" w:cs="Arial" w:eastAsia="Arial" w:hAnsi="Arial"/>
          <w:sz w:val="19"/>
          <w:szCs w:val="19"/>
          <w:color w:val="auto"/>
        </w:rPr>
        <w:t>acceptable to Avnet by the deadline that Avnet establishes, and not revoking the Release. A sample Release appears at the end of this document, beginning on page A-1. Avnet may require you to sign a Release that is different from the sample.</w:t>
      </w:r>
    </w:p>
    <w:p>
      <w:pPr>
        <w:spacing w:after="0" w:line="154" w:lineRule="exact"/>
        <w:rPr>
          <w:sz w:val="20"/>
          <w:szCs w:val="20"/>
          <w:color w:val="auto"/>
        </w:rPr>
      </w:pPr>
    </w:p>
    <w:p>
      <w:pPr>
        <w:jc w:val="both"/>
        <w:ind w:left="140" w:right="139" w:hanging="7"/>
        <w:spacing w:after="0" w:line="219" w:lineRule="auto"/>
        <w:rPr>
          <w:sz w:val="20"/>
          <w:szCs w:val="20"/>
          <w:color w:val="auto"/>
        </w:rPr>
      </w:pPr>
      <w:r>
        <w:rPr>
          <w:rFonts w:ascii="Arial" w:cs="Arial" w:eastAsia="Arial" w:hAnsi="Arial"/>
          <w:sz w:val="21"/>
          <w:szCs w:val="21"/>
          <w:color w:val="auto"/>
        </w:rPr>
        <w:t>Your Severance Benefit also is conditioned on you agreeing to certain restrictive covenants that are acceptable to Avnet by the deadline that Avnet establishes. A sample of the restrictive covenants appear at the end of this Plan, beginning on page B-1. Avnet may require you to sign this document that is different from the sample.</w:t>
      </w:r>
    </w:p>
    <w:p>
      <w:pPr>
        <w:spacing w:after="0" w:line="150" w:lineRule="exact"/>
        <w:rPr>
          <w:sz w:val="20"/>
          <w:szCs w:val="20"/>
          <w:color w:val="auto"/>
        </w:rPr>
      </w:pPr>
    </w:p>
    <w:p>
      <w:pPr>
        <w:jc w:val="both"/>
        <w:ind w:left="140" w:right="139" w:hanging="7"/>
        <w:spacing w:after="0" w:line="207" w:lineRule="auto"/>
        <w:rPr>
          <w:sz w:val="20"/>
          <w:szCs w:val="20"/>
          <w:color w:val="auto"/>
        </w:rPr>
      </w:pPr>
      <w:r>
        <w:rPr>
          <w:rFonts w:ascii="Arial" w:cs="Arial" w:eastAsia="Arial" w:hAnsi="Arial"/>
          <w:sz w:val="20"/>
          <w:szCs w:val="20"/>
          <w:color w:val="auto"/>
        </w:rPr>
        <w:t>If you do not sign a Release that is satisfactory to Avnet by the deadline that Avnet establishes, or if you revoke the Release or breach an obligation under the Release or restrictive covenant, your right to a Severance Benefit will be forfeited. If your Severance Benefit is forfeited after you have received a severance payment, you will be required to repay the amount to Avnet.</w:t>
      </w:r>
    </w:p>
    <w:p>
      <w:pPr>
        <w:spacing w:after="0" w:line="125" w:lineRule="exact"/>
        <w:rPr>
          <w:sz w:val="20"/>
          <w:szCs w:val="20"/>
          <w:color w:val="auto"/>
        </w:rPr>
      </w:pPr>
    </w:p>
    <w:p>
      <w:pPr>
        <w:ind w:left="140"/>
        <w:spacing w:after="0"/>
        <w:tabs>
          <w:tab w:leader="none" w:pos="600" w:val="left"/>
        </w:tabs>
        <w:rPr>
          <w:sz w:val="20"/>
          <w:szCs w:val="20"/>
          <w:color w:val="auto"/>
        </w:rPr>
      </w:pPr>
      <w:r>
        <w:rPr>
          <w:rFonts w:ascii="Arial" w:cs="Arial" w:eastAsia="Arial" w:hAnsi="Arial"/>
          <w:sz w:val="21"/>
          <w:szCs w:val="21"/>
          <w:b w:val="1"/>
          <w:bCs w:val="1"/>
          <w:color w:val="auto"/>
        </w:rPr>
        <w:t>10.</w:t>
      </w:r>
      <w:r>
        <w:rPr>
          <w:sz w:val="20"/>
          <w:szCs w:val="20"/>
          <w:color w:val="auto"/>
        </w:rPr>
        <w:tab/>
      </w:r>
      <w:r>
        <w:rPr>
          <w:rFonts w:ascii="Arial" w:cs="Arial" w:eastAsia="Arial" w:hAnsi="Arial"/>
          <w:sz w:val="18"/>
          <w:szCs w:val="18"/>
          <w:b w:val="1"/>
          <w:bCs w:val="1"/>
          <w:color w:val="auto"/>
        </w:rPr>
        <w:t>Rehire After Receiving Severance Benefits</w:t>
      </w:r>
    </w:p>
    <w:p>
      <w:pPr>
        <w:jc w:val="both"/>
        <w:ind w:left="140" w:right="139" w:hanging="7"/>
        <w:spacing w:after="0" w:line="242" w:lineRule="auto"/>
        <w:rPr>
          <w:sz w:val="20"/>
          <w:szCs w:val="20"/>
          <w:color w:val="auto"/>
        </w:rPr>
      </w:pPr>
      <w:r>
        <w:rPr>
          <w:rFonts w:ascii="Arial" w:cs="Arial" w:eastAsia="Arial" w:hAnsi="Arial"/>
          <w:sz w:val="19"/>
          <w:szCs w:val="19"/>
          <w:color w:val="auto"/>
        </w:rPr>
        <w:t>If you receive a Severance Benefit under the Plan and are rehired before the end of your Severance Period, you must return a prorated portion of your Severance Benefit. For the Chief Executive Officer, the Severance Period is two years. For all other Executives, the Severance Period is one year.</w:t>
      </w:r>
    </w:p>
    <w:p>
      <w:pPr>
        <w:spacing w:after="0" w:line="132" w:lineRule="exact"/>
        <w:rPr>
          <w:sz w:val="20"/>
          <w:szCs w:val="20"/>
          <w:color w:val="auto"/>
        </w:rPr>
      </w:pPr>
    </w:p>
    <w:p>
      <w:pPr>
        <w:ind w:left="620" w:hanging="473"/>
        <w:spacing w:after="0"/>
        <w:tabs>
          <w:tab w:leader="none" w:pos="620" w:val="left"/>
        </w:tabs>
        <w:numPr>
          <w:ilvl w:val="0"/>
          <w:numId w:val="31"/>
        </w:numPr>
        <w:rPr>
          <w:rFonts w:ascii="Arial" w:cs="Arial" w:eastAsia="Arial" w:hAnsi="Arial"/>
          <w:sz w:val="21"/>
          <w:szCs w:val="21"/>
          <w:b w:val="1"/>
          <w:bCs w:val="1"/>
          <w:color w:val="auto"/>
        </w:rPr>
      </w:pPr>
      <w:r>
        <w:rPr>
          <w:rFonts w:ascii="Arial" w:cs="Arial" w:eastAsia="Arial" w:hAnsi="Arial"/>
          <w:sz w:val="21"/>
          <w:szCs w:val="21"/>
          <w:b w:val="1"/>
          <w:bCs w:val="1"/>
          <w:color w:val="auto"/>
        </w:rPr>
        <w:t>Claim and Appeal Procedures and Lawsuits</w:t>
      </w:r>
    </w:p>
    <w:p>
      <w:pPr>
        <w:ind w:left="1240" w:right="159" w:hanging="627"/>
        <w:spacing w:after="0" w:line="205" w:lineRule="auto"/>
        <w:tabs>
          <w:tab w:leader="none" w:pos="1240" w:val="left"/>
        </w:tabs>
        <w:numPr>
          <w:ilvl w:val="1"/>
          <w:numId w:val="31"/>
        </w:numPr>
        <w:rPr>
          <w:rFonts w:ascii="Arial" w:cs="Arial" w:eastAsia="Arial" w:hAnsi="Arial"/>
          <w:sz w:val="21"/>
          <w:szCs w:val="21"/>
          <w:color w:val="auto"/>
        </w:rPr>
      </w:pPr>
      <w:r>
        <w:rPr>
          <w:rFonts w:ascii="Arial" w:cs="Arial" w:eastAsia="Arial" w:hAnsi="Arial"/>
          <w:sz w:val="21"/>
          <w:szCs w:val="21"/>
          <w:u w:val="single" w:color="auto"/>
          <w:color w:val="auto"/>
        </w:rPr>
        <w:t>Filing a Claim</w:t>
      </w:r>
      <w:r>
        <w:rPr>
          <w:rFonts w:ascii="Arial" w:cs="Arial" w:eastAsia="Arial" w:hAnsi="Arial"/>
          <w:sz w:val="21"/>
          <w:szCs w:val="21"/>
          <w:color w:val="auto"/>
        </w:rPr>
        <w:t>. If you disagree with the amount of your Severance Benefit or how your Severance Benefit was calculated, or you otherwise believe you are entitled to additional benefits under the Plan, you may file a claim in accordance with the procedures below. Before filing a lawsuit, you must file a claim and appeal by the deadlines set forth in these procedures.</w:t>
      </w:r>
    </w:p>
    <w:p>
      <w:pPr>
        <w:spacing w:after="0" w:line="3" w:lineRule="exact"/>
        <w:rPr>
          <w:rFonts w:ascii="Arial" w:cs="Arial" w:eastAsia="Arial" w:hAnsi="Arial"/>
          <w:sz w:val="21"/>
          <w:szCs w:val="21"/>
          <w:color w:val="auto"/>
        </w:rPr>
      </w:pPr>
    </w:p>
    <w:p>
      <w:pPr>
        <w:jc w:val="both"/>
        <w:ind w:left="1240" w:right="139" w:hanging="9"/>
        <w:spacing w:after="0" w:line="215" w:lineRule="auto"/>
        <w:rPr>
          <w:rFonts w:ascii="Arial" w:cs="Arial" w:eastAsia="Arial" w:hAnsi="Arial"/>
          <w:sz w:val="21"/>
          <w:szCs w:val="21"/>
          <w:color w:val="auto"/>
        </w:rPr>
      </w:pPr>
      <w:r>
        <w:rPr>
          <w:rFonts w:ascii="Arial" w:cs="Arial" w:eastAsia="Arial" w:hAnsi="Arial"/>
          <w:sz w:val="21"/>
          <w:szCs w:val="21"/>
          <w:color w:val="auto"/>
        </w:rPr>
        <w:t>You may authorize someone else to represent you in pursuing your claim and/or appeal; references to “you” and “your” in this section should be read to include any person authorized to represent you. The Compensation Committee may request reasonable proof of your representative’s authority to act on your behalf.</w:t>
      </w:r>
    </w:p>
    <w:p>
      <w:pPr>
        <w:spacing w:after="0" w:line="151" w:lineRule="exact"/>
        <w:rPr>
          <w:rFonts w:ascii="Arial" w:cs="Arial" w:eastAsia="Arial" w:hAnsi="Arial"/>
          <w:sz w:val="21"/>
          <w:szCs w:val="21"/>
          <w:color w:val="auto"/>
        </w:rPr>
      </w:pPr>
    </w:p>
    <w:p>
      <w:pPr>
        <w:ind w:left="1240" w:right="139" w:hanging="12"/>
        <w:spacing w:after="0" w:line="234" w:lineRule="auto"/>
        <w:rPr>
          <w:rFonts w:ascii="Arial" w:cs="Arial" w:eastAsia="Arial" w:hAnsi="Arial"/>
          <w:sz w:val="21"/>
          <w:szCs w:val="21"/>
          <w:color w:val="auto"/>
        </w:rPr>
      </w:pPr>
      <w:r>
        <w:rPr>
          <w:rFonts w:ascii="Arial" w:cs="Arial" w:eastAsia="Arial" w:hAnsi="Arial"/>
          <w:sz w:val="21"/>
          <w:szCs w:val="21"/>
          <w:color w:val="auto"/>
        </w:rPr>
        <w:t>Your claim must be in writing, identify the specific benefit that you seek, and be filed with the Compensation Committee at the following address:</w:t>
      </w:r>
    </w:p>
    <w:p>
      <w:pPr>
        <w:spacing w:after="0" w:line="150" w:lineRule="exact"/>
        <w:rPr>
          <w:sz w:val="20"/>
          <w:szCs w:val="20"/>
          <w:color w:val="auto"/>
        </w:rPr>
      </w:pPr>
    </w:p>
    <w:p>
      <w:pPr>
        <w:ind w:left="2620"/>
        <w:spacing w:after="0"/>
        <w:rPr>
          <w:sz w:val="20"/>
          <w:szCs w:val="20"/>
          <w:color w:val="auto"/>
        </w:rPr>
      </w:pPr>
      <w:r>
        <w:rPr>
          <w:rFonts w:ascii="Arial" w:cs="Arial" w:eastAsia="Arial" w:hAnsi="Arial"/>
          <w:sz w:val="21"/>
          <w:szCs w:val="21"/>
          <w:color w:val="auto"/>
        </w:rPr>
        <w:t>Compensation Committee</w:t>
      </w:r>
    </w:p>
    <w:p>
      <w:pPr>
        <w:spacing w:after="0" w:line="172"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65405</wp:posOffset>
            </wp:positionV>
            <wp:extent cx="554418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44185" cy="1651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240"/>
        <w:spacing w:after="0"/>
        <w:rPr>
          <w:rFonts w:ascii="Arial" w:cs="Arial" w:eastAsia="Arial" w:hAnsi="Arial"/>
          <w:sz w:val="21"/>
          <w:szCs w:val="21"/>
          <w:b w:val="1"/>
          <w:bCs w:val="1"/>
          <w:u w:val="single" w:color="auto"/>
          <w:color w:val="0563C1"/>
        </w:rPr>
      </w:pPr>
      <w:hyperlink w:anchor="page2">
        <w:r>
          <w:rPr>
            <w:rFonts w:ascii="Arial" w:cs="Arial" w:eastAsia="Arial" w:hAnsi="Arial"/>
            <w:sz w:val="21"/>
            <w:szCs w:val="21"/>
            <w:b w:val="1"/>
            <w:bCs w:val="1"/>
            <w:u w:val="single" w:color="auto"/>
            <w:color w:val="0563C1"/>
          </w:rPr>
          <w:t>Table of Contents</w:t>
        </w:r>
      </w:hyperlink>
    </w:p>
    <w:p>
      <w:pPr>
        <w:spacing w:after="0" w:line="148" w:lineRule="exact"/>
        <w:rPr>
          <w:sz w:val="20"/>
          <w:szCs w:val="20"/>
          <w:color w:val="auto"/>
        </w:rPr>
      </w:pPr>
    </w:p>
    <w:p>
      <w:pPr>
        <w:ind w:left="2620"/>
        <w:spacing w:after="0"/>
        <w:rPr>
          <w:sz w:val="20"/>
          <w:szCs w:val="20"/>
          <w:color w:val="auto"/>
        </w:rPr>
      </w:pPr>
      <w:r>
        <w:rPr>
          <w:rFonts w:ascii="Arial" w:cs="Arial" w:eastAsia="Arial" w:hAnsi="Arial"/>
          <w:sz w:val="21"/>
          <w:szCs w:val="21"/>
          <w:color w:val="auto"/>
        </w:rPr>
        <w:t>Avnet Executive Severance Plan</w:t>
      </w:r>
    </w:p>
    <w:p>
      <w:pPr>
        <w:ind w:left="2620"/>
        <w:spacing w:after="0" w:line="205" w:lineRule="auto"/>
        <w:rPr>
          <w:sz w:val="20"/>
          <w:szCs w:val="20"/>
          <w:color w:val="auto"/>
        </w:rPr>
      </w:pPr>
      <w:r>
        <w:rPr>
          <w:rFonts w:ascii="Arial" w:cs="Arial" w:eastAsia="Arial" w:hAnsi="Arial"/>
          <w:sz w:val="21"/>
          <w:szCs w:val="21"/>
          <w:color w:val="auto"/>
        </w:rPr>
        <w:t>2211 S. 47th Street</w:t>
      </w:r>
    </w:p>
    <w:p>
      <w:pPr>
        <w:spacing w:after="0" w:line="1" w:lineRule="exact"/>
        <w:rPr>
          <w:sz w:val="20"/>
          <w:szCs w:val="20"/>
          <w:color w:val="auto"/>
        </w:rPr>
      </w:pPr>
    </w:p>
    <w:p>
      <w:pPr>
        <w:ind w:left="2620"/>
        <w:spacing w:after="0"/>
        <w:rPr>
          <w:sz w:val="20"/>
          <w:szCs w:val="20"/>
          <w:color w:val="auto"/>
        </w:rPr>
      </w:pPr>
      <w:r>
        <w:rPr>
          <w:rFonts w:ascii="Arial" w:cs="Arial" w:eastAsia="Arial" w:hAnsi="Arial"/>
          <w:sz w:val="21"/>
          <w:szCs w:val="21"/>
          <w:color w:val="auto"/>
        </w:rPr>
        <w:t>Phoenix, Arizona 85034</w:t>
      </w:r>
    </w:p>
    <w:p>
      <w:pPr>
        <w:spacing w:after="0" w:line="154" w:lineRule="exact"/>
        <w:rPr>
          <w:sz w:val="20"/>
          <w:szCs w:val="20"/>
          <w:color w:val="auto"/>
        </w:rPr>
      </w:pPr>
    </w:p>
    <w:p>
      <w:pPr>
        <w:jc w:val="both"/>
        <w:ind w:left="1240" w:right="139" w:hanging="8"/>
        <w:spacing w:after="0" w:line="213" w:lineRule="auto"/>
        <w:rPr>
          <w:sz w:val="20"/>
          <w:szCs w:val="20"/>
          <w:color w:val="auto"/>
        </w:rPr>
      </w:pPr>
      <w:r>
        <w:rPr>
          <w:rFonts w:ascii="Arial" w:cs="Arial" w:eastAsia="Arial" w:hAnsi="Arial"/>
          <w:sz w:val="21"/>
          <w:szCs w:val="21"/>
          <w:color w:val="auto"/>
        </w:rPr>
        <w:t>In general, the Compensation Committee will notify you of its decision within 90 days after your claim is received. If necessary, however, the Compensation Committee may extend the initial 90-day period for up to an additional 90 days. If the Compensation Committee needs an extension, you will be notified in writing before the end of the initial 90-day period. Any notice of an extension will explain the reason(s) for the extension and the date by which the Compensation Committee expects to notify you of its decision.</w:t>
      </w:r>
    </w:p>
    <w:p>
      <w:pPr>
        <w:spacing w:after="0" w:line="155" w:lineRule="exact"/>
        <w:rPr>
          <w:sz w:val="20"/>
          <w:szCs w:val="20"/>
          <w:color w:val="auto"/>
        </w:rPr>
      </w:pPr>
    </w:p>
    <w:p>
      <w:pPr>
        <w:jc w:val="both"/>
        <w:ind w:left="1240" w:right="139" w:hanging="8"/>
        <w:spacing w:after="0" w:line="214" w:lineRule="auto"/>
        <w:rPr>
          <w:sz w:val="20"/>
          <w:szCs w:val="20"/>
          <w:color w:val="auto"/>
        </w:rPr>
      </w:pPr>
      <w:r>
        <w:rPr>
          <w:rFonts w:ascii="Arial" w:cs="Arial" w:eastAsia="Arial" w:hAnsi="Arial"/>
          <w:sz w:val="21"/>
          <w:szCs w:val="21"/>
          <w:color w:val="auto"/>
        </w:rPr>
        <w:t>The</w:t>
      </w:r>
      <w:r>
        <w:rPr>
          <w:sz w:val="20"/>
          <w:szCs w:val="20"/>
          <w:color w:val="auto"/>
        </w:rPr>
        <w:t xml:space="preserve"> </w:t>
      </w:r>
      <w:r>
        <w:rPr>
          <w:rFonts w:ascii="Arial" w:cs="Arial" w:eastAsia="Arial" w:hAnsi="Arial"/>
          <w:sz w:val="21"/>
          <w:szCs w:val="21"/>
          <w:color w:val="auto"/>
        </w:rPr>
        <w:t>period for deciding any claim begins when the Compensation Committee receives your claim, even if all of the information needed to resolve the claim is not</w:t>
      </w:r>
    </w:p>
    <w:p>
      <w:pPr>
        <w:spacing w:after="0" w:line="1" w:lineRule="exact"/>
        <w:rPr>
          <w:sz w:val="20"/>
          <w:szCs w:val="20"/>
          <w:color w:val="auto"/>
        </w:rPr>
      </w:pPr>
    </w:p>
    <w:p>
      <w:pPr>
        <w:jc w:val="both"/>
        <w:ind w:left="1240" w:right="139"/>
        <w:spacing w:after="0" w:line="215" w:lineRule="auto"/>
        <w:rPr>
          <w:sz w:val="20"/>
          <w:szCs w:val="20"/>
          <w:color w:val="auto"/>
        </w:rPr>
      </w:pPr>
      <w:r>
        <w:rPr>
          <w:rFonts w:ascii="Arial" w:cs="Arial" w:eastAsia="Arial" w:hAnsi="Arial"/>
          <w:sz w:val="21"/>
          <w:szCs w:val="21"/>
          <w:color w:val="auto"/>
        </w:rPr>
        <w:t>submitted with that first filing. However, if the Compensation Committee needs more information to decide your claim, you and the Compensation Committee may agree to extend the time period for making a decision, so that you can provide the additional information.</w:t>
      </w:r>
    </w:p>
    <w:p>
      <w:pPr>
        <w:spacing w:after="0" w:line="151" w:lineRule="exact"/>
        <w:rPr>
          <w:sz w:val="20"/>
          <w:szCs w:val="20"/>
          <w:color w:val="auto"/>
        </w:rPr>
      </w:pPr>
    </w:p>
    <w:p>
      <w:pPr>
        <w:jc w:val="both"/>
        <w:ind w:left="1240" w:right="159" w:hanging="11"/>
        <w:spacing w:after="0" w:line="224" w:lineRule="auto"/>
        <w:rPr>
          <w:sz w:val="20"/>
          <w:szCs w:val="20"/>
          <w:color w:val="auto"/>
        </w:rPr>
      </w:pPr>
      <w:r>
        <w:rPr>
          <w:rFonts w:ascii="Arial" w:cs="Arial" w:eastAsia="Arial" w:hAnsi="Arial"/>
          <w:sz w:val="21"/>
          <w:szCs w:val="21"/>
          <w:color w:val="auto"/>
        </w:rPr>
        <w:t>The</w:t>
      </w:r>
      <w:r>
        <w:rPr>
          <w:sz w:val="20"/>
          <w:szCs w:val="20"/>
          <w:color w:val="auto"/>
        </w:rPr>
        <w:t xml:space="preserve"> </w:t>
      </w:r>
      <w:r>
        <w:rPr>
          <w:rFonts w:ascii="Arial" w:cs="Arial" w:eastAsia="Arial" w:hAnsi="Arial"/>
          <w:sz w:val="21"/>
          <w:szCs w:val="21"/>
          <w:color w:val="auto"/>
        </w:rPr>
        <w:t>Compensation Committee will notify you of its decision in writing or by electronic means. Unless your claim is completely granted, the notice will explain the specific reason(s) that your claim (or part of the claim) was denied and include:</w:t>
      </w:r>
    </w:p>
    <w:p>
      <w:pPr>
        <w:spacing w:after="0" w:line="152" w:lineRule="exact"/>
        <w:rPr>
          <w:sz w:val="20"/>
          <w:szCs w:val="20"/>
          <w:color w:val="auto"/>
        </w:rPr>
      </w:pPr>
    </w:p>
    <w:p>
      <w:pPr>
        <w:ind w:left="1540" w:hanging="306"/>
        <w:spacing w:after="0"/>
        <w:tabs>
          <w:tab w:leader="none" w:pos="1540" w:val="left"/>
        </w:tabs>
        <w:numPr>
          <w:ilvl w:val="0"/>
          <w:numId w:val="32"/>
        </w:numPr>
        <w:rPr>
          <w:rFonts w:ascii="Arial" w:cs="Arial" w:eastAsia="Arial" w:hAnsi="Arial"/>
          <w:sz w:val="21"/>
          <w:szCs w:val="21"/>
          <w:color w:val="auto"/>
        </w:rPr>
      </w:pPr>
      <w:r>
        <w:rPr>
          <w:rFonts w:ascii="Arial" w:cs="Arial" w:eastAsia="Arial" w:hAnsi="Arial"/>
          <w:sz w:val="21"/>
          <w:szCs w:val="21"/>
          <w:color w:val="auto"/>
        </w:rPr>
        <w:t>References to the Plan provisions on which the decision is based;</w:t>
      </w:r>
    </w:p>
    <w:p>
      <w:pPr>
        <w:spacing w:after="0" w:line="172" w:lineRule="exact"/>
        <w:rPr>
          <w:rFonts w:ascii="Arial" w:cs="Arial" w:eastAsia="Arial" w:hAnsi="Arial"/>
          <w:sz w:val="21"/>
          <w:szCs w:val="21"/>
          <w:color w:val="auto"/>
        </w:rPr>
      </w:pPr>
    </w:p>
    <w:p>
      <w:pPr>
        <w:ind w:left="1540" w:right="139" w:hanging="306"/>
        <w:spacing w:after="0" w:line="277" w:lineRule="auto"/>
        <w:tabs>
          <w:tab w:leader="none" w:pos="15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 description of any additional material or information that you should provide to complete the claim and the reasons this additional material or information is needed;</w:t>
      </w:r>
    </w:p>
    <w:p>
      <w:pPr>
        <w:spacing w:after="0" w:line="116" w:lineRule="exact"/>
        <w:rPr>
          <w:rFonts w:ascii="Arial" w:cs="Arial" w:eastAsia="Arial" w:hAnsi="Arial"/>
          <w:sz w:val="19"/>
          <w:szCs w:val="19"/>
          <w:color w:val="auto"/>
        </w:rPr>
      </w:pPr>
    </w:p>
    <w:p>
      <w:pPr>
        <w:ind w:left="1540" w:right="139" w:hanging="306"/>
        <w:spacing w:after="0" w:line="234" w:lineRule="auto"/>
        <w:tabs>
          <w:tab w:leader="none" w:pos="1540" w:val="left"/>
        </w:tabs>
        <w:numPr>
          <w:ilvl w:val="0"/>
          <w:numId w:val="32"/>
        </w:numPr>
        <w:rPr>
          <w:rFonts w:ascii="Arial" w:cs="Arial" w:eastAsia="Arial" w:hAnsi="Arial"/>
          <w:sz w:val="21"/>
          <w:szCs w:val="21"/>
          <w:color w:val="auto"/>
        </w:rPr>
      </w:pPr>
      <w:r>
        <w:rPr>
          <w:rFonts w:ascii="Arial" w:cs="Arial" w:eastAsia="Arial" w:hAnsi="Arial"/>
          <w:sz w:val="21"/>
          <w:szCs w:val="21"/>
          <w:color w:val="auto"/>
        </w:rPr>
        <w:t>An explanation of the Plan’s claim review procedures, including the relevant time limits; and</w:t>
      </w:r>
    </w:p>
    <w:p>
      <w:pPr>
        <w:spacing w:after="0" w:line="149" w:lineRule="exact"/>
        <w:rPr>
          <w:rFonts w:ascii="Arial" w:cs="Arial" w:eastAsia="Arial" w:hAnsi="Arial"/>
          <w:sz w:val="21"/>
          <w:szCs w:val="21"/>
          <w:color w:val="auto"/>
        </w:rPr>
      </w:pPr>
    </w:p>
    <w:p>
      <w:pPr>
        <w:jc w:val="both"/>
        <w:ind w:left="1540" w:right="139" w:hanging="306"/>
        <w:spacing w:after="0" w:line="219" w:lineRule="auto"/>
        <w:tabs>
          <w:tab w:leader="none" w:pos="1540" w:val="left"/>
        </w:tabs>
        <w:numPr>
          <w:ilvl w:val="0"/>
          <w:numId w:val="32"/>
        </w:numPr>
        <w:rPr>
          <w:rFonts w:ascii="Arial" w:cs="Arial" w:eastAsia="Arial" w:hAnsi="Arial"/>
          <w:sz w:val="21"/>
          <w:szCs w:val="21"/>
          <w:color w:val="auto"/>
        </w:rPr>
      </w:pPr>
      <w:r>
        <w:rPr>
          <w:rFonts w:ascii="Arial" w:cs="Arial" w:eastAsia="Arial" w:hAnsi="Arial"/>
          <w:sz w:val="21"/>
          <w:szCs w:val="21"/>
          <w:color w:val="auto"/>
        </w:rPr>
        <w:t>A statement that you have a right to bring a lawsuit under the Employee Retirement Income Security Act of 1974, as amended (“ERISA”), if the claim is denied after it is reviewed on appeal (subject to the restrictions described under “Time Limit for Filing a Lawsuit,” below).</w:t>
      </w:r>
    </w:p>
    <w:p>
      <w:pPr>
        <w:spacing w:after="0" w:line="153" w:lineRule="exact"/>
        <w:rPr>
          <w:sz w:val="20"/>
          <w:szCs w:val="20"/>
          <w:color w:val="auto"/>
        </w:rPr>
      </w:pPr>
    </w:p>
    <w:p>
      <w:pPr>
        <w:jc w:val="both"/>
        <w:ind w:left="1240" w:right="139" w:hanging="8"/>
        <w:spacing w:after="0" w:line="219" w:lineRule="auto"/>
        <w:rPr>
          <w:sz w:val="20"/>
          <w:szCs w:val="20"/>
          <w:color w:val="auto"/>
        </w:rPr>
      </w:pPr>
      <w:r>
        <w:rPr>
          <w:rFonts w:ascii="Arial" w:cs="Arial" w:eastAsia="Arial" w:hAnsi="Arial"/>
          <w:sz w:val="21"/>
          <w:szCs w:val="21"/>
          <w:color w:val="auto"/>
        </w:rPr>
        <w:t>If</w:t>
      </w:r>
      <w:r>
        <w:rPr>
          <w:sz w:val="20"/>
          <w:szCs w:val="20"/>
          <w:color w:val="auto"/>
        </w:rPr>
        <w:t xml:space="preserve"> </w:t>
      </w:r>
      <w:r>
        <w:rPr>
          <w:rFonts w:ascii="Arial" w:cs="Arial" w:eastAsia="Arial" w:hAnsi="Arial"/>
          <w:sz w:val="21"/>
          <w:szCs w:val="21"/>
          <w:color w:val="auto"/>
        </w:rPr>
        <w:t>the Compensation Committee does not resolve your claim within the time periods described above (including any extensions), you may contact the Compensation Committee to check on the status of your claim, file an appeal in accordance with the procedures that apply if your claim is denied, or bring a lawsuit under ERISA.</w:t>
      </w:r>
    </w:p>
    <w:p>
      <w:pPr>
        <w:spacing w:after="0" w:line="153" w:lineRule="exact"/>
        <w:rPr>
          <w:sz w:val="20"/>
          <w:szCs w:val="20"/>
          <w:color w:val="auto"/>
        </w:rPr>
      </w:pPr>
    </w:p>
    <w:p>
      <w:pPr>
        <w:jc w:val="both"/>
        <w:ind w:left="1240" w:right="139" w:hanging="627"/>
        <w:spacing w:after="0" w:line="227" w:lineRule="auto"/>
        <w:tabs>
          <w:tab w:leader="none" w:pos="1240"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Appealing a Denied Claim</w:t>
      </w:r>
      <w:r>
        <w:rPr>
          <w:rFonts w:ascii="Arial" w:cs="Arial" w:eastAsia="Arial" w:hAnsi="Arial"/>
          <w:sz w:val="20"/>
          <w:szCs w:val="20"/>
          <w:color w:val="auto"/>
        </w:rPr>
        <w:t>. If you wish to appeal a denial of your claim, you must file your request in writing within 60 days after the earlier of (a) the date you receive written notice denying all or part of your claim, or (b) the expiration of the period within which the Compensation Committee is required to render its decision. You should file your appeal with the Compensation Committee at the address above.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65405</wp:posOffset>
            </wp:positionV>
            <wp:extent cx="5544185"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44185" cy="24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240"/>
        <w:spacing w:after="0"/>
        <w:rPr>
          <w:rFonts w:ascii="Arial" w:cs="Arial" w:eastAsia="Arial" w:hAnsi="Arial"/>
          <w:sz w:val="21"/>
          <w:szCs w:val="21"/>
          <w:b w:val="1"/>
          <w:bCs w:val="1"/>
          <w:u w:val="single" w:color="auto"/>
          <w:color w:val="0563C1"/>
        </w:rPr>
      </w:pPr>
      <w:hyperlink w:anchor="page2">
        <w:r>
          <w:rPr>
            <w:rFonts w:ascii="Arial" w:cs="Arial" w:eastAsia="Arial" w:hAnsi="Arial"/>
            <w:sz w:val="21"/>
            <w:szCs w:val="21"/>
            <w:b w:val="1"/>
            <w:bCs w:val="1"/>
            <w:u w:val="single" w:color="auto"/>
            <w:color w:val="0563C1"/>
          </w:rPr>
          <w:t>Table of Contents</w:t>
        </w:r>
      </w:hyperlink>
    </w:p>
    <w:p>
      <w:pPr>
        <w:spacing w:after="0" w:line="164" w:lineRule="exact"/>
        <w:rPr>
          <w:sz w:val="20"/>
          <w:szCs w:val="20"/>
          <w:color w:val="auto"/>
        </w:rPr>
      </w:pPr>
    </w:p>
    <w:p>
      <w:pPr>
        <w:jc w:val="both"/>
        <w:ind w:left="1240" w:right="139" w:hanging="8"/>
        <w:spacing w:after="0" w:line="224" w:lineRule="auto"/>
        <w:rPr>
          <w:sz w:val="20"/>
          <w:szCs w:val="20"/>
          <w:color w:val="auto"/>
        </w:rPr>
      </w:pPr>
      <w:r>
        <w:rPr>
          <w:rFonts w:ascii="Arial" w:cs="Arial" w:eastAsia="Arial" w:hAnsi="Arial"/>
          <w:sz w:val="21"/>
          <w:szCs w:val="21"/>
          <w:color w:val="auto"/>
        </w:rPr>
        <w:t>You have the right to review relevant documents regarding the claim and the denial of the claim, and you may submit additional documents or written arguments in support of the appeal.</w:t>
      </w:r>
    </w:p>
    <w:p>
      <w:pPr>
        <w:spacing w:after="0" w:line="152" w:lineRule="exact"/>
        <w:rPr>
          <w:sz w:val="20"/>
          <w:szCs w:val="20"/>
          <w:color w:val="auto"/>
        </w:rPr>
      </w:pPr>
    </w:p>
    <w:p>
      <w:pPr>
        <w:jc w:val="both"/>
        <w:ind w:left="1240" w:right="139" w:hanging="8"/>
        <w:spacing w:after="0" w:line="214" w:lineRule="auto"/>
        <w:rPr>
          <w:sz w:val="20"/>
          <w:szCs w:val="20"/>
          <w:color w:val="auto"/>
        </w:rPr>
      </w:pPr>
      <w:r>
        <w:rPr>
          <w:rFonts w:ascii="Arial" w:cs="Arial" w:eastAsia="Arial" w:hAnsi="Arial"/>
          <w:sz w:val="21"/>
          <w:szCs w:val="21"/>
          <w:color w:val="auto"/>
        </w:rPr>
        <w:t>In</w:t>
      </w:r>
      <w:r>
        <w:rPr>
          <w:sz w:val="20"/>
          <w:szCs w:val="20"/>
          <w:color w:val="auto"/>
        </w:rPr>
        <w:t xml:space="preserve"> </w:t>
      </w:r>
      <w:r>
        <w:rPr>
          <w:rFonts w:ascii="Arial" w:cs="Arial" w:eastAsia="Arial" w:hAnsi="Arial"/>
          <w:sz w:val="21"/>
          <w:szCs w:val="21"/>
          <w:color w:val="auto"/>
        </w:rPr>
        <w:t>general, the Compensation Committee will notify you of its decision on your appeal within 60 days after the request for review is received.</w:t>
      </w:r>
    </w:p>
    <w:p>
      <w:pPr>
        <w:spacing w:after="0" w:line="1" w:lineRule="exact"/>
        <w:rPr>
          <w:sz w:val="20"/>
          <w:szCs w:val="20"/>
          <w:color w:val="auto"/>
        </w:rPr>
      </w:pPr>
    </w:p>
    <w:p>
      <w:pPr>
        <w:jc w:val="both"/>
        <w:ind w:left="1240" w:right="139" w:firstLine="66"/>
        <w:spacing w:after="0" w:line="212" w:lineRule="auto"/>
        <w:rPr>
          <w:sz w:val="20"/>
          <w:szCs w:val="20"/>
          <w:color w:val="auto"/>
        </w:rPr>
      </w:pPr>
      <w:r>
        <w:rPr>
          <w:rFonts w:ascii="Arial" w:cs="Arial" w:eastAsia="Arial" w:hAnsi="Arial"/>
          <w:sz w:val="21"/>
          <w:szCs w:val="21"/>
          <w:color w:val="auto"/>
        </w:rPr>
        <w:t>If necessary, however, the Compensation Committee may extend the initial 60-day period for up to an additional 60 days. If the Compensation Committee needs an extension, the Compensation Committee will notify you in writing before the end of the initial 60-day period. Any notice of an extension will explain the reason(s) for the extension and the date by which the Compensation Committee expects to notify you of the decision.</w:t>
      </w:r>
    </w:p>
    <w:p>
      <w:pPr>
        <w:spacing w:after="0" w:line="151" w:lineRule="exact"/>
        <w:rPr>
          <w:sz w:val="20"/>
          <w:szCs w:val="20"/>
          <w:color w:val="auto"/>
        </w:rPr>
      </w:pPr>
    </w:p>
    <w:p>
      <w:pPr>
        <w:jc w:val="both"/>
        <w:ind w:left="1240" w:right="139" w:hanging="8"/>
        <w:spacing w:after="0" w:line="214" w:lineRule="auto"/>
        <w:rPr>
          <w:sz w:val="20"/>
          <w:szCs w:val="20"/>
          <w:color w:val="auto"/>
        </w:rPr>
      </w:pPr>
      <w:r>
        <w:rPr>
          <w:rFonts w:ascii="Arial" w:cs="Arial" w:eastAsia="Arial" w:hAnsi="Arial"/>
          <w:sz w:val="21"/>
          <w:szCs w:val="21"/>
          <w:color w:val="auto"/>
        </w:rPr>
        <w:t>The</w:t>
      </w:r>
      <w:r>
        <w:rPr>
          <w:sz w:val="20"/>
          <w:szCs w:val="20"/>
          <w:color w:val="auto"/>
        </w:rPr>
        <w:t xml:space="preserve"> </w:t>
      </w:r>
      <w:r>
        <w:rPr>
          <w:rFonts w:ascii="Arial" w:cs="Arial" w:eastAsia="Arial" w:hAnsi="Arial"/>
          <w:sz w:val="21"/>
          <w:szCs w:val="21"/>
          <w:color w:val="auto"/>
        </w:rPr>
        <w:t>period for deciding an appeal begins when the Compensation Committee receives your claim, even if all of the information needed to review the appeal is not</w:t>
      </w:r>
    </w:p>
    <w:p>
      <w:pPr>
        <w:spacing w:after="0" w:line="1" w:lineRule="exact"/>
        <w:rPr>
          <w:sz w:val="20"/>
          <w:szCs w:val="20"/>
          <w:color w:val="auto"/>
        </w:rPr>
      </w:pPr>
    </w:p>
    <w:p>
      <w:pPr>
        <w:jc w:val="both"/>
        <w:ind w:left="1240" w:right="139"/>
        <w:spacing w:after="0" w:line="212" w:lineRule="auto"/>
        <w:rPr>
          <w:sz w:val="20"/>
          <w:szCs w:val="20"/>
          <w:color w:val="auto"/>
        </w:rPr>
      </w:pPr>
      <w:r>
        <w:rPr>
          <w:rFonts w:ascii="Arial" w:cs="Arial" w:eastAsia="Arial" w:hAnsi="Arial"/>
          <w:sz w:val="21"/>
          <w:szCs w:val="21"/>
          <w:color w:val="auto"/>
        </w:rPr>
        <w:t>included in that initial filing. However, if the Compensation Committee cannot decide your appeal because you have not submitted necessary information, the period for the Compensation Committee to decide the appeal will be automatically extended by the amount of time between when the Compensation Committee notifies you that more information is needed and the date when you provide the information (or, if you fail to respond, the date on which the information was due).</w:t>
      </w:r>
    </w:p>
    <w:p>
      <w:pPr>
        <w:spacing w:after="0" w:line="151" w:lineRule="exact"/>
        <w:rPr>
          <w:sz w:val="20"/>
          <w:szCs w:val="20"/>
          <w:color w:val="auto"/>
        </w:rPr>
      </w:pPr>
    </w:p>
    <w:p>
      <w:pPr>
        <w:jc w:val="both"/>
        <w:ind w:left="1240" w:right="139" w:hanging="8"/>
        <w:spacing w:after="0" w:line="224" w:lineRule="auto"/>
        <w:rPr>
          <w:sz w:val="20"/>
          <w:szCs w:val="20"/>
          <w:color w:val="auto"/>
        </w:rPr>
      </w:pPr>
      <w:r>
        <w:rPr>
          <w:rFonts w:ascii="Arial" w:cs="Arial" w:eastAsia="Arial" w:hAnsi="Arial"/>
          <w:sz w:val="21"/>
          <w:szCs w:val="21"/>
          <w:color w:val="auto"/>
        </w:rPr>
        <w:t>The</w:t>
      </w:r>
      <w:r>
        <w:rPr>
          <w:sz w:val="20"/>
          <w:szCs w:val="20"/>
          <w:color w:val="auto"/>
        </w:rPr>
        <w:t xml:space="preserve"> </w:t>
      </w:r>
      <w:r>
        <w:rPr>
          <w:rFonts w:ascii="Arial" w:cs="Arial" w:eastAsia="Arial" w:hAnsi="Arial"/>
          <w:sz w:val="21"/>
          <w:szCs w:val="21"/>
          <w:color w:val="auto"/>
        </w:rPr>
        <w:t>Compensation Committee will notify you of its decision in writing or by electronic means. Unless your appeal is completely granted, the notice will explain the specific reason(s) that the claim (or part of the claim) was denied and include:</w:t>
      </w:r>
    </w:p>
    <w:p>
      <w:pPr>
        <w:spacing w:after="0" w:line="152" w:lineRule="exact"/>
        <w:rPr>
          <w:sz w:val="20"/>
          <w:szCs w:val="20"/>
          <w:color w:val="auto"/>
        </w:rPr>
      </w:pPr>
    </w:p>
    <w:p>
      <w:pPr>
        <w:ind w:left="1540" w:hanging="306"/>
        <w:spacing w:after="0"/>
        <w:tabs>
          <w:tab w:leader="none" w:pos="1540" w:val="left"/>
        </w:tabs>
        <w:numPr>
          <w:ilvl w:val="0"/>
          <w:numId w:val="34"/>
        </w:numPr>
        <w:rPr>
          <w:rFonts w:ascii="Arial" w:cs="Arial" w:eastAsia="Arial" w:hAnsi="Arial"/>
          <w:sz w:val="21"/>
          <w:szCs w:val="21"/>
          <w:color w:val="auto"/>
        </w:rPr>
      </w:pPr>
      <w:r>
        <w:rPr>
          <w:rFonts w:ascii="Arial" w:cs="Arial" w:eastAsia="Arial" w:hAnsi="Arial"/>
          <w:sz w:val="21"/>
          <w:szCs w:val="21"/>
          <w:color w:val="auto"/>
        </w:rPr>
        <w:t>References to the Plan provisions on which the decision is based;</w:t>
      </w:r>
    </w:p>
    <w:p>
      <w:pPr>
        <w:spacing w:after="0" w:line="172" w:lineRule="exact"/>
        <w:rPr>
          <w:rFonts w:ascii="Arial" w:cs="Arial" w:eastAsia="Arial" w:hAnsi="Arial"/>
          <w:sz w:val="21"/>
          <w:szCs w:val="21"/>
          <w:color w:val="auto"/>
        </w:rPr>
      </w:pPr>
    </w:p>
    <w:p>
      <w:pPr>
        <w:jc w:val="both"/>
        <w:ind w:left="1540" w:right="139" w:hanging="306"/>
        <w:spacing w:after="0" w:line="224" w:lineRule="auto"/>
        <w:tabs>
          <w:tab w:leader="none" w:pos="1540" w:val="left"/>
        </w:tabs>
        <w:numPr>
          <w:ilvl w:val="0"/>
          <w:numId w:val="34"/>
        </w:numPr>
        <w:rPr>
          <w:rFonts w:ascii="Arial" w:cs="Arial" w:eastAsia="Arial" w:hAnsi="Arial"/>
          <w:sz w:val="21"/>
          <w:szCs w:val="21"/>
          <w:color w:val="auto"/>
        </w:rPr>
      </w:pPr>
      <w:r>
        <w:rPr>
          <w:rFonts w:ascii="Arial" w:cs="Arial" w:eastAsia="Arial" w:hAnsi="Arial"/>
          <w:sz w:val="21"/>
          <w:szCs w:val="21"/>
          <w:color w:val="auto"/>
        </w:rPr>
        <w:t>A statement of your right to receive, upon request and free of charge, reasonable access to, and copies of, all documents, records, and other information relevant to your claim for benefits; and</w:t>
      </w:r>
    </w:p>
    <w:p>
      <w:pPr>
        <w:spacing w:after="0" w:line="151" w:lineRule="exact"/>
        <w:rPr>
          <w:rFonts w:ascii="Arial" w:cs="Arial" w:eastAsia="Arial" w:hAnsi="Arial"/>
          <w:sz w:val="21"/>
          <w:szCs w:val="21"/>
          <w:color w:val="auto"/>
        </w:rPr>
      </w:pPr>
    </w:p>
    <w:p>
      <w:pPr>
        <w:jc w:val="both"/>
        <w:ind w:left="1540" w:right="139" w:hanging="306"/>
        <w:spacing w:after="0" w:line="219" w:lineRule="auto"/>
        <w:tabs>
          <w:tab w:leader="none" w:pos="1540" w:val="left"/>
        </w:tabs>
        <w:numPr>
          <w:ilvl w:val="0"/>
          <w:numId w:val="34"/>
        </w:numPr>
        <w:rPr>
          <w:rFonts w:ascii="Arial" w:cs="Arial" w:eastAsia="Arial" w:hAnsi="Arial"/>
          <w:sz w:val="21"/>
          <w:szCs w:val="21"/>
          <w:color w:val="auto"/>
        </w:rPr>
      </w:pPr>
      <w:r>
        <w:rPr>
          <w:rFonts w:ascii="Arial" w:cs="Arial" w:eastAsia="Arial" w:hAnsi="Arial"/>
          <w:sz w:val="21"/>
          <w:szCs w:val="21"/>
          <w:color w:val="auto"/>
        </w:rPr>
        <w:t>A statement that you have a right to bring a lawsuit under ERISA (subject to the restrictions described under “Time Limit for Filing a Lawsuit, below”). You may not bring a lawsuit unless your appeal has been denied or your claim or appeal is not resolved in a timely fashion.</w:t>
      </w:r>
    </w:p>
    <w:p>
      <w:pPr>
        <w:spacing w:after="0" w:line="153" w:lineRule="exact"/>
        <w:rPr>
          <w:sz w:val="20"/>
          <w:szCs w:val="20"/>
          <w:color w:val="auto"/>
        </w:rPr>
      </w:pPr>
    </w:p>
    <w:p>
      <w:pPr>
        <w:ind w:left="1240" w:right="139" w:hanging="8"/>
        <w:spacing w:after="0" w:line="234" w:lineRule="auto"/>
        <w:rPr>
          <w:sz w:val="20"/>
          <w:szCs w:val="20"/>
          <w:color w:val="auto"/>
        </w:rPr>
      </w:pPr>
      <w:r>
        <w:rPr>
          <w:rFonts w:ascii="Arial" w:cs="Arial" w:eastAsia="Arial" w:hAnsi="Arial"/>
          <w:sz w:val="21"/>
          <w:szCs w:val="21"/>
          <w:color w:val="auto"/>
        </w:rPr>
        <w:t>Except as otherwise required by law, the decision of the Compensation Committee on review of the claim denial is binding on all parties.</w:t>
      </w:r>
    </w:p>
    <w:p>
      <w:pPr>
        <w:spacing w:after="0" w:line="150" w:lineRule="exact"/>
        <w:rPr>
          <w:sz w:val="20"/>
          <w:szCs w:val="20"/>
          <w:color w:val="auto"/>
        </w:rPr>
      </w:pPr>
    </w:p>
    <w:p>
      <w:pPr>
        <w:jc w:val="both"/>
        <w:ind w:left="1240" w:right="139" w:hanging="627"/>
        <w:spacing w:after="0" w:line="209" w:lineRule="auto"/>
        <w:tabs>
          <w:tab w:leader="none" w:pos="1240"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Time Limit for Filing a Lawsuit</w:t>
      </w:r>
      <w:r>
        <w:rPr>
          <w:rFonts w:ascii="Arial" w:cs="Arial" w:eastAsia="Arial" w:hAnsi="Arial"/>
          <w:sz w:val="21"/>
          <w:szCs w:val="21"/>
          <w:color w:val="auto"/>
        </w:rPr>
        <w:t>. Any lawsuit or other action related to the Plan—such as an action to recover additional benefits or to enforce or clarify your rights under the Plan or applicable law—must be filed in a court with jurisdiction by the earlier of (a) 180 days after the Compensation Committee makes its final decision on appeal or (b) two years after the following date:</w:t>
      </w:r>
    </w:p>
    <w:p>
      <w:pPr>
        <w:spacing w:after="0" w:line="1" w:lineRule="exact"/>
        <w:rPr>
          <w:rFonts w:ascii="Arial" w:cs="Arial" w:eastAsia="Arial" w:hAnsi="Arial"/>
          <w:sz w:val="21"/>
          <w:szCs w:val="21"/>
          <w:color w:val="auto"/>
        </w:rPr>
      </w:pPr>
    </w:p>
    <w:p>
      <w:pPr>
        <w:ind w:left="1540" w:right="139" w:hanging="306"/>
        <w:spacing w:after="0" w:line="236" w:lineRule="auto"/>
        <w:tabs>
          <w:tab w:leader="none" w:pos="1540" w:val="left"/>
        </w:tabs>
        <w:numPr>
          <w:ilvl w:val="1"/>
          <w:numId w:val="35"/>
        </w:numPr>
        <w:rPr>
          <w:rFonts w:ascii="Arial" w:cs="Arial" w:eastAsia="Arial" w:hAnsi="Arial"/>
          <w:sz w:val="20"/>
          <w:szCs w:val="20"/>
          <w:color w:val="auto"/>
        </w:rPr>
      </w:pPr>
      <w:r>
        <w:rPr>
          <w:rFonts w:ascii="Arial" w:cs="Arial" w:eastAsia="Arial" w:hAnsi="Arial"/>
          <w:sz w:val="20"/>
          <w:szCs w:val="20"/>
          <w:color w:val="auto"/>
        </w:rPr>
        <w:t>If you seek to recover benefits from the Plan or to clarify your right to benefits under the Plan, the two-year period starts on the earliest of (a) the date when the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65405</wp:posOffset>
            </wp:positionV>
            <wp:extent cx="5544185" cy="24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44185" cy="24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240"/>
        <w:spacing w:after="0"/>
        <w:rPr>
          <w:rFonts w:ascii="Arial" w:cs="Arial" w:eastAsia="Arial" w:hAnsi="Arial"/>
          <w:sz w:val="21"/>
          <w:szCs w:val="21"/>
          <w:b w:val="1"/>
          <w:bCs w:val="1"/>
          <w:u w:val="single" w:color="auto"/>
          <w:color w:val="0563C1"/>
        </w:rPr>
      </w:pPr>
      <w:hyperlink w:anchor="page2">
        <w:r>
          <w:rPr>
            <w:rFonts w:ascii="Arial" w:cs="Arial" w:eastAsia="Arial" w:hAnsi="Arial"/>
            <w:sz w:val="21"/>
            <w:szCs w:val="21"/>
            <w:b w:val="1"/>
            <w:bCs w:val="1"/>
            <w:u w:val="single" w:color="auto"/>
            <w:color w:val="0563C1"/>
          </w:rPr>
          <w:t>Table of Contents</w:t>
        </w:r>
      </w:hyperlink>
    </w:p>
    <w:p>
      <w:pPr>
        <w:spacing w:after="0" w:line="112" w:lineRule="exact"/>
        <w:rPr>
          <w:sz w:val="20"/>
          <w:szCs w:val="20"/>
          <w:color w:val="auto"/>
        </w:rPr>
      </w:pPr>
    </w:p>
    <w:p>
      <w:pPr>
        <w:jc w:val="both"/>
        <w:ind w:left="1540" w:right="139"/>
        <w:spacing w:after="0" w:line="235" w:lineRule="auto"/>
        <w:rPr>
          <w:sz w:val="20"/>
          <w:szCs w:val="20"/>
          <w:color w:val="auto"/>
        </w:rPr>
      </w:pPr>
      <w:r>
        <w:rPr>
          <w:rFonts w:ascii="Arial" w:cs="Arial" w:eastAsia="Arial" w:hAnsi="Arial"/>
          <w:sz w:val="19"/>
          <w:szCs w:val="19"/>
          <w:color w:val="auto"/>
        </w:rPr>
        <w:t>first benefit payment was actually made, (b) the date the first benefit payment was allegedly due, or (c) the date when Avnet, the Compensation Committee, or the Plan first repudiated its alleged obligation to provide the benefit. For purposes of this rule, “repudiation” means a communication (which could be oral or in writing) indicating that you are not entitled to the particular benefit. A repudiation can be made in the form of a direct communication to you (such as a response to a claim or other inquiry, or a separation agreement) or a more general communication about the benefits payable under the Plan—for example, a summary of material modifications.</w:t>
      </w:r>
    </w:p>
    <w:p>
      <w:pPr>
        <w:spacing w:after="0" w:line="151" w:lineRule="exact"/>
        <w:rPr>
          <w:sz w:val="20"/>
          <w:szCs w:val="20"/>
          <w:color w:val="auto"/>
        </w:rPr>
      </w:pPr>
    </w:p>
    <w:p>
      <w:pPr>
        <w:jc w:val="both"/>
        <w:ind w:left="1540" w:right="139" w:hanging="306"/>
        <w:spacing w:after="0" w:line="212" w:lineRule="auto"/>
        <w:tabs>
          <w:tab w:leader="none" w:pos="15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In any other case, the two-year period starts on the earliest date as of which you knew or should have known of the material facts on which your lawsuit or other action is based (without regard to whether you understood the legal theory on which your claim is based). If this provision applies, you may not file a lawsuit or other action more than six years after (a) the last action on which the action is based, or (b) in the case of an omission, the latest date when the omission could have been cured—even if this six-year period ends before you knew or should have known the facts on which the action is based.</w:t>
      </w:r>
    </w:p>
    <w:p>
      <w:pPr>
        <w:sectPr>
          <w:pgSz w:w="11900" w:h="16838" w:orient="portrait"/>
          <w:cols w:equalWidth="0" w:num="1">
            <w:col w:w="9019"/>
          </w:cols>
          <w:pgMar w:left="1440" w:top="114" w:right="1440" w:bottom="1440" w:gutter="0" w:footer="0" w:header="0"/>
        </w:sectPr>
      </w:pPr>
    </w:p>
    <w:p>
      <w:pPr>
        <w:spacing w:after="0" w:line="156" w:lineRule="exact"/>
        <w:rPr>
          <w:sz w:val="20"/>
          <w:szCs w:val="20"/>
          <w:color w:val="auto"/>
        </w:rPr>
      </w:pPr>
    </w:p>
    <w:p>
      <w:pPr>
        <w:ind w:left="1240" w:hanging="8"/>
        <w:spacing w:after="0" w:line="234" w:lineRule="auto"/>
        <w:rPr>
          <w:sz w:val="20"/>
          <w:szCs w:val="20"/>
          <w:color w:val="auto"/>
        </w:rPr>
      </w:pPr>
      <w:r>
        <w:rPr>
          <w:rFonts w:ascii="Arial" w:cs="Arial" w:eastAsia="Arial" w:hAnsi="Arial"/>
          <w:sz w:val="21"/>
          <w:szCs w:val="21"/>
          <w:color w:val="auto"/>
        </w:rPr>
        <w:t>If</w:t>
      </w:r>
      <w:r>
        <w:rPr>
          <w:sz w:val="20"/>
          <w:szCs w:val="20"/>
          <w:color w:val="auto"/>
        </w:rPr>
        <w:t xml:space="preserve"> </w:t>
      </w:r>
      <w:r>
        <w:rPr>
          <w:rFonts w:ascii="Arial" w:cs="Arial" w:eastAsia="Arial" w:hAnsi="Arial"/>
          <w:sz w:val="21"/>
          <w:szCs w:val="21"/>
          <w:color w:val="auto"/>
        </w:rPr>
        <w:t>the two-year period ends while your claim or appeal is the Compensation Committee, the time limit will be extended</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firstLine="149"/>
        <w:spacing w:after="0" w:line="234" w:lineRule="auto"/>
        <w:rPr>
          <w:sz w:val="20"/>
          <w:szCs w:val="20"/>
          <w:color w:val="auto"/>
        </w:rPr>
      </w:pPr>
      <w:r>
        <w:rPr>
          <w:rFonts w:ascii="Arial" w:cs="Arial" w:eastAsia="Arial" w:hAnsi="Arial"/>
          <w:sz w:val="21"/>
          <w:szCs w:val="21"/>
          <w:color w:val="auto"/>
        </w:rPr>
        <w:t>still until</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both"/>
        <w:ind w:firstLine="118"/>
        <w:spacing w:after="0" w:line="258" w:lineRule="auto"/>
        <w:rPr>
          <w:sz w:val="20"/>
          <w:szCs w:val="20"/>
          <w:color w:val="auto"/>
        </w:rPr>
      </w:pPr>
      <w:r>
        <w:rPr>
          <w:rFonts w:ascii="Arial" w:cs="Arial" w:eastAsia="Arial" w:hAnsi="Arial"/>
          <w:sz w:val="19"/>
          <w:szCs w:val="19"/>
          <w:color w:val="auto"/>
        </w:rPr>
        <w:t>pending 180 days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both"/>
        <w:ind w:right="139" w:firstLine="8"/>
        <w:spacing w:after="0" w:line="273" w:lineRule="auto"/>
        <w:rPr>
          <w:sz w:val="20"/>
          <w:szCs w:val="20"/>
          <w:color w:val="auto"/>
        </w:rPr>
      </w:pPr>
      <w:r>
        <w:rPr>
          <w:rFonts w:ascii="Arial" w:cs="Arial" w:eastAsia="Arial" w:hAnsi="Arial"/>
          <w:sz w:val="18"/>
          <w:szCs w:val="18"/>
          <w:color w:val="auto"/>
        </w:rPr>
        <w:t>with after</w:t>
      </w:r>
    </w:p>
    <w:p>
      <w:pPr>
        <w:spacing w:after="0" w:line="1" w:lineRule="exact"/>
        <w:rPr>
          <w:sz w:val="20"/>
          <w:szCs w:val="20"/>
          <w:color w:val="auto"/>
        </w:rPr>
      </w:pPr>
    </w:p>
    <w:p>
      <w:pPr>
        <w:sectPr>
          <w:pgSz w:w="11900" w:h="16838" w:orient="portrait"/>
          <w:cols w:equalWidth="0" w:num="4">
            <w:col w:w="7040" w:space="20"/>
            <w:col w:w="460" w:space="40"/>
            <w:col w:w="820" w:space="120"/>
            <w:col w:w="519"/>
          </w:cols>
          <w:pgMar w:left="1440" w:top="114" w:right="1440" w:bottom="1440" w:gutter="0" w:footer="0" w:header="0"/>
          <w:type w:val="continuous"/>
        </w:sectPr>
      </w:pPr>
    </w:p>
    <w:p>
      <w:pPr>
        <w:ind w:left="1240"/>
        <w:spacing w:after="0"/>
        <w:rPr>
          <w:sz w:val="20"/>
          <w:szCs w:val="20"/>
          <w:color w:val="auto"/>
        </w:rPr>
      </w:pPr>
      <w:r>
        <w:rPr>
          <w:rFonts w:ascii="Arial" w:cs="Arial" w:eastAsia="Arial" w:hAnsi="Arial"/>
          <w:sz w:val="18"/>
          <w:szCs w:val="18"/>
          <w:color w:val="auto"/>
        </w:rPr>
        <w:t>the Compensation Committee makes its final decision on appeal.</w:t>
      </w:r>
    </w:p>
    <w:p>
      <w:pPr>
        <w:sectPr>
          <w:pgSz w:w="11900" w:h="16838" w:orient="portrait"/>
          <w:cols w:equalWidth="0" w:num="1">
            <w:col w:w="9019"/>
          </w:cols>
          <w:pgMar w:left="1440" w:top="114" w:right="1440" w:bottom="1440" w:gutter="0" w:footer="0" w:header="0"/>
          <w:type w:val="continuous"/>
        </w:sectPr>
      </w:pPr>
    </w:p>
    <w:p>
      <w:pPr>
        <w:spacing w:after="0" w:line="150" w:lineRule="exact"/>
        <w:rPr>
          <w:sz w:val="20"/>
          <w:szCs w:val="20"/>
          <w:color w:val="auto"/>
        </w:rPr>
      </w:pPr>
    </w:p>
    <w:p>
      <w:pPr>
        <w:ind w:left="140"/>
        <w:spacing w:after="0"/>
        <w:rPr>
          <w:sz w:val="20"/>
          <w:szCs w:val="20"/>
          <w:color w:val="auto"/>
        </w:rPr>
      </w:pPr>
      <w:r>
        <w:rPr>
          <w:rFonts w:ascii="Arial" w:cs="Arial" w:eastAsia="Arial" w:hAnsi="Arial"/>
          <w:sz w:val="21"/>
          <w:szCs w:val="21"/>
          <w:color w:val="auto"/>
        </w:rPr>
        <w:t>Dated this 10</w:t>
      </w:r>
      <w:r>
        <w:rPr>
          <w:rFonts w:ascii="Arial" w:cs="Arial" w:eastAsia="Arial" w:hAnsi="Arial"/>
          <w:sz w:val="21"/>
          <w:szCs w:val="21"/>
          <w:color w:val="auto"/>
          <w:vertAlign w:val="superscript"/>
        </w:rPr>
        <w:t>th</w:t>
      </w:r>
      <w:r>
        <w:rPr>
          <w:rFonts w:ascii="Arial" w:cs="Arial" w:eastAsia="Arial" w:hAnsi="Arial"/>
          <w:sz w:val="21"/>
          <w:szCs w:val="21"/>
          <w:color w:val="auto"/>
        </w:rPr>
        <w:t xml:space="preserve"> day of August,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AVNET, INC.</w:t>
      </w:r>
    </w:p>
    <w:p>
      <w:pPr>
        <w:spacing w:after="0" w:line="334"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By:</w:t>
      </w:r>
    </w:p>
    <w:p>
      <w:pPr>
        <w:ind w:left="5420"/>
        <w:spacing w:after="0"/>
        <w:rPr>
          <w:sz w:val="20"/>
          <w:szCs w:val="20"/>
          <w:color w:val="auto"/>
        </w:rPr>
      </w:pPr>
      <w:r>
        <w:rPr>
          <w:rFonts w:ascii="Arial" w:cs="Arial" w:eastAsia="Arial" w:hAnsi="Arial"/>
          <w:sz w:val="19"/>
          <w:szCs w:val="19"/>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3782060</wp:posOffset>
            </wp:positionH>
            <wp:positionV relativeFrom="paragraph">
              <wp:posOffset>-14605</wp:posOffset>
            </wp:positionV>
            <wp:extent cx="18561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56105" cy="825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-137795</wp:posOffset>
            </wp:positionV>
            <wp:extent cx="22669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6695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65405</wp:posOffset>
            </wp:positionV>
            <wp:extent cx="554418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44185" cy="1651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44" w:name="page45"/>
    <w:bookmarkEnd w:id="44"/>
    <w:p>
      <w:pPr>
        <w:ind w:left="240"/>
        <w:spacing w:after="0"/>
        <w:rPr>
          <w:rFonts w:ascii="Arial" w:cs="Arial" w:eastAsia="Arial" w:hAnsi="Arial"/>
          <w:sz w:val="21"/>
          <w:szCs w:val="21"/>
          <w:b w:val="1"/>
          <w:bCs w:val="1"/>
          <w:u w:val="single" w:color="auto"/>
          <w:color w:val="0563C1"/>
        </w:rPr>
      </w:pPr>
      <w:hyperlink w:anchor="page2">
        <w:r>
          <w:rPr>
            <w:rFonts w:ascii="Arial" w:cs="Arial" w:eastAsia="Arial" w:hAnsi="Arial"/>
            <w:sz w:val="21"/>
            <w:szCs w:val="21"/>
            <w:b w:val="1"/>
            <w:bCs w:val="1"/>
            <w:u w:val="single" w:color="auto"/>
            <w:color w:val="0563C1"/>
          </w:rPr>
          <w:t>Table of Contents</w:t>
        </w:r>
      </w:hyperlink>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APPENDIX 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Sample Release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(See attached)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65405</wp:posOffset>
            </wp:positionV>
            <wp:extent cx="5544185" cy="24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44185" cy="24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ind w:left="720"/>
        <w:spacing w:after="0"/>
        <w:rPr>
          <w:rFonts w:ascii="Arial" w:cs="Arial" w:eastAsia="Arial" w:hAnsi="Arial"/>
          <w:sz w:val="21"/>
          <w:szCs w:val="21"/>
          <w:b w:val="1"/>
          <w:bCs w:val="1"/>
          <w:u w:val="single" w:color="auto"/>
          <w:color w:val="0563C1"/>
        </w:rPr>
      </w:pPr>
      <w:hyperlink w:anchor="page2">
        <w:r>
          <w:rPr>
            <w:rFonts w:ascii="Arial" w:cs="Arial" w:eastAsia="Arial" w:hAnsi="Arial"/>
            <w:sz w:val="21"/>
            <w:szCs w:val="21"/>
            <w:b w:val="1"/>
            <w:bCs w:val="1"/>
            <w:u w:val="single" w:color="auto"/>
            <w:color w:val="0563C1"/>
          </w:rPr>
          <w:t>Table of Contents</w:t>
        </w:r>
      </w:hyperlink>
    </w:p>
    <w:p>
      <w:pPr>
        <w:spacing w:after="0" w:line="167"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AVNET EXECUTIVE SEVERANCE PLAN</w:t>
      </w:r>
    </w:p>
    <w:p>
      <w:pPr>
        <w:spacing w:after="0" w:line="76"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GENERAL RELEASE</w:t>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7"/>
          <w:szCs w:val="17"/>
          <w:b w:val="1"/>
          <w:bCs w:val="1"/>
          <w:color w:val="auto"/>
        </w:rPr>
        <w:t>RELEASE AND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-111760</wp:posOffset>
            </wp:positionV>
            <wp:extent cx="6015355" cy="2463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15355" cy="246380"/>
                    </a:xfrm>
                    <a:prstGeom prst="rect">
                      <a:avLst/>
                    </a:prstGeom>
                    <a:noFill/>
                  </pic:spPr>
                </pic:pic>
              </a:graphicData>
            </a:graphic>
          </wp:anchor>
        </w:drawing>
      </w:r>
    </w:p>
    <w:p>
      <w:pPr>
        <w:spacing w:after="0" w:line="160" w:lineRule="exact"/>
        <w:rPr>
          <w:sz w:val="20"/>
          <w:szCs w:val="20"/>
          <w:color w:val="auto"/>
        </w:rPr>
      </w:pPr>
    </w:p>
    <w:p>
      <w:pPr>
        <w:jc w:val="both"/>
        <w:spacing w:after="0" w:line="226" w:lineRule="auto"/>
        <w:rPr>
          <w:sz w:val="20"/>
          <w:szCs w:val="20"/>
          <w:color w:val="auto"/>
        </w:rPr>
      </w:pPr>
      <w:r>
        <w:rPr>
          <w:rFonts w:ascii="Arial" w:cs="Arial" w:eastAsia="Arial" w:hAnsi="Arial"/>
          <w:sz w:val="16"/>
          <w:szCs w:val="16"/>
          <w:color w:val="auto"/>
        </w:rPr>
        <w:t>In consideration for the benefits that I will receive under the Avnet Executive Severance Plan (effective August 10</w:t>
      </w:r>
      <w:r>
        <w:rPr>
          <w:rFonts w:ascii="Arial" w:cs="Arial" w:eastAsia="Arial" w:hAnsi="Arial"/>
          <w:sz w:val="8"/>
          <w:szCs w:val="8"/>
          <w:color w:val="auto"/>
        </w:rPr>
        <w:t>th</w:t>
      </w:r>
      <w:r>
        <w:rPr>
          <w:rFonts w:ascii="Arial" w:cs="Arial" w:eastAsia="Arial" w:hAnsi="Arial"/>
          <w:sz w:val="16"/>
          <w:szCs w:val="16"/>
          <w:color w:val="auto"/>
        </w:rPr>
        <w:t>, 2017) (the “</w:t>
      </w:r>
      <w:r>
        <w:rPr>
          <w:rFonts w:ascii="Arial" w:cs="Arial" w:eastAsia="Arial" w:hAnsi="Arial"/>
          <w:sz w:val="16"/>
          <w:szCs w:val="16"/>
          <w:b w:val="1"/>
          <w:bCs w:val="1"/>
          <w:color w:val="auto"/>
        </w:rPr>
        <w:t>Plan</w:t>
      </w:r>
      <w:r>
        <w:rPr>
          <w:rFonts w:ascii="Arial" w:cs="Arial" w:eastAsia="Arial" w:hAnsi="Arial"/>
          <w:sz w:val="16"/>
          <w:szCs w:val="16"/>
          <w:color w:val="auto"/>
        </w:rPr>
        <w:t>”), I and any person acting by, through, under or on behalf of me, release, waive, and forever discharge Avnet, Inc., its subsidiaries and affiliates and all of their respective agents, employees, officers, directors, shareholders, successors, and assigns (the “</w:t>
      </w:r>
      <w:r>
        <w:rPr>
          <w:rFonts w:ascii="Arial" w:cs="Arial" w:eastAsia="Arial" w:hAnsi="Arial"/>
          <w:sz w:val="16"/>
          <w:szCs w:val="16"/>
          <w:b w:val="1"/>
          <w:bCs w:val="1"/>
          <w:color w:val="auto"/>
        </w:rPr>
        <w:t>Company</w:t>
      </w:r>
      <w:r>
        <w:rPr>
          <w:rFonts w:ascii="Arial" w:cs="Arial" w:eastAsia="Arial" w:hAnsi="Arial"/>
          <w:sz w:val="16"/>
          <w:szCs w:val="16"/>
          <w:color w:val="auto"/>
        </w:rPr>
        <w:t>”) from any and all actions, demands, obligations, agreements, or proceedings of any kind, individually or as part of a group action, whether known or unknown, arising out of, or connected with, claims of unlawful discrimination, harassment, or failure to accommodate; the terms and conditions of my employment; my compensation and benefits; and/or my termination of my employment from the Company, including, but not limited to all matters in law, in equity, in contract, or in tort, or pursuant to statute, including damages, attorney’s fees, costs and expenses and, without limiting the generality of the foregoing, to all claims arising under the Age Discrimination in Employment Act (ADEA), Title VII of the Civil Rights Act of 1964, the Civil Rights Act of 1991, the Americans with Disabilities Act, the National Labor Relations Act (NLRA), the Family and Medical Leave Act (FMLA) or any other federal, state, or local law, statute, or ordinance affecting my employment with or separation from the Company.</w:t>
      </w:r>
    </w:p>
    <w:p>
      <w:pPr>
        <w:spacing w:after="0" w:line="65" w:lineRule="exact"/>
        <w:rPr>
          <w:sz w:val="20"/>
          <w:szCs w:val="20"/>
          <w:color w:val="auto"/>
        </w:rPr>
      </w:pPr>
    </w:p>
    <w:p>
      <w:pPr>
        <w:ind w:left="300" w:right="3100" w:firstLine="1149"/>
        <w:spacing w:after="0" w:line="400" w:lineRule="auto"/>
        <w:rPr>
          <w:sz w:val="20"/>
          <w:szCs w:val="20"/>
          <w:color w:val="auto"/>
        </w:rPr>
      </w:pPr>
      <w:r>
        <w:rPr>
          <w:rFonts w:ascii="Arial" w:cs="Arial" w:eastAsia="Arial" w:hAnsi="Arial"/>
          <w:sz w:val="17"/>
          <w:szCs w:val="17"/>
          <w:b w:val="1"/>
          <w:bCs w:val="1"/>
          <w:color w:val="auto"/>
        </w:rPr>
        <w:t xml:space="preserve">VOLUNTARY AGREEMENT; ADVICE OF COUNSEL; 21-DAY PERIOD </w:t>
      </w:r>
      <w:r>
        <w:rPr>
          <w:rFonts w:ascii="Arial" w:cs="Arial" w:eastAsia="Arial" w:hAnsi="Arial"/>
          <w:sz w:val="17"/>
          <w:szCs w:val="17"/>
          <w:color w:val="auto"/>
        </w:rPr>
        <w:t>I acknowledge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-401320</wp:posOffset>
            </wp:positionV>
            <wp:extent cx="6015355" cy="2463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15355" cy="246380"/>
                    </a:xfrm>
                    <a:prstGeom prst="rect">
                      <a:avLst/>
                    </a:prstGeom>
                    <a:noFill/>
                  </pic:spPr>
                </pic:pic>
              </a:graphicData>
            </a:graphic>
          </wp:anchor>
        </w:drawing>
      </w:r>
    </w:p>
    <w:p>
      <w:pPr>
        <w:jc w:val="both"/>
        <w:ind w:left="320" w:hanging="309"/>
        <w:spacing w:after="0" w:line="238" w:lineRule="auto"/>
        <w:rPr>
          <w:sz w:val="20"/>
          <w:szCs w:val="20"/>
          <w:color w:val="auto"/>
        </w:rPr>
      </w:pPr>
      <w:r>
        <w:rPr>
          <w:rFonts w:ascii="Arial" w:cs="Arial" w:eastAsia="Arial" w:hAnsi="Arial"/>
          <w:sz w:val="17"/>
          <w:szCs w:val="17"/>
          <w:color w:val="auto"/>
        </w:rPr>
        <w:t>(a)I have read this document, and I understand its legal and binding effect. I am acting voluntarily and of my own free will in executing this release.</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(b)The consideration for this release is in addition to anything of value to which I already am entitled.</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(c)I have had the opportunity to seek, and I am advised in writing to seek, legal counsel prior to signing this release.</w:t>
      </w:r>
    </w:p>
    <w:p>
      <w:pPr>
        <w:spacing w:after="0" w:line="76" w:lineRule="exact"/>
        <w:rPr>
          <w:sz w:val="20"/>
          <w:szCs w:val="20"/>
          <w:color w:val="auto"/>
        </w:rPr>
      </w:pPr>
    </w:p>
    <w:p>
      <w:pPr>
        <w:jc w:val="both"/>
        <w:ind w:left="320" w:hanging="309"/>
        <w:spacing w:after="0" w:line="215" w:lineRule="auto"/>
        <w:rPr>
          <w:sz w:val="20"/>
          <w:szCs w:val="20"/>
          <w:color w:val="auto"/>
        </w:rPr>
      </w:pPr>
      <w:r>
        <w:rPr>
          <w:rFonts w:ascii="Arial" w:cs="Arial" w:eastAsia="Arial" w:hAnsi="Arial"/>
          <w:sz w:val="17"/>
          <w:szCs w:val="17"/>
          <w:color w:val="auto"/>
        </w:rPr>
        <w:t>(d)I have been given at least 21 days from the date I received this General Release and any attached information to consider the terms of this release before signing it. I knowingly and voluntarily waive the remainder of the 21-day consideration period, if any, following the date I signed this release below. I have not been asked by the Company to shorten my time-period for consideration of whether to sign this release. The Company has not threatened to withdraw or alter the benefits due me prior to the expiration of the 21-day period nor has the Company provided different terms to me because I have decided to sign this release prior to the expiration of the 21-day consideration period. I understand that having waived some portion of the 21-day consideration period, the Company may expedite the processing of benefits provided to me in exchange for signing this release.</w:t>
      </w:r>
    </w:p>
    <w:p>
      <w:pPr>
        <w:spacing w:after="0" w:line="55" w:lineRule="exact"/>
        <w:rPr>
          <w:sz w:val="20"/>
          <w:szCs w:val="20"/>
          <w:color w:val="auto"/>
        </w:rPr>
      </w:pPr>
    </w:p>
    <w:p>
      <w:pPr>
        <w:jc w:val="both"/>
        <w:ind w:left="320" w:hanging="309"/>
        <w:spacing w:after="0" w:line="238" w:lineRule="auto"/>
        <w:rPr>
          <w:sz w:val="20"/>
          <w:szCs w:val="20"/>
          <w:color w:val="auto"/>
        </w:rPr>
      </w:pPr>
      <w:r>
        <w:rPr>
          <w:rFonts w:ascii="Arial" w:cs="Arial" w:eastAsia="Arial" w:hAnsi="Arial"/>
          <w:sz w:val="17"/>
          <w:szCs w:val="17"/>
          <w:color w:val="auto"/>
        </w:rPr>
        <w:t>(e)I agree with the Company that changes, whether material or immaterial, do not restart the running of the 21-day consideration period.</w:t>
      </w:r>
    </w:p>
    <w:p>
      <w:pPr>
        <w:spacing w:after="0" w:line="52" w:lineRule="exact"/>
        <w:rPr>
          <w:sz w:val="20"/>
          <w:szCs w:val="20"/>
          <w:color w:val="auto"/>
        </w:rPr>
      </w:pPr>
    </w:p>
    <w:p>
      <w:pPr>
        <w:jc w:val="both"/>
        <w:ind w:left="320" w:hanging="309"/>
        <w:spacing w:after="0" w:line="215" w:lineRule="auto"/>
        <w:rPr>
          <w:sz w:val="20"/>
          <w:szCs w:val="20"/>
          <w:color w:val="auto"/>
        </w:rPr>
      </w:pPr>
      <w:r>
        <w:rPr>
          <w:rFonts w:ascii="Arial" w:cs="Arial" w:eastAsia="Arial" w:hAnsi="Arial"/>
          <w:sz w:val="17"/>
          <w:szCs w:val="17"/>
          <w:color w:val="auto"/>
        </w:rPr>
        <w:t>(f)I (i) will have received all compensation due to me as a result of services performed for the Company upon the receipt of the Severance Benefit (as such term is defined in the Plan); (ii) have reported to the Company any and all work-related injuries incurred by me during my employment by the Company; (iii) have been properly provided any leave of absence because of my or a family member’s health condition or military deployment, and have not been subjected to any improper treatment, conduct or actions due to a request for or taking such leave; (iv) have provided the Company with written notice of any and all concerns regarding suspected ethical and compliance issues or violations on the part of the Company or any released person or entity; and (v) have not filed any complaints, claims, or actions against the Company or any released person or entity.</w:t>
      </w:r>
    </w:p>
    <w:p>
      <w:pPr>
        <w:spacing w:after="0" w:line="62" w:lineRule="exact"/>
        <w:rPr>
          <w:sz w:val="20"/>
          <w:szCs w:val="20"/>
          <w:color w:val="auto"/>
        </w:rPr>
      </w:pPr>
    </w:p>
    <w:p>
      <w:pPr>
        <w:ind w:left="1460"/>
        <w:spacing w:after="0"/>
        <w:rPr>
          <w:sz w:val="20"/>
          <w:szCs w:val="20"/>
          <w:color w:val="auto"/>
        </w:rPr>
      </w:pPr>
      <w:r>
        <w:rPr>
          <w:rFonts w:ascii="Arial" w:cs="Arial" w:eastAsia="Arial" w:hAnsi="Arial"/>
          <w:sz w:val="17"/>
          <w:szCs w:val="17"/>
          <w:b w:val="1"/>
          <w:bCs w:val="1"/>
          <w:color w:val="auto"/>
        </w:rPr>
        <w:t>REVOCATION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-111760</wp:posOffset>
            </wp:positionV>
            <wp:extent cx="6015355" cy="2463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15355" cy="246380"/>
                    </a:xfrm>
                    <a:prstGeom prst="rect">
                      <a:avLst/>
                    </a:prstGeom>
                    <a:noFill/>
                  </pic:spPr>
                </pic:pic>
              </a:graphicData>
            </a:graphic>
          </wp:anchor>
        </w:drawing>
      </w:r>
    </w:p>
    <w:p>
      <w:pPr>
        <w:spacing w:after="0" w:line="166" w:lineRule="exact"/>
        <w:rPr>
          <w:sz w:val="20"/>
          <w:szCs w:val="20"/>
          <w:color w:val="auto"/>
        </w:rPr>
      </w:pPr>
    </w:p>
    <w:p>
      <w:pPr>
        <w:jc w:val="both"/>
        <w:ind w:hanging="8"/>
        <w:spacing w:after="0" w:line="219" w:lineRule="auto"/>
        <w:rPr>
          <w:sz w:val="20"/>
          <w:szCs w:val="20"/>
          <w:color w:val="auto"/>
        </w:rPr>
      </w:pPr>
      <w:r>
        <w:rPr>
          <w:rFonts w:ascii="Arial" w:cs="Arial" w:eastAsia="Arial" w:hAnsi="Arial"/>
          <w:sz w:val="17"/>
          <w:szCs w:val="17"/>
          <w:color w:val="auto"/>
        </w:rPr>
        <w:t>I understand that if I sign this release, I can change my mind and revoke it within seven days after signing it by returning it with written revocation notice to Darrel Jackson, Associate General Counsel, Avnet, Inc., 2211 S. 47</w:t>
      </w:r>
      <w:r>
        <w:rPr>
          <w:rFonts w:ascii="Arial" w:cs="Arial" w:eastAsia="Arial" w:hAnsi="Arial"/>
          <w:sz w:val="8"/>
          <w:szCs w:val="8"/>
          <w:color w:val="auto"/>
        </w:rPr>
        <w:t>th</w:t>
      </w:r>
      <w:r>
        <w:rPr>
          <w:rFonts w:ascii="Arial" w:cs="Arial" w:eastAsia="Arial" w:hAnsi="Arial"/>
          <w:sz w:val="17"/>
          <w:szCs w:val="17"/>
          <w:color w:val="auto"/>
        </w:rPr>
        <w:t xml:space="preserve"> Street, Phoenix, Arizona, 85034. I understand that the release and waiver set forth in the first paragraph above will not be effective until after this seven-day period has expired, and I will receive no benefits until after the release is effective. If the revocation day expires on a weekend or holiday, I understand I have until the end of the next business day to revoke.</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7"/>
          <w:szCs w:val="17"/>
          <w:b w:val="1"/>
          <w:bCs w:val="1"/>
          <w:color w:val="auto"/>
        </w:rPr>
        <w:t>BINDING AGREEMENT AND PROMISE NOT TO 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-111760</wp:posOffset>
            </wp:positionV>
            <wp:extent cx="6015355" cy="2463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15355" cy="246380"/>
                    </a:xfrm>
                    <a:prstGeom prst="rect">
                      <a:avLst/>
                    </a:prstGeom>
                    <a:noFill/>
                  </pic:spPr>
                </pic:pic>
              </a:graphicData>
            </a:graphic>
          </wp:anchor>
        </w:drawing>
      </w:r>
    </w:p>
    <w:p>
      <w:pPr>
        <w:spacing w:after="0" w:line="166" w:lineRule="exact"/>
        <w:rPr>
          <w:sz w:val="20"/>
          <w:szCs w:val="20"/>
          <w:color w:val="auto"/>
        </w:rPr>
      </w:pPr>
    </w:p>
    <w:p>
      <w:pPr>
        <w:jc w:val="both"/>
        <w:ind w:hanging="8"/>
        <w:spacing w:after="0" w:line="242" w:lineRule="auto"/>
        <w:rPr>
          <w:sz w:val="20"/>
          <w:szCs w:val="20"/>
          <w:color w:val="auto"/>
        </w:rPr>
      </w:pPr>
      <w:r>
        <w:rPr>
          <w:rFonts w:ascii="Arial" w:cs="Arial" w:eastAsia="Arial" w:hAnsi="Arial"/>
          <w:sz w:val="16"/>
          <w:szCs w:val="16"/>
          <w:color w:val="auto"/>
        </w:rPr>
        <w:t>I understand that following the seven-day revocation period, this release will be final and binding. I promise that I will not pursue any claim that I have settled by this release. If I break this promise, I agree to pay all of the Company’s costs and expenses (including reasonable attorneys’ fees) related to the defense of any claims except this promise not to sue does not apply to claims that I may have under the Older</w:t>
      </w:r>
    </w:p>
    <w:p>
      <w:pPr>
        <w:spacing w:after="0" w:line="146" w:lineRule="exact"/>
        <w:rPr>
          <w:sz w:val="20"/>
          <w:szCs w:val="20"/>
          <w:color w:val="auto"/>
        </w:rPr>
      </w:pPr>
    </w:p>
    <w:p>
      <w:pPr>
        <w:jc w:val="center"/>
        <w:ind w:right="140"/>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65405</wp:posOffset>
            </wp:positionV>
            <wp:extent cx="5544185" cy="24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44185" cy="24765"/>
                    </a:xfrm>
                    <a:prstGeom prst="rect">
                      <a:avLst/>
                    </a:prstGeom>
                    <a:noFill/>
                  </pic:spPr>
                </pic:pic>
              </a:graphicData>
            </a:graphic>
          </wp:anchor>
        </w:drawing>
      </w:r>
    </w:p>
    <w:p>
      <w:pPr>
        <w:sectPr>
          <w:pgSz w:w="11900" w:h="16838" w:orient="portrait"/>
          <w:cols w:equalWidth="0" w:num="1">
            <w:col w:w="10140"/>
          </w:cols>
          <w:pgMar w:left="960" w:top="114" w:right="799" w:bottom="1440" w:gutter="0" w:footer="0" w:header="0"/>
        </w:sectPr>
      </w:pPr>
    </w:p>
    <w:bookmarkStart w:id="46" w:name="page47"/>
    <w:bookmarkEnd w:id="46"/>
    <w:p>
      <w:pPr>
        <w:ind w:left="720"/>
        <w:spacing w:after="0"/>
        <w:rPr>
          <w:rFonts w:ascii="Arial" w:cs="Arial" w:eastAsia="Arial" w:hAnsi="Arial"/>
          <w:sz w:val="21"/>
          <w:szCs w:val="21"/>
          <w:b w:val="1"/>
          <w:bCs w:val="1"/>
          <w:u w:val="single" w:color="auto"/>
          <w:color w:val="0563C1"/>
        </w:rPr>
      </w:pPr>
      <w:hyperlink w:anchor="page2">
        <w:r>
          <w:rPr>
            <w:rFonts w:ascii="Arial" w:cs="Arial" w:eastAsia="Arial" w:hAnsi="Arial"/>
            <w:sz w:val="21"/>
            <w:szCs w:val="21"/>
            <w:b w:val="1"/>
            <w:bCs w:val="1"/>
            <w:u w:val="single" w:color="auto"/>
            <w:color w:val="0563C1"/>
          </w:rPr>
          <w:t>Table of Contents</w:t>
        </w:r>
      </w:hyperlink>
    </w:p>
    <w:p>
      <w:pPr>
        <w:spacing w:after="0" w:line="121" w:lineRule="exact"/>
        <w:rPr>
          <w:sz w:val="20"/>
          <w:szCs w:val="20"/>
          <w:color w:val="auto"/>
        </w:rPr>
      </w:pPr>
    </w:p>
    <w:p>
      <w:pPr>
        <w:jc w:val="both"/>
        <w:ind w:right="420"/>
        <w:spacing w:after="0" w:line="214" w:lineRule="auto"/>
        <w:rPr>
          <w:sz w:val="20"/>
          <w:szCs w:val="20"/>
          <w:color w:val="auto"/>
        </w:rPr>
      </w:pPr>
      <w:r>
        <w:rPr>
          <w:rFonts w:ascii="Arial" w:cs="Arial" w:eastAsia="Arial" w:hAnsi="Arial"/>
          <w:sz w:val="17"/>
          <w:szCs w:val="17"/>
          <w:color w:val="auto"/>
        </w:rPr>
        <w:t>Worker Benefit Protection Act (OWBPA) and the ADEA. Although I am releasing claims that I may have under the OWBPA and the ADEA, I understand that I may challenge the knowing and voluntary nature of this release under the OWBPA and the ADEA before a court, the Equal Employment Opportunity Commission (EEOC), or any other federal, state or local agency charged with the enforcement of any employment laws. I understand, however, that if I pursue a claim against the Company under the OWBPA and/or the ADEA, a court has the discretion to determine whether the Company is entitled to restitution, recoupment, or set off (hereinafter “reduction”) against a monetary award obtained by me in the court proceeding. A reduction never can exceed the amount I recover, or the consideration I received for signing this release, whichever is less. I also recognize that the Company may be entitled to recover costs and attorneys fees incurred by the Company as specifically authorized under applicable law.</w:t>
      </w:r>
    </w:p>
    <w:p>
      <w:pPr>
        <w:spacing w:after="0" w:line="61"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COMPANY PROPERTY; CONFIDENTIALITY; GENERAL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793115</wp:posOffset>
            </wp:positionH>
            <wp:positionV relativeFrom="paragraph">
              <wp:posOffset>-111760</wp:posOffset>
            </wp:positionV>
            <wp:extent cx="6061710" cy="2463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61710" cy="246380"/>
                    </a:xfrm>
                    <a:prstGeom prst="rect">
                      <a:avLst/>
                    </a:prstGeom>
                    <a:noFill/>
                  </pic:spPr>
                </pic:pic>
              </a:graphicData>
            </a:graphic>
          </wp:anchor>
        </w:drawing>
      </w:r>
    </w:p>
    <w:p>
      <w:pPr>
        <w:spacing w:after="0" w:line="166" w:lineRule="exact"/>
        <w:rPr>
          <w:sz w:val="20"/>
          <w:szCs w:val="20"/>
          <w:color w:val="auto"/>
        </w:rPr>
      </w:pPr>
    </w:p>
    <w:p>
      <w:pPr>
        <w:jc w:val="both"/>
        <w:ind w:right="340" w:hanging="8"/>
        <w:spacing w:after="0" w:line="244" w:lineRule="auto"/>
        <w:rPr>
          <w:sz w:val="20"/>
          <w:szCs w:val="20"/>
          <w:color w:val="auto"/>
        </w:rPr>
      </w:pPr>
      <w:r>
        <w:rPr>
          <w:rFonts w:ascii="Arial" w:cs="Arial" w:eastAsia="Arial" w:hAnsi="Arial"/>
          <w:sz w:val="15"/>
          <w:szCs w:val="15"/>
          <w:color w:val="auto"/>
        </w:rPr>
        <w:t>I agree to return all confidential information, computer hardware or software, files, papers, memoranda, correspondence, customer lists, financial data, credit cards, keys, tape recordings, pictures, and security access cards, and any other items of any nature which were or are the property of the Company. I further agree not to retain any copies of any such property in my possession or under my control. I also agree to retain in confidence any confidential information known to me concerning the Company until such information is publicly available. I further agree to maintain the confidentiality of this release and will not disclose in any fashion this release, the reasons for my departure from the Company, events that occurred during my employment, the amount of the benefits I receive, and/or the substance or content of discussions involved in this release to any person other than my attorneys, accountants, and tax advisors as required by appropriate taxing authorities, or otherwise as required by law.</w:t>
      </w:r>
    </w:p>
    <w:p>
      <w:pPr>
        <w:spacing w:after="0" w:line="53" w:lineRule="exact"/>
        <w:rPr>
          <w:sz w:val="20"/>
          <w:szCs w:val="20"/>
          <w:color w:val="auto"/>
        </w:rPr>
      </w:pPr>
    </w:p>
    <w:p>
      <w:pPr>
        <w:jc w:val="both"/>
        <w:ind w:right="340" w:hanging="8"/>
        <w:spacing w:after="0" w:line="226" w:lineRule="auto"/>
        <w:rPr>
          <w:sz w:val="20"/>
          <w:szCs w:val="20"/>
          <w:color w:val="auto"/>
        </w:rPr>
      </w:pPr>
      <w:r>
        <w:rPr>
          <w:rFonts w:ascii="Arial" w:cs="Arial" w:eastAsia="Arial" w:hAnsi="Arial"/>
          <w:sz w:val="16"/>
          <w:szCs w:val="16"/>
          <w:color w:val="auto"/>
        </w:rPr>
        <w:t>The validity of this release shall be construed under the law of the state in which I last worked for the Company. The Plan and this release constitute the complete and total agreement between the Company and me with respect to issues addressed in this release, except this release shall not in any way affect, modify, or nullify any prior agreement I have entered into with the Company regarding confidentiality, trade secrets, inventions, or unfair competition. I represent that I am not relying on any other agreements or oral representations not fully expressed in this document. I agree that this release shall not be modified, altered, or discharged except by written instrument signed by an authorized Company representative and me. The headings in this document are for reference only, and shall not in any way affect the meaning or interpretation of this release. I further agree that this document may be used as evidence in a subsequent proceeding in which the Company or I allege a breach of this release or as a complete defense to any lawsuit. Other than this exception, I agree that this release will not be introduced as evidence in any administrative proceeding or in any lawsuit. I agree that should any part of this release be found to be void or unenforceable by a court of competent jurisdiction, that determination will not affect the remainder of this release.</w:t>
      </w:r>
    </w:p>
    <w:p>
      <w:pPr>
        <w:spacing w:after="0" w:line="59"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EXCEPTIONS AND NO INTERFERENCE WITH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793115</wp:posOffset>
            </wp:positionH>
            <wp:positionV relativeFrom="paragraph">
              <wp:posOffset>-111760</wp:posOffset>
            </wp:positionV>
            <wp:extent cx="6061710" cy="2463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61710" cy="246380"/>
                    </a:xfrm>
                    <a:prstGeom prst="rect">
                      <a:avLst/>
                    </a:prstGeom>
                    <a:noFill/>
                  </pic:spPr>
                </pic:pic>
              </a:graphicData>
            </a:graphic>
          </wp:anchor>
        </w:drawing>
      </w:r>
    </w:p>
    <w:p>
      <w:pPr>
        <w:spacing w:after="0" w:line="160" w:lineRule="exact"/>
        <w:rPr>
          <w:sz w:val="20"/>
          <w:szCs w:val="20"/>
          <w:color w:val="auto"/>
        </w:rPr>
      </w:pPr>
    </w:p>
    <w:p>
      <w:pPr>
        <w:jc w:val="both"/>
        <w:ind w:right="340" w:hanging="8"/>
        <w:spacing w:after="0" w:line="228" w:lineRule="auto"/>
        <w:rPr>
          <w:sz w:val="20"/>
          <w:szCs w:val="20"/>
          <w:color w:val="auto"/>
        </w:rPr>
      </w:pPr>
      <w:r>
        <w:rPr>
          <w:rFonts w:ascii="Arial" w:cs="Arial" w:eastAsia="Arial" w:hAnsi="Arial"/>
          <w:sz w:val="16"/>
          <w:szCs w:val="16"/>
          <w:b w:val="1"/>
          <w:bCs w:val="1"/>
          <w:color w:val="auto"/>
        </w:rPr>
        <w:t>This release does not apply to (i) any claims that may arise after I sign this release, (ii) vested rights under the Company’s ERISA-covered employee benefit plans, and (iii) any claims that may not be released by private agreement. Moreover, nothing in this release (including my release of claims, promise not to sue, confidentiality obligation, and return of property obligation) prevents me from filing a charge or complaint with, or from participating in an investigation or proceeding conducted by, the Equal Employment Opportunity Commission, the National Labor Relations Board, the US Securities and Exchange Commission, or any other federal, state or local agency that enforces laws applicable to the Company. Further, this release does not prevent me from exercising my rights under Section 7 of the NLRA to engage in joint activity with other employees. However, by signing this release, I am waiving my right to individual relief, including relief sought on my behalf by any third party, except where such a waiver is prohibited.</w:t>
      </w:r>
    </w:p>
    <w:p>
      <w:pPr>
        <w:spacing w:after="0" w:line="69" w:lineRule="exact"/>
        <w:rPr>
          <w:sz w:val="20"/>
          <w:szCs w:val="20"/>
          <w:color w:val="auto"/>
        </w:rPr>
      </w:pPr>
    </w:p>
    <w:p>
      <w:pPr>
        <w:ind w:left="1380" w:hanging="8"/>
        <w:spacing w:after="0" w:line="238" w:lineRule="auto"/>
        <w:rPr>
          <w:sz w:val="20"/>
          <w:szCs w:val="20"/>
          <w:color w:val="auto"/>
        </w:rPr>
      </w:pPr>
      <w:r>
        <w:rPr>
          <w:rFonts w:ascii="Arial" w:cs="Arial" w:eastAsia="Arial" w:hAnsi="Arial"/>
          <w:sz w:val="17"/>
          <w:szCs w:val="17"/>
          <w:color w:val="auto"/>
        </w:rPr>
        <w:t>I have read and understand the General Release set forth above. I accept the consideration stated above and agree to be bound by the terms of this General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793115</wp:posOffset>
            </wp:positionH>
            <wp:positionV relativeFrom="paragraph">
              <wp:posOffset>-237490</wp:posOffset>
            </wp:positionV>
            <wp:extent cx="6061710" cy="9937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61710" cy="993775"/>
                    </a:xfrm>
                    <a:prstGeom prst="rect">
                      <a:avLst/>
                    </a:prstGeom>
                    <a:noFill/>
                  </pic:spPr>
                </pic:pic>
              </a:graphicData>
            </a:graphic>
          </wp:anchor>
        </w:drawing>
      </w:r>
    </w:p>
    <w:p>
      <w:pPr>
        <w:spacing w:after="0" w:line="32" w:lineRule="exact"/>
        <w:rPr>
          <w:sz w:val="20"/>
          <w:szCs w:val="20"/>
          <w:color w:val="auto"/>
        </w:rPr>
      </w:pPr>
    </w:p>
    <w:tbl>
      <w:tblPr>
        <w:tblLayout w:type="fixed"/>
        <w:tblInd w:w="1560" w:type="dxa"/>
        <w:tblCellMar>
          <w:top w:w="0" w:type="dxa"/>
          <w:left w:w="0" w:type="dxa"/>
          <w:bottom w:w="0" w:type="dxa"/>
          <w:right w:w="0" w:type="dxa"/>
        </w:tblCellMar>
      </w:tblPr>
      <w:tr>
        <w:trPr>
          <w:trHeight w:val="220"/>
        </w:trPr>
        <w:tc>
          <w:tcPr>
            <w:tcW w:w="560" w:type="dxa"/>
            <w:vAlign w:val="bottom"/>
          </w:tcPr>
          <w:p>
            <w:pPr>
              <w:spacing w:after="0"/>
              <w:rPr>
                <w:sz w:val="20"/>
                <w:szCs w:val="20"/>
                <w:color w:val="auto"/>
              </w:rPr>
            </w:pPr>
            <w:r>
              <w:rPr>
                <w:rFonts w:ascii="Arial" w:cs="Arial" w:eastAsia="Arial" w:hAnsi="Arial"/>
                <w:sz w:val="17"/>
                <w:szCs w:val="17"/>
                <w:color w:val="auto"/>
              </w:rPr>
              <w:t>Dated:</w:t>
            </w:r>
          </w:p>
        </w:tc>
        <w:tc>
          <w:tcPr>
            <w:tcW w:w="1320" w:type="dxa"/>
            <w:vAlign w:val="bottom"/>
          </w:tcPr>
          <w:p>
            <w:pPr>
              <w:spacing w:after="0"/>
              <w:rPr>
                <w:sz w:val="19"/>
                <w:szCs w:val="19"/>
                <w:color w:val="auto"/>
              </w:rPr>
            </w:pPr>
          </w:p>
        </w:tc>
        <w:tc>
          <w:tcPr>
            <w:tcW w:w="940" w:type="dxa"/>
            <w:vAlign w:val="bottom"/>
          </w:tcPr>
          <w:p>
            <w:pPr>
              <w:ind w:left="120"/>
              <w:spacing w:after="0"/>
              <w:rPr>
                <w:sz w:val="20"/>
                <w:szCs w:val="20"/>
                <w:color w:val="auto"/>
              </w:rPr>
            </w:pPr>
            <w:r>
              <w:rPr>
                <w:rFonts w:ascii="Arial" w:cs="Arial" w:eastAsia="Arial" w:hAnsi="Arial"/>
                <w:sz w:val="17"/>
                <w:szCs w:val="17"/>
                <w:color w:val="auto"/>
              </w:rPr>
              <w:t>Signature:</w:t>
            </w:r>
          </w:p>
        </w:tc>
        <w:tc>
          <w:tcPr>
            <w:tcW w:w="2580" w:type="dxa"/>
            <w:vAlign w:val="bottom"/>
          </w:tcPr>
          <w:p>
            <w:pPr>
              <w:spacing w:after="0"/>
              <w:rPr>
                <w:sz w:val="19"/>
                <w:szCs w:val="19"/>
                <w:color w:val="auto"/>
              </w:rPr>
            </w:pPr>
          </w:p>
        </w:tc>
        <w:tc>
          <w:tcPr>
            <w:tcW w:w="3320" w:type="dxa"/>
            <w:vAlign w:val="bottom"/>
          </w:tcPr>
          <w:p>
            <w:pPr>
              <w:ind w:left="120"/>
              <w:spacing w:after="0"/>
              <w:rPr>
                <w:sz w:val="20"/>
                <w:szCs w:val="20"/>
                <w:color w:val="auto"/>
              </w:rPr>
            </w:pPr>
            <w:r>
              <w:rPr>
                <w:rFonts w:ascii="Arial" w:cs="Arial" w:eastAsia="Arial" w:hAnsi="Arial"/>
                <w:sz w:val="17"/>
                <w:szCs w:val="17"/>
                <w:color w:val="auto"/>
                <w:w w:val="92"/>
              </w:rPr>
              <w:t>Name Printed:_________________________</w:t>
            </w:r>
          </w:p>
        </w:tc>
        <w:tc>
          <w:tcPr>
            <w:tcW w:w="0" w:type="dxa"/>
            <w:vAlign w:val="bottom"/>
          </w:tcPr>
          <w:p>
            <w:pPr>
              <w:spacing w:after="0"/>
              <w:rPr>
                <w:sz w:val="1"/>
                <w:szCs w:val="1"/>
                <w:color w:val="auto"/>
              </w:rPr>
            </w:pPr>
          </w:p>
        </w:tc>
      </w:tr>
      <w:tr>
        <w:trPr>
          <w:trHeight w:val="168"/>
        </w:trPr>
        <w:tc>
          <w:tcPr>
            <w:tcW w:w="56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2580" w:type="dxa"/>
            <w:vAlign w:val="bottom"/>
            <w:tcBorders>
              <w:bottom w:val="single" w:sz="8" w:color="auto"/>
            </w:tcBorders>
          </w:tcPr>
          <w:p>
            <w:pPr>
              <w:spacing w:after="0"/>
              <w:rPr>
                <w:sz w:val="14"/>
                <w:szCs w:val="14"/>
                <w:color w:val="auto"/>
              </w:rPr>
            </w:pPr>
          </w:p>
        </w:tc>
        <w:tc>
          <w:tcPr>
            <w:tcW w:w="33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580" w:type="dxa"/>
            <w:vAlign w:val="bottom"/>
          </w:tcPr>
          <w:p>
            <w:pPr>
              <w:ind w:left="120"/>
              <w:spacing w:after="0"/>
              <w:rPr>
                <w:sz w:val="20"/>
                <w:szCs w:val="20"/>
                <w:color w:val="auto"/>
              </w:rPr>
            </w:pPr>
            <w:r>
              <w:rPr>
                <w:rFonts w:ascii="Arial" w:cs="Arial" w:eastAsia="Arial" w:hAnsi="Arial"/>
                <w:sz w:val="17"/>
                <w:szCs w:val="17"/>
                <w:color w:val="auto"/>
              </w:rPr>
              <w:t>Employee</w:t>
            </w:r>
          </w:p>
        </w:tc>
        <w:tc>
          <w:tcPr>
            <w:tcW w:w="3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320" w:type="dxa"/>
            <w:vAlign w:val="bottom"/>
          </w:tcPr>
          <w:p>
            <w:pPr>
              <w:ind w:left="120"/>
              <w:spacing w:after="0"/>
              <w:rPr>
                <w:sz w:val="20"/>
                <w:szCs w:val="20"/>
                <w:color w:val="auto"/>
              </w:rPr>
            </w:pPr>
            <w:r>
              <w:rPr>
                <w:rFonts w:ascii="Arial" w:cs="Arial" w:eastAsia="Arial" w:hAnsi="Arial"/>
                <w:sz w:val="17"/>
                <w:szCs w:val="17"/>
                <w:color w:val="auto"/>
                <w:w w:val="91"/>
              </w:rPr>
              <w:t>Employee ID:__________________________</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940"/>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65405</wp:posOffset>
            </wp:positionV>
            <wp:extent cx="5544185" cy="24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44185" cy="24765"/>
                    </a:xfrm>
                    <a:prstGeom prst="rect">
                      <a:avLst/>
                    </a:prstGeom>
                    <a:noFill/>
                  </pic:spPr>
                </pic:pic>
              </a:graphicData>
            </a:graphic>
          </wp:anchor>
        </w:drawing>
      </w:r>
    </w:p>
    <w:p>
      <w:pPr>
        <w:sectPr>
          <w:pgSz w:w="11900" w:h="16838" w:orient="portrait"/>
          <w:cols w:equalWidth="0" w:num="1">
            <w:col w:w="10560"/>
          </w:cols>
          <w:pgMar w:left="960" w:top="114" w:right="379" w:bottom="1440" w:gutter="0" w:footer="0" w:header="0"/>
        </w:sectPr>
      </w:pPr>
    </w:p>
    <w:bookmarkStart w:id="47" w:name="page48"/>
    <w:bookmarkEnd w:id="47"/>
    <w:p>
      <w:pPr>
        <w:ind w:left="240"/>
        <w:spacing w:after="0"/>
        <w:rPr>
          <w:rFonts w:ascii="Arial" w:cs="Arial" w:eastAsia="Arial" w:hAnsi="Arial"/>
          <w:sz w:val="21"/>
          <w:szCs w:val="21"/>
          <w:b w:val="1"/>
          <w:bCs w:val="1"/>
          <w:u w:val="single" w:color="auto"/>
          <w:color w:val="0563C1"/>
        </w:rPr>
      </w:pPr>
      <w:hyperlink w:anchor="page2">
        <w:r>
          <w:rPr>
            <w:rFonts w:ascii="Arial" w:cs="Arial" w:eastAsia="Arial" w:hAnsi="Arial"/>
            <w:sz w:val="21"/>
            <w:szCs w:val="21"/>
            <w:b w:val="1"/>
            <w:bCs w:val="1"/>
            <w:u w:val="single" w:color="auto"/>
            <w:color w:val="0563C1"/>
          </w:rPr>
          <w:t>Table of Contents</w:t>
        </w:r>
      </w:hyperlink>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APPENDIX B</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Sample Restrictive Covenants</w:t>
      </w:r>
    </w:p>
    <w:p>
      <w:pPr>
        <w:spacing w:after="0" w:line="178" w:lineRule="exact"/>
        <w:rPr>
          <w:sz w:val="20"/>
          <w:szCs w:val="20"/>
          <w:color w:val="auto"/>
        </w:rPr>
      </w:pPr>
    </w:p>
    <w:p>
      <w:pPr>
        <w:jc w:val="both"/>
        <w:ind w:left="140" w:right="139" w:firstLine="621"/>
        <w:spacing w:after="0" w:line="223" w:lineRule="auto"/>
        <w:rPr>
          <w:sz w:val="20"/>
          <w:szCs w:val="20"/>
          <w:color w:val="auto"/>
        </w:rPr>
      </w:pPr>
      <w:r>
        <w:rPr>
          <w:rFonts w:ascii="Arial" w:cs="Arial" w:eastAsia="Arial" w:hAnsi="Arial"/>
          <w:sz w:val="20"/>
          <w:szCs w:val="20"/>
          <w:color w:val="auto"/>
        </w:rPr>
        <w:t>The Executive acknowledges and recognizes (i) his possession of Confidential Information (as defined in Section (b), below), (ii) the highly competitive nature of the business of the Company and its affiliates and subsidiaries, which is worldwide in scope, and (iii) that reasonable restrictions on the Executive’s future business endeavors and the Executive’s ability to disclose Confidential Information are necessary to protect valuable client and customer relationships of the Company. Accordingly, in consideration for the benefits received under the Executive Severance Plan (effective August 10</w:t>
      </w:r>
      <w:r>
        <w:rPr>
          <w:rFonts w:ascii="Arial" w:cs="Arial" w:eastAsia="Arial" w:hAnsi="Arial"/>
          <w:sz w:val="10"/>
          <w:szCs w:val="10"/>
          <w:color w:val="auto"/>
        </w:rPr>
        <w:t>th</w:t>
      </w:r>
      <w:r>
        <w:rPr>
          <w:rFonts w:ascii="Arial" w:cs="Arial" w:eastAsia="Arial" w:hAnsi="Arial"/>
          <w:sz w:val="20"/>
          <w:szCs w:val="20"/>
          <w:color w:val="auto"/>
        </w:rPr>
        <w:t>, 2017) (the “</w:t>
      </w:r>
      <w:r>
        <w:rPr>
          <w:rFonts w:ascii="Arial" w:cs="Arial" w:eastAsia="Arial" w:hAnsi="Arial"/>
          <w:sz w:val="20"/>
          <w:szCs w:val="20"/>
          <w:b w:val="1"/>
          <w:bCs w:val="1"/>
          <w:color w:val="auto"/>
        </w:rPr>
        <w:t>Plan</w:t>
      </w:r>
      <w:r>
        <w:rPr>
          <w:rFonts w:ascii="Arial" w:cs="Arial" w:eastAsia="Arial" w:hAnsi="Arial"/>
          <w:sz w:val="20"/>
          <w:szCs w:val="20"/>
          <w:color w:val="auto"/>
        </w:rPr>
        <w:t>”), the Executive agrees to the restrictions set forth herein. Any terms used but not defined herein shall have the meanings ascribed to them in the Plan.</w:t>
      </w:r>
    </w:p>
    <w:p>
      <w:pPr>
        <w:spacing w:after="0" w:line="153" w:lineRule="exact"/>
        <w:rPr>
          <w:sz w:val="20"/>
          <w:szCs w:val="20"/>
          <w:color w:val="auto"/>
        </w:rPr>
      </w:pPr>
    </w:p>
    <w:p>
      <w:pPr>
        <w:jc w:val="both"/>
        <w:ind w:left="140" w:right="139" w:firstLine="628"/>
        <w:spacing w:after="0" w:line="233" w:lineRule="auto"/>
        <w:tabs>
          <w:tab w:leader="none" w:pos="1408" w:val="left"/>
        </w:tabs>
        <w:numPr>
          <w:ilvl w:val="0"/>
          <w:numId w:val="37"/>
        </w:numPr>
        <w:rPr>
          <w:rFonts w:ascii="Arial" w:cs="Arial" w:eastAsia="Arial" w:hAnsi="Arial"/>
          <w:sz w:val="19"/>
          <w:szCs w:val="19"/>
          <w:b w:val="1"/>
          <w:bCs w:val="1"/>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The Executive agrees that for the duration of the Severance Period, he shall not, either individually or as an officer, director, stockholder, member, partner, agent, employee, consultant, principal, or committee-member of another business firm or sole proprietorship, (i) engage in, or be connected in any manner with, any business operating anywhere in the world that is in direct or indirect competition with any active business of the Company or any of its affiliates or subsidiaries, or any planned business of the Company or any of its affiliates or subsidiaries of which the Executive is aware (each a “</w:t>
      </w:r>
      <w:r>
        <w:rPr>
          <w:rFonts w:ascii="Arial" w:cs="Arial" w:eastAsia="Arial" w:hAnsi="Arial"/>
          <w:sz w:val="19"/>
          <w:szCs w:val="19"/>
          <w:b w:val="1"/>
          <w:bCs w:val="1"/>
          <w:color w:val="auto"/>
        </w:rPr>
        <w:t>Competitive Business</w:t>
      </w:r>
      <w:r>
        <w:rPr>
          <w:rFonts w:ascii="Arial" w:cs="Arial" w:eastAsia="Arial" w:hAnsi="Arial"/>
          <w:sz w:val="19"/>
          <w:szCs w:val="19"/>
          <w:color w:val="auto"/>
        </w:rPr>
        <w:t>”); (ii) be employed by an entity or person that controls a Competitive Business; or (iii) directly or indirectly solicit any customer or client of the Company or any of its affiliates or subsidiaries; provided, however, that the restrictions set forth in this Section (a) shall not prohibit the Executive from being a passive shareholder of a public company if the Executive owns less than one percent (1%) of such company.</w:t>
      </w:r>
    </w:p>
    <w:p>
      <w:pPr>
        <w:spacing w:after="0" w:line="150" w:lineRule="exact"/>
        <w:rPr>
          <w:rFonts w:ascii="Arial" w:cs="Arial" w:eastAsia="Arial" w:hAnsi="Arial"/>
          <w:sz w:val="19"/>
          <w:szCs w:val="19"/>
          <w:b w:val="1"/>
          <w:bCs w:val="1"/>
          <w:color w:val="auto"/>
        </w:rPr>
      </w:pPr>
    </w:p>
    <w:p>
      <w:pPr>
        <w:jc w:val="both"/>
        <w:ind w:left="140" w:right="139" w:firstLine="628"/>
        <w:spacing w:after="0" w:line="221" w:lineRule="auto"/>
        <w:tabs>
          <w:tab w:leader="none" w:pos="1419" w:val="left"/>
        </w:tabs>
        <w:numPr>
          <w:ilvl w:val="0"/>
          <w:numId w:val="37"/>
        </w:numPr>
        <w:rPr>
          <w:rFonts w:ascii="Arial" w:cs="Arial" w:eastAsia="Arial" w:hAnsi="Arial"/>
          <w:sz w:val="20"/>
          <w:szCs w:val="20"/>
          <w:b w:val="1"/>
          <w:bCs w:val="1"/>
          <w:color w:val="auto"/>
        </w:rPr>
      </w:pP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The Executive agrees that he shall not, at any time, disclose to another, or use for any purpose, any Confidential Information. For purposes of this agreement, Confidential Information includes all trade secrets and confidential information of the Company and its affiliates and subsidiaries including, but not limited to, the Company’s unique business methods, processes, operating techniques and “know-how” (all of which have been developed by the Company or its affiliates and subsidiaries through substantial effort and investment), profit and loss results, market and supplier strategies, customer identity and needs, information pertaining to employee effectiveness and compensation, inventory strategy, product costs, gross margins, and other information relating to the affairs of the Company and its affiliates and subsidiaries that the Executive shall have acquired during his employment with the Company.</w:t>
      </w:r>
    </w:p>
    <w:p>
      <w:pPr>
        <w:spacing w:after="0" w:line="158" w:lineRule="exact"/>
        <w:rPr>
          <w:rFonts w:ascii="Arial" w:cs="Arial" w:eastAsia="Arial" w:hAnsi="Arial"/>
          <w:sz w:val="20"/>
          <w:szCs w:val="20"/>
          <w:b w:val="1"/>
          <w:bCs w:val="1"/>
          <w:color w:val="auto"/>
        </w:rPr>
      </w:pPr>
    </w:p>
    <w:p>
      <w:pPr>
        <w:jc w:val="both"/>
        <w:ind w:left="140" w:right="139" w:firstLine="628"/>
        <w:spacing w:after="0" w:line="235" w:lineRule="auto"/>
        <w:tabs>
          <w:tab w:leader="none" w:pos="1422" w:val="left"/>
        </w:tabs>
        <w:numPr>
          <w:ilvl w:val="0"/>
          <w:numId w:val="37"/>
        </w:numPr>
        <w:rPr>
          <w:rFonts w:ascii="Arial" w:cs="Arial" w:eastAsia="Arial" w:hAnsi="Arial"/>
          <w:sz w:val="20"/>
          <w:szCs w:val="20"/>
          <w:b w:val="1"/>
          <w:bCs w:val="1"/>
          <w:color w:val="auto"/>
        </w:rPr>
      </w:pPr>
      <w:r>
        <w:rPr>
          <w:rFonts w:ascii="Arial" w:cs="Arial" w:eastAsia="Arial" w:hAnsi="Arial"/>
          <w:sz w:val="20"/>
          <w:szCs w:val="20"/>
          <w:u w:val="single" w:color="auto"/>
          <w:color w:val="auto"/>
        </w:rPr>
        <w:t>Non-Solicitation of Employees</w:t>
      </w:r>
      <w:r>
        <w:rPr>
          <w:rFonts w:ascii="Arial" w:cs="Arial" w:eastAsia="Arial" w:hAnsi="Arial"/>
          <w:sz w:val="20"/>
          <w:szCs w:val="20"/>
          <w:color w:val="auto"/>
        </w:rPr>
        <w:t>. The Executive agrees that he shall not, for three (3) years from the date hereof, directly or indirectly solicit or induce any of the employees of the Company or any of its affiliates or subsidiaries to terminate employment with their employer.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65405</wp:posOffset>
            </wp:positionV>
            <wp:extent cx="5544185" cy="24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44185" cy="24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7"/>
          <w:szCs w:val="17"/>
          <w:b w:val="1"/>
          <w:bCs w:val="1"/>
          <w:color w:val="auto"/>
        </w:rPr>
        <w:t>Exhibit 31.1</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 William J. Amelio, certify that:</w:t>
      </w:r>
    </w:p>
    <w:p>
      <w:pPr>
        <w:spacing w:after="0" w:line="115" w:lineRule="exact"/>
        <w:rPr>
          <w:sz w:val="20"/>
          <w:szCs w:val="20"/>
          <w:color w:val="auto"/>
        </w:rPr>
      </w:pPr>
    </w:p>
    <w:p>
      <w:pPr>
        <w:ind w:left="620" w:hanging="302"/>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Avnet, Inc.;</w:t>
      </w:r>
    </w:p>
    <w:p>
      <w:pPr>
        <w:spacing w:after="0" w:line="114" w:lineRule="exact"/>
        <w:rPr>
          <w:rFonts w:ascii="Arial" w:cs="Arial" w:eastAsia="Arial" w:hAnsi="Arial"/>
          <w:sz w:val="17"/>
          <w:szCs w:val="17"/>
          <w:color w:val="auto"/>
        </w:rPr>
      </w:pPr>
    </w:p>
    <w:p>
      <w:pPr>
        <w:jc w:val="both"/>
        <w:ind w:left="620" w:right="20" w:hanging="302"/>
        <w:spacing w:after="0" w:line="268"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7"/>
          <w:szCs w:val="17"/>
          <w:color w:val="auto"/>
        </w:rPr>
      </w:pPr>
    </w:p>
    <w:p>
      <w:pPr>
        <w:ind w:left="620" w:right="480" w:hanging="302"/>
        <w:spacing w:after="0" w:line="353" w:lineRule="auto"/>
        <w:tabs>
          <w:tab w:leader="none" w:pos="6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Arial" w:cs="Arial" w:eastAsia="Arial" w:hAnsi="Arial"/>
          <w:sz w:val="15"/>
          <w:szCs w:val="15"/>
          <w:color w:val="auto"/>
        </w:rPr>
      </w:pPr>
    </w:p>
    <w:p>
      <w:pPr>
        <w:ind w:left="620" w:right="160" w:hanging="302"/>
        <w:spacing w:after="0" w:line="268"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7"/>
          <w:szCs w:val="17"/>
          <w:color w:val="auto"/>
        </w:rPr>
      </w:pPr>
    </w:p>
    <w:p>
      <w:pPr>
        <w:ind w:left="940" w:right="80" w:hanging="312"/>
        <w:spacing w:after="0" w:line="268" w:lineRule="auto"/>
        <w:tabs>
          <w:tab w:leader="none" w:pos="9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7"/>
          <w:szCs w:val="17"/>
          <w:color w:val="auto"/>
        </w:rPr>
      </w:pPr>
    </w:p>
    <w:p>
      <w:pPr>
        <w:ind w:left="940" w:hanging="312"/>
        <w:spacing w:after="0" w:line="268" w:lineRule="auto"/>
        <w:tabs>
          <w:tab w:leader="none" w:pos="9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7"/>
          <w:szCs w:val="17"/>
          <w:color w:val="auto"/>
        </w:rPr>
      </w:pPr>
    </w:p>
    <w:p>
      <w:pPr>
        <w:ind w:left="940" w:right="160" w:hanging="312"/>
        <w:spacing w:after="0" w:line="353" w:lineRule="auto"/>
        <w:tabs>
          <w:tab w:leader="none" w:pos="940" w:val="left"/>
        </w:tabs>
        <w:numPr>
          <w:ilvl w:val="1"/>
          <w:numId w:val="3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Arial" w:cs="Arial" w:eastAsia="Arial" w:hAnsi="Arial"/>
          <w:sz w:val="15"/>
          <w:szCs w:val="15"/>
          <w:color w:val="auto"/>
        </w:rPr>
      </w:pPr>
    </w:p>
    <w:p>
      <w:pPr>
        <w:ind w:left="940" w:right="240" w:hanging="312"/>
        <w:spacing w:after="0" w:line="268" w:lineRule="auto"/>
        <w:tabs>
          <w:tab w:leader="none" w:pos="9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Arial" w:cs="Arial" w:eastAsia="Arial" w:hAnsi="Arial"/>
          <w:sz w:val="17"/>
          <w:szCs w:val="17"/>
          <w:color w:val="auto"/>
        </w:rPr>
      </w:pPr>
    </w:p>
    <w:p>
      <w:pPr>
        <w:jc w:val="both"/>
        <w:ind w:left="620" w:right="640" w:hanging="302"/>
        <w:spacing w:after="0" w:line="268"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69" w:lineRule="exact"/>
        <w:rPr>
          <w:rFonts w:ascii="Arial" w:cs="Arial" w:eastAsia="Arial" w:hAnsi="Arial"/>
          <w:sz w:val="17"/>
          <w:szCs w:val="17"/>
          <w:color w:val="auto"/>
        </w:rPr>
      </w:pPr>
    </w:p>
    <w:p>
      <w:pPr>
        <w:ind w:left="940" w:right="440" w:hanging="312"/>
        <w:spacing w:after="0" w:line="353" w:lineRule="auto"/>
        <w:tabs>
          <w:tab w:leader="none" w:pos="940" w:val="left"/>
        </w:tabs>
        <w:numPr>
          <w:ilvl w:val="1"/>
          <w:numId w:val="3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Arial" w:cs="Arial" w:eastAsia="Arial" w:hAnsi="Arial"/>
          <w:sz w:val="15"/>
          <w:szCs w:val="15"/>
          <w:color w:val="auto"/>
        </w:rPr>
      </w:pPr>
    </w:p>
    <w:p>
      <w:pPr>
        <w:ind w:left="940" w:right="160" w:hanging="312"/>
        <w:spacing w:after="0" w:line="283" w:lineRule="auto"/>
        <w:tabs>
          <w:tab w:leader="none" w:pos="9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Date: October 30, 2017</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31750</wp:posOffset>
            </wp:positionV>
            <wp:extent cx="33020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02000" cy="8255"/>
                    </a:xfrm>
                    <a:prstGeom prst="rect">
                      <a:avLst/>
                    </a:prstGeom>
                    <a:noFill/>
                  </pic:spPr>
                </pic:pic>
              </a:graphicData>
            </a:graphic>
          </wp:anchor>
        </w:drawing>
      </w:r>
    </w:p>
    <w:p>
      <w:pPr>
        <w:spacing w:after="0" w:line="4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William J. Amelio</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6611620" cy="24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11620" cy="24765"/>
                    </a:xfrm>
                    <a:prstGeom prst="rect">
                      <a:avLst/>
                    </a:prstGeom>
                    <a:noFill/>
                  </pic:spPr>
                </pic:pic>
              </a:graphicData>
            </a:graphic>
          </wp:anchor>
        </w:drawing>
      </w:r>
    </w:p>
    <w:p>
      <w:pPr>
        <w:sectPr>
          <w:pgSz w:w="11900" w:h="16838" w:orient="portrait"/>
          <w:cols w:equalWidth="0" w:num="1">
            <w:col w:w="10420"/>
          </w:cols>
          <w:pgMar w:left="740" w:top="328" w:right="739" w:bottom="1440" w:gutter="0" w:footer="0" w:header="0"/>
        </w:sectPr>
      </w:pPr>
    </w:p>
    <w:bookmarkStart w:id="49" w:name="page50"/>
    <w:bookmarkEnd w:id="49"/>
    <w:p>
      <w:pPr>
        <w:jc w:val="right"/>
        <w:spacing w:after="0"/>
        <w:rPr>
          <w:sz w:val="20"/>
          <w:szCs w:val="20"/>
          <w:color w:val="auto"/>
        </w:rPr>
      </w:pPr>
      <w:r>
        <w:rPr>
          <w:rFonts w:ascii="Arial" w:cs="Arial" w:eastAsia="Arial" w:hAnsi="Arial"/>
          <w:sz w:val="17"/>
          <w:szCs w:val="17"/>
          <w:b w:val="1"/>
          <w:bCs w:val="1"/>
          <w:color w:val="auto"/>
        </w:rPr>
        <w:t>Exhibit 31.2</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 Ken Jacobson, certify that:</w:t>
      </w:r>
    </w:p>
    <w:p>
      <w:pPr>
        <w:spacing w:after="0" w:line="115" w:lineRule="exact"/>
        <w:rPr>
          <w:sz w:val="20"/>
          <w:szCs w:val="20"/>
          <w:color w:val="auto"/>
        </w:rPr>
      </w:pPr>
    </w:p>
    <w:p>
      <w:pPr>
        <w:ind w:left="620" w:hanging="302"/>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Avnet, Inc.;</w:t>
      </w:r>
    </w:p>
    <w:p>
      <w:pPr>
        <w:spacing w:after="0" w:line="114" w:lineRule="exact"/>
        <w:rPr>
          <w:rFonts w:ascii="Arial" w:cs="Arial" w:eastAsia="Arial" w:hAnsi="Arial"/>
          <w:sz w:val="17"/>
          <w:szCs w:val="17"/>
          <w:color w:val="auto"/>
        </w:rPr>
      </w:pPr>
    </w:p>
    <w:p>
      <w:pPr>
        <w:jc w:val="both"/>
        <w:ind w:left="620" w:right="20" w:hanging="302"/>
        <w:spacing w:after="0" w:line="268"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7"/>
          <w:szCs w:val="17"/>
          <w:color w:val="auto"/>
        </w:rPr>
      </w:pPr>
    </w:p>
    <w:p>
      <w:pPr>
        <w:ind w:left="620" w:right="480" w:hanging="302"/>
        <w:spacing w:after="0" w:line="353" w:lineRule="auto"/>
        <w:tabs>
          <w:tab w:leader="none" w:pos="6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Arial" w:cs="Arial" w:eastAsia="Arial" w:hAnsi="Arial"/>
          <w:sz w:val="15"/>
          <w:szCs w:val="15"/>
          <w:color w:val="auto"/>
        </w:rPr>
      </w:pPr>
    </w:p>
    <w:p>
      <w:pPr>
        <w:ind w:left="620" w:right="160" w:hanging="302"/>
        <w:spacing w:after="0" w:line="268"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7"/>
          <w:szCs w:val="17"/>
          <w:color w:val="auto"/>
        </w:rPr>
      </w:pPr>
    </w:p>
    <w:p>
      <w:pPr>
        <w:ind w:left="940" w:right="80" w:hanging="312"/>
        <w:spacing w:after="0" w:line="268" w:lineRule="auto"/>
        <w:tabs>
          <w:tab w:leader="none" w:pos="9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7"/>
          <w:szCs w:val="17"/>
          <w:color w:val="auto"/>
        </w:rPr>
      </w:pPr>
    </w:p>
    <w:p>
      <w:pPr>
        <w:ind w:left="940" w:hanging="312"/>
        <w:spacing w:after="0" w:line="268" w:lineRule="auto"/>
        <w:tabs>
          <w:tab w:leader="none" w:pos="9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7"/>
          <w:szCs w:val="17"/>
          <w:color w:val="auto"/>
        </w:rPr>
      </w:pPr>
    </w:p>
    <w:p>
      <w:pPr>
        <w:ind w:left="940" w:right="160" w:hanging="312"/>
        <w:spacing w:after="0" w:line="353" w:lineRule="auto"/>
        <w:tabs>
          <w:tab w:leader="none" w:pos="940" w:val="left"/>
        </w:tabs>
        <w:numPr>
          <w:ilvl w:val="1"/>
          <w:numId w:val="3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Arial" w:cs="Arial" w:eastAsia="Arial" w:hAnsi="Arial"/>
          <w:sz w:val="15"/>
          <w:szCs w:val="15"/>
          <w:color w:val="auto"/>
        </w:rPr>
      </w:pPr>
    </w:p>
    <w:p>
      <w:pPr>
        <w:ind w:left="940" w:right="240" w:hanging="312"/>
        <w:spacing w:after="0" w:line="268" w:lineRule="auto"/>
        <w:tabs>
          <w:tab w:leader="none" w:pos="9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Arial" w:cs="Arial" w:eastAsia="Arial" w:hAnsi="Arial"/>
          <w:sz w:val="17"/>
          <w:szCs w:val="17"/>
          <w:color w:val="auto"/>
        </w:rPr>
      </w:pPr>
    </w:p>
    <w:p>
      <w:pPr>
        <w:jc w:val="both"/>
        <w:ind w:left="620" w:right="640" w:hanging="302"/>
        <w:spacing w:after="0" w:line="268"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69" w:lineRule="exact"/>
        <w:rPr>
          <w:rFonts w:ascii="Arial" w:cs="Arial" w:eastAsia="Arial" w:hAnsi="Arial"/>
          <w:sz w:val="17"/>
          <w:szCs w:val="17"/>
          <w:color w:val="auto"/>
        </w:rPr>
      </w:pPr>
    </w:p>
    <w:p>
      <w:pPr>
        <w:ind w:left="940" w:right="440" w:hanging="312"/>
        <w:spacing w:after="0" w:line="353" w:lineRule="auto"/>
        <w:tabs>
          <w:tab w:leader="none" w:pos="940" w:val="left"/>
        </w:tabs>
        <w:numPr>
          <w:ilvl w:val="1"/>
          <w:numId w:val="3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Arial" w:cs="Arial" w:eastAsia="Arial" w:hAnsi="Arial"/>
          <w:sz w:val="15"/>
          <w:szCs w:val="15"/>
          <w:color w:val="auto"/>
        </w:rPr>
      </w:pPr>
    </w:p>
    <w:p>
      <w:pPr>
        <w:ind w:left="940" w:right="160" w:hanging="312"/>
        <w:spacing w:after="0" w:line="283" w:lineRule="auto"/>
        <w:tabs>
          <w:tab w:leader="none" w:pos="9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Date: October 30, 2017</w:t>
      </w:r>
    </w:p>
    <w:p>
      <w:pPr>
        <w:spacing w:after="0" w:line="23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/s/ KEN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15240</wp:posOffset>
            </wp:positionV>
            <wp:extent cx="32689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68980" cy="8255"/>
                    </a:xfrm>
                    <a:prstGeom prst="rect">
                      <a:avLst/>
                    </a:prstGeom>
                    <a:noFill/>
                  </pic:spPr>
                </pic:pic>
              </a:graphicData>
            </a:graphic>
          </wp:anchor>
        </w:drawing>
      </w:r>
    </w:p>
    <w:p>
      <w:pPr>
        <w:spacing w:after="0" w:line="4"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Ken Jacobson</w:t>
      </w:r>
    </w:p>
    <w:p>
      <w:pPr>
        <w:spacing w:after="0" w:line="24"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6611620" cy="24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11620" cy="24765"/>
                    </a:xfrm>
                    <a:prstGeom prst="rect">
                      <a:avLst/>
                    </a:prstGeom>
                    <a:noFill/>
                  </pic:spPr>
                </pic:pic>
              </a:graphicData>
            </a:graphic>
          </wp:anchor>
        </w:drawing>
      </w:r>
    </w:p>
    <w:p>
      <w:pPr>
        <w:sectPr>
          <w:pgSz w:w="11900" w:h="16838" w:orient="portrait"/>
          <w:cols w:equalWidth="0" w:num="1">
            <w:col w:w="10420"/>
          </w:cols>
          <w:pgMar w:left="740" w:top="328" w:right="7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32.1</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Quarterly Report on Form 10-Q for the period ended September 30, 2017 (the “Report”), I, William J.</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Amelio, Chief Executive Officer of Avnet, Inc. (the “Company”) hereby certify that:</w:t>
      </w:r>
    </w:p>
    <w:p>
      <w:pPr>
        <w:spacing w:after="0" w:line="102" w:lineRule="exact"/>
        <w:rPr>
          <w:sz w:val="20"/>
          <w:szCs w:val="20"/>
          <w:color w:val="auto"/>
        </w:rPr>
      </w:pPr>
    </w:p>
    <w:p>
      <w:pPr>
        <w:ind w:left="620" w:right="120" w:hanging="310"/>
        <w:spacing w:after="0" w:line="283" w:lineRule="auto"/>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56" w:lineRule="exact"/>
        <w:rPr>
          <w:rFonts w:ascii="Arial" w:cs="Arial" w:eastAsia="Arial" w:hAnsi="Arial"/>
          <w:sz w:val="17"/>
          <w:szCs w:val="17"/>
          <w:color w:val="auto"/>
        </w:rPr>
      </w:pPr>
    </w:p>
    <w:p>
      <w:pPr>
        <w:ind w:left="620" w:right="380" w:hanging="310"/>
        <w:spacing w:after="0" w:line="283" w:lineRule="auto"/>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Date: October 30, 2017</w:t>
      </w:r>
    </w:p>
    <w:p>
      <w:pPr>
        <w:spacing w:after="0" w:line="23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15240</wp:posOffset>
            </wp:positionV>
            <wp:extent cx="28416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41625" cy="8255"/>
                    </a:xfrm>
                    <a:prstGeom prst="rect">
                      <a:avLst/>
                    </a:prstGeom>
                    <a:noFill/>
                  </pic:spPr>
                </pic:pic>
              </a:graphicData>
            </a:graphic>
          </wp:anchor>
        </w:drawing>
      </w:r>
    </w:p>
    <w:p>
      <w:pPr>
        <w:spacing w:after="0" w:line="17"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William J. Amelio</w:t>
      </w:r>
    </w:p>
    <w:p>
      <w:pPr>
        <w:spacing w:after="0" w:line="37"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491490</wp:posOffset>
            </wp:positionV>
            <wp:extent cx="5757545" cy="24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p>
      <w:pPr>
        <w:sectPr>
          <w:pgSz w:w="11900" w:h="16838" w:orient="portrait"/>
          <w:cols w:equalWidth="0" w:num="1">
            <w:col w:w="9060"/>
          </w:cols>
          <w:pgMar w:left="1420" w:top="328" w:right="141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b w:val="1"/>
          <w:bCs w:val="1"/>
          <w:color w:val="auto"/>
        </w:rPr>
        <w:t>Exhibit 32.2</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102" w:lineRule="exact"/>
        <w:rPr>
          <w:sz w:val="20"/>
          <w:szCs w:val="20"/>
          <w:color w:val="auto"/>
        </w:rPr>
      </w:pPr>
    </w:p>
    <w:p>
      <w:pPr>
        <w:ind w:left="40" w:right="140" w:hanging="42"/>
        <w:spacing w:after="0" w:line="283" w:lineRule="auto"/>
        <w:rPr>
          <w:sz w:val="20"/>
          <w:szCs w:val="20"/>
          <w:color w:val="auto"/>
        </w:rPr>
      </w:pPr>
      <w:r>
        <w:rPr>
          <w:rFonts w:ascii="Arial" w:cs="Arial" w:eastAsia="Arial" w:hAnsi="Arial"/>
          <w:sz w:val="17"/>
          <w:szCs w:val="17"/>
          <w:color w:val="auto"/>
        </w:rPr>
        <w:t>In connection with the Quarterly Report on Form 10-Q for the period ended September 30, 2017 (the “Report”), I, Ken Jacobson, Interim Chief Financial Officer of Avnet, Inc. (the “Company”) hereby certify that:</w:t>
      </w:r>
    </w:p>
    <w:p>
      <w:pPr>
        <w:spacing w:after="0" w:line="56" w:lineRule="exact"/>
        <w:rPr>
          <w:sz w:val="20"/>
          <w:szCs w:val="20"/>
          <w:color w:val="auto"/>
        </w:rPr>
      </w:pPr>
    </w:p>
    <w:p>
      <w:pPr>
        <w:ind w:left="620" w:right="120" w:hanging="310"/>
        <w:spacing w:after="0" w:line="283" w:lineRule="auto"/>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56" w:lineRule="exact"/>
        <w:rPr>
          <w:rFonts w:ascii="Arial" w:cs="Arial" w:eastAsia="Arial" w:hAnsi="Arial"/>
          <w:sz w:val="17"/>
          <w:szCs w:val="17"/>
          <w:color w:val="auto"/>
        </w:rPr>
      </w:pPr>
    </w:p>
    <w:p>
      <w:pPr>
        <w:ind w:left="620" w:right="380" w:hanging="310"/>
        <w:spacing w:after="0" w:line="283" w:lineRule="auto"/>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Date: October 30, 2017</w:t>
      </w:r>
    </w:p>
    <w:p>
      <w:pPr>
        <w:spacing w:after="0" w:line="231"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/s/ KEN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2907665</wp:posOffset>
            </wp:positionH>
            <wp:positionV relativeFrom="paragraph">
              <wp:posOffset>15240</wp:posOffset>
            </wp:positionV>
            <wp:extent cx="28498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49880" cy="8255"/>
                    </a:xfrm>
                    <a:prstGeom prst="rect">
                      <a:avLst/>
                    </a:prstGeom>
                    <a:noFill/>
                  </pic:spPr>
                </pic:pic>
              </a:graphicData>
            </a:graphic>
          </wp:anchor>
        </w:drawing>
      </w:r>
    </w:p>
    <w:p>
      <w:pPr>
        <w:spacing w:after="0" w:line="17"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Ken Jacobson</w:t>
      </w:r>
    </w:p>
    <w:p>
      <w:pPr>
        <w:spacing w:after="0" w:line="37"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491490</wp:posOffset>
            </wp:positionV>
            <wp:extent cx="5757545" cy="24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7545" cy="24765"/>
                    </a:xfrm>
                    <a:prstGeom prst="rect">
                      <a:avLst/>
                    </a:prstGeom>
                    <a:noFill/>
                  </pic:spPr>
                </pic:pic>
              </a:graphicData>
            </a:graphic>
          </wp:anchor>
        </w:drawing>
      </w:r>
    </w:p>
    <w:sectPr>
      <w:pgSz w:w="11900" w:h="16838" w:orient="portrait"/>
      <w:cols w:equalWidth="0" w:num="1">
        <w:col w:w="9060"/>
      </w:cols>
      <w:pgMar w:left="1420" w:top="32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2"/>
    </w:lvl>
  </w:abstractNum>
  <w:abstractNum w:abstractNumId="1">
    <w:nsid w:val="333AB105"/>
    <w:multiLevelType w:val="hybridMultilevel"/>
    <w:lvl w:ilvl="0">
      <w:lvlJc w:val="left"/>
      <w:lvlText w:val="%1."/>
      <w:numFmt w:val="decimal"/>
      <w:start w:val="4"/>
    </w:lvl>
  </w:abstractNum>
  <w:abstractNum w:abstractNumId="2">
    <w:nsid w:val="721DA317"/>
    <w:multiLevelType w:val="hybridMultilevel"/>
    <w:lvl w:ilvl="0">
      <w:lvlJc w:val="left"/>
      <w:lvlText w:val="(%1)"/>
      <w:numFmt w:val="lowerRoman"/>
      <w:start w:val="2"/>
    </w:lvl>
  </w:abstractNum>
  <w:abstractNum w:abstractNumId="3">
    <w:nsid w:val="2443A858"/>
    <w:multiLevelType w:val="hybridMultilevel"/>
    <w:lvl w:ilvl="0">
      <w:lvlJc w:val="left"/>
      <w:lvlText w:val="%1."/>
      <w:numFmt w:val="decimal"/>
      <w:start w:val="10"/>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4"/>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2"/>
    </w:lvl>
  </w:abstractNum>
  <w:abstractNum w:abstractNumId="15">
    <w:nsid w:val="836C40E"/>
    <w:multiLevelType w:val="hybridMultilevel"/>
    <w:lvl w:ilvl="0">
      <w:lvlJc w:val="left"/>
      <w:lvlText w:val="%1."/>
      <w:numFmt w:val="decimal"/>
      <w:start w:val="3"/>
    </w:lvl>
  </w:abstractNum>
  <w:abstractNum w:abstractNumId="16">
    <w:nsid w:val="2901D82"/>
    <w:multiLevelType w:val="hybridMultilevel"/>
    <w:lvl w:ilvl="0">
      <w:lvlJc w:val="left"/>
      <w:lvlText w:val="%1."/>
      <w:numFmt w:val="decimal"/>
      <w:start w:val="4"/>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17">
    <w:nsid w:val="3A95F87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
    </w:lvl>
  </w:abstractNum>
  <w:abstractNum w:abstractNumId="18">
    <w:nsid w:val="813864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9">
    <w:nsid w:val="1E7FF521"/>
    <w:multiLevelType w:val="hybridMultilevel"/>
    <w:lvl w:ilvl="0">
      <w:lvlJc w:val="left"/>
      <w:lvlText w:val="%1."/>
      <w:numFmt w:val="lowerLetter"/>
      <w:start w:val="4"/>
    </w:lvl>
  </w:abstractNum>
  <w:abstractNum w:abstractNumId="20">
    <w:nsid w:val="7C3DBD3D"/>
    <w:multiLevelType w:val="hybridMultilevel"/>
    <w:lvl w:ilvl="0">
      <w:lvlJc w:val="left"/>
      <w:lvlText w:val="%1."/>
      <w:numFmt w:val="decimal"/>
      <w:start w:val="5"/>
    </w:lvl>
  </w:abstractNum>
  <w:abstractNum w:abstractNumId="21">
    <w:nsid w:val="737B8DDC"/>
    <w:multiLevelType w:val="hybridMultilevel"/>
    <w:lvl w:ilvl="0">
      <w:lvlJc w:val="left"/>
      <w:lvlText w:val="%1."/>
      <w:numFmt w:val="decimal"/>
      <w:start w:val="6"/>
    </w:lvl>
    <w:lvl w:ilvl="1">
      <w:lvlJc w:val="left"/>
      <w:lvlText w:val="%2."/>
      <w:numFmt w:val="upperLetter"/>
      <w:start w:val="1"/>
    </w:lvl>
  </w:abstractNum>
  <w:abstractNum w:abstractNumId="22">
    <w:nsid w:val="6CEAF087"/>
    <w:multiLevelType w:val="hybridMultilevel"/>
    <w:lvl w:ilvl="0">
      <w:lvlJc w:val="left"/>
      <w:lvlText w:val="%1."/>
      <w:numFmt w:val="upperLetter"/>
      <w:start w:val="3"/>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upperLetter"/>
      <w:start w:val="1"/>
    </w:lvl>
    <w:lvl w:ilvl="1">
      <w:lvlJc w:val="left"/>
      <w:lvlText w:val="%2."/>
      <w:numFmt w:val="lowerLetter"/>
      <w:start w:val="2"/>
    </w:lvl>
  </w:abstractNum>
  <w:abstractNum w:abstractNumId="25">
    <w:nsid w:val="3006C83E"/>
    <w:multiLevelType w:val="hybridMultilevel"/>
    <w:lvl w:ilvl="0">
      <w:lvlJc w:val="left"/>
      <w:lvlText w:val="%1."/>
      <w:numFmt w:val="upperLetter"/>
      <w:start w:val="7"/>
    </w:lvl>
    <w:lvl w:ilvl="1">
      <w:lvlJc w:val="left"/>
      <w:lvlText w:val="%2"/>
      <w:numFmt w:val="lowerLetter"/>
      <w:start w:val="1"/>
    </w:lvl>
  </w:abstractNum>
  <w:abstractNum w:abstractNumId="26">
    <w:nsid w:val="614FD4A1"/>
    <w:multiLevelType w:val="hybridMultilevel"/>
    <w:lvl w:ilvl="0">
      <w:lvlJc w:val="left"/>
      <w:lvlText w:val="%1."/>
      <w:numFmt w:val="decimal"/>
      <w:start w:val="7"/>
    </w:lvl>
  </w:abstractNum>
  <w:abstractNum w:abstractNumId="27">
    <w:nsid w:val="419AC241"/>
    <w:multiLevelType w:val="hybridMultilevel"/>
    <w:lvl w:ilvl="0">
      <w:lvlJc w:val="left"/>
      <w:lvlText w:val="%1."/>
      <w:numFmt w:val="decimal"/>
      <w:start w:val="8"/>
    </w:lvl>
    <w:lvl w:ilvl="1">
      <w:lvlJc w:val="left"/>
      <w:lvlText w:val="%2."/>
      <w:numFmt w:val="upperLetter"/>
      <w:start w:val="1"/>
    </w:lvl>
  </w:abstractNum>
  <w:abstractNum w:abstractNumId="28">
    <w:nsid w:val="5577F8E1"/>
    <w:multiLevelType w:val="hybridMultilevel"/>
    <w:lvl w:ilvl="0">
      <w:lvlJc w:val="left"/>
      <w:lvlText w:val="%1."/>
      <w:numFmt w:val="upperLetter"/>
      <w:start w:val="4"/>
    </w:lvl>
    <w:lvl w:ilvl="1">
      <w:lvlJc w:val="left"/>
      <w:lvlText w:val="%2."/>
      <w:numFmt w:val="lowerLetter"/>
      <w:start w:val="1"/>
    </w:lvl>
  </w:abstractNum>
  <w:abstractNum w:abstractNumId="29">
    <w:nsid w:val="440BADFC"/>
    <w:multiLevelType w:val="hybridMultilevel"/>
    <w:lvl w:ilvl="0">
      <w:lvlJc w:val="left"/>
      <w:lvlText w:val="%1."/>
      <w:numFmt w:val="decimal"/>
      <w:start w:val="9"/>
    </w:lvl>
  </w:abstractNum>
  <w:abstractNum w:abstractNumId="30">
    <w:nsid w:val="5072367"/>
    <w:multiLevelType w:val="hybridMultilevel"/>
    <w:lvl w:ilvl="0">
      <w:lvlJc w:val="left"/>
      <w:lvlText w:val="%1."/>
      <w:numFmt w:val="decimal"/>
      <w:start w:val="11"/>
    </w:lvl>
    <w:lvl w:ilvl="1">
      <w:lvlJc w:val="left"/>
      <w:lvlText w:val="%2."/>
      <w:numFmt w:val="upperLetter"/>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upperLetter"/>
      <w:start w:val="2"/>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upperLetter"/>
      <w:start w:val="3"/>
    </w:lvl>
    <w:lvl w:ilvl="1">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2019-12-29T04:28:36Z</dcterms:created>
  <dcterms:modified xsi:type="dcterms:W3CDTF">2019-12-29T04:28:36Z</dcterms:modified>
</cp:coreProperties>
</file>