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28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March 28, 2026</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97155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103"/>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Borders>
              <w:bottom w:val="single" w:sz="8" w:color="0D0D0D"/>
            </w:tcBorders>
          </w:tcPr>
          <w:p>
            <w:pPr>
              <w:spacing w:after="0"/>
              <w:rPr>
                <w:sz w:val="8"/>
                <w:szCs w:val="8"/>
                <w:color w:val="auto"/>
              </w:rPr>
            </w:pPr>
          </w:p>
        </w:tc>
        <w:tc>
          <w:tcPr>
            <w:tcW w:w="260" w:type="dxa"/>
            <w:vAlign w:val="bottom"/>
            <w:tcBorders>
              <w:bottom w:val="single" w:sz="8" w:color="0D0D0D"/>
            </w:tcBorders>
          </w:tcPr>
          <w:p>
            <w:pPr>
              <w:spacing w:after="0"/>
              <w:rPr>
                <w:sz w:val="8"/>
                <w:szCs w:val="8"/>
                <w:color w:val="auto"/>
              </w:rPr>
            </w:pPr>
          </w:p>
        </w:tc>
        <w:tc>
          <w:tcPr>
            <w:tcW w:w="380" w:type="dxa"/>
            <w:vAlign w:val="bottom"/>
            <w:tcBorders>
              <w:bottom w:val="single" w:sz="8" w:color="0D0D0D"/>
            </w:tcBorders>
          </w:tcPr>
          <w:p>
            <w:pPr>
              <w:spacing w:after="0"/>
              <w:rPr>
                <w:sz w:val="8"/>
                <w:szCs w:val="8"/>
                <w:color w:val="auto"/>
              </w:rPr>
            </w:pPr>
          </w:p>
        </w:tc>
        <w:tc>
          <w:tcPr>
            <w:tcW w:w="3800" w:type="dxa"/>
            <w:vAlign w:val="bottom"/>
          </w:tcPr>
          <w:p>
            <w:pPr>
              <w:spacing w:after="0"/>
              <w:rPr>
                <w:sz w:val="8"/>
                <w:szCs w:val="8"/>
                <w:color w:val="auto"/>
              </w:rPr>
            </w:pPr>
          </w:p>
        </w:tc>
      </w:tr>
    </w:tbl>
    <w:p>
      <w:pPr>
        <w:spacing w:after="0" w:line="157"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41" w:lineRule="exact"/>
        <w:rPr>
          <w:sz w:val="24"/>
          <w:szCs w:val="24"/>
          <w:color w:val="auto"/>
        </w:r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8"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4"/>
          <w:szCs w:val="24"/>
          <w:color w:val="auto"/>
        </w:rPr>
      </w:pPr>
    </w:p>
    <w:p>
      <w:pPr>
        <w:sectPr>
          <w:pgSz w:w="11900" w:h="16838" w:orient="portrait"/>
          <w:cols w:equalWidth="0" w:num="3">
            <w:col w:w="5960" w:space="720"/>
            <w:col w:w="2660" w:space="720"/>
            <w:col w:w="100"/>
          </w:cols>
          <w:pgMar w:left="860" w:top="661" w:right="879" w:bottom="1440" w:gutter="0" w:footer="0" w:header="0"/>
          <w:type w:val="continuous"/>
        </w:sect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016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20" w:firstLine="427"/>
        <w:spacing w:after="0" w:line="282" w:lineRule="auto"/>
        <w:rPr>
          <w:sz w:val="20"/>
          <w:szCs w:val="20"/>
          <w:color w:val="auto"/>
        </w:rPr>
      </w:pPr>
      <w:r>
        <w:rPr>
          <w:rFonts w:ascii="Times New Roman" w:cs="Times New Roman" w:eastAsia="Times New Roman" w:hAnsi="Times New Roman"/>
          <w:sz w:val="18"/>
          <w:szCs w:val="18"/>
          <w:color w:val="auto"/>
        </w:rPr>
        <w:t>As of April 25, 2026, the total number of shares outstanding of the registrant’s Common Stock was 82,024,081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0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gridSpan w:val="12"/>
          </w:tcPr>
          <w:p>
            <w:pPr>
              <w:jc w:val="center"/>
              <w:ind w:right="2120"/>
              <w:spacing w:after="0"/>
              <w:rPr>
                <w:sz w:val="20"/>
                <w:szCs w:val="20"/>
                <w:color w:val="auto"/>
              </w:rPr>
            </w:pPr>
            <w:r>
              <w:rPr>
                <w:rFonts w:ascii="Times New Roman" w:cs="Times New Roman" w:eastAsia="Times New Roman" w:hAnsi="Times New Roman"/>
                <w:sz w:val="18"/>
                <w:szCs w:val="18"/>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6"/>
            <w:vMerge w:val="restart"/>
          </w:tcPr>
          <w:p>
            <w:pPr>
              <w:jc w:val="center"/>
              <w:ind w:right="2560"/>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6"/>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Balance Sheets at March 28, 2026, and June 28,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third quarters and nine months ended March 28, 2026,</w:t>
            </w:r>
          </w:p>
        </w:tc>
        <w:tc>
          <w:tcPr>
            <w:tcW w:w="32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and March 29, 2025</w:t>
            </w:r>
          </w:p>
        </w:tc>
        <w:tc>
          <w:tcPr>
            <w:tcW w:w="6020" w:type="dxa"/>
            <w:vAlign w:val="bottom"/>
            <w:gridSpan w:val="1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third quarters and nine months ended March</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28, 2026, and March 29, 2025</w:t>
            </w:r>
          </w:p>
        </w:tc>
        <w:tc>
          <w:tcPr>
            <w:tcW w:w="518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third quarters and nine months ended March</w:t>
            </w:r>
          </w:p>
        </w:tc>
        <w:tc>
          <w:tcPr>
            <w:tcW w:w="2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28, 2026, and March 29, 2025</w:t>
            </w:r>
          </w:p>
        </w:tc>
        <w:tc>
          <w:tcPr>
            <w:tcW w:w="526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nine months ended March 28, 2026, and March 29, 2025</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0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4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898"/>
        </w:trPr>
        <w:tc>
          <w:tcPr>
            <w:tcW w:w="4980" w:type="dxa"/>
            <w:vAlign w:val="bottom"/>
            <w:gridSpan w:val="19"/>
          </w:tcPr>
          <w:p>
            <w:pPr>
              <w:jc w:val="center"/>
              <w:ind w:left="38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940" w:type="dxa"/>
            <w:vAlign w:val="bottom"/>
          </w:tcPr>
          <w:p>
            <w:pPr>
              <w:spacing w:after="0"/>
              <w:rPr>
                <w:sz w:val="21"/>
                <w:szCs w:val="21"/>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00" w:type="dxa"/>
            <w:vAlign w:val="bottom"/>
          </w:tcPr>
          <w:p>
            <w:pPr>
              <w:jc w:val="center"/>
              <w:ind w:right="3690"/>
              <w:spacing w:after="0"/>
              <w:rPr>
                <w:sz w:val="20"/>
                <w:szCs w:val="20"/>
                <w:color w:val="auto"/>
              </w:rPr>
            </w:pPr>
            <w:r>
              <w:rPr>
                <w:rFonts w:ascii="Times New Roman" w:cs="Times New Roman" w:eastAsia="Times New Roman" w:hAnsi="Times New Roman"/>
                <w:sz w:val="18"/>
                <w:szCs w:val="18"/>
                <w:b w:val="1"/>
                <w:bCs w:val="1"/>
                <w:i w:val="1"/>
                <w:iCs w:val="1"/>
                <w:color w:val="auto"/>
                <w:w w:val="99"/>
              </w:rPr>
              <w:t>Financial Statements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6"/>
        </w:trPr>
        <w:tc>
          <w:tcPr>
            <w:tcW w:w="9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March 28,</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28,</w:t>
            </w:r>
          </w:p>
        </w:tc>
      </w:tr>
      <w:tr>
        <w:trPr>
          <w:trHeight w:val="245"/>
        </w:trPr>
        <w:tc>
          <w:tcPr>
            <w:tcW w:w="94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r>
      <w:tr>
        <w:trPr>
          <w:trHeight w:val="180"/>
        </w:trPr>
        <w:tc>
          <w:tcPr>
            <w:tcW w:w="9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3"/>
              </w:rPr>
              <w:t>(Thousands,</w:t>
            </w:r>
          </w:p>
        </w:tc>
        <w:tc>
          <w:tcPr>
            <w:tcW w:w="200" w:type="dxa"/>
            <w:vAlign w:val="bottom"/>
          </w:tcPr>
          <w:p>
            <w:pPr>
              <w:spacing w:after="0"/>
              <w:rPr>
                <w:sz w:val="15"/>
                <w:szCs w:val="15"/>
                <w:color w:val="auto"/>
              </w:rPr>
            </w:pPr>
          </w:p>
        </w:tc>
        <w:tc>
          <w:tcPr>
            <w:tcW w:w="1020" w:type="dxa"/>
            <w:vAlign w:val="bottom"/>
            <w:gridSpan w:val="2"/>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87"/>
              </w:rPr>
              <w:t>except share</w:t>
            </w:r>
          </w:p>
        </w:tc>
        <w:tc>
          <w:tcPr>
            <w:tcW w:w="8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192,428</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4,327,450</w:t>
            </w:r>
          </w:p>
        </w:tc>
        <w:tc>
          <w:tcPr>
            <w:tcW w:w="8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5,462,394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5,235,485</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263,374</w:t>
            </w:r>
          </w:p>
        </w:tc>
        <w:tc>
          <w:tcPr>
            <w:tcW w:w="80" w:type="dxa"/>
            <w:vAlign w:val="bottom"/>
            <w:tcBorders>
              <w:bottom w:val="single" w:sz="8" w:color="CCEEFF"/>
            </w:tcBorders>
          </w:tcPr>
          <w:p>
            <w:pPr>
              <w:spacing w:after="0"/>
              <w:rPr>
                <w:sz w:val="19"/>
                <w:szCs w:val="19"/>
                <w:color w:val="auto"/>
              </w:rPr>
            </w:pPr>
          </w:p>
        </w:tc>
      </w:tr>
      <w:tr>
        <w:trPr>
          <w:trHeight w:val="216"/>
        </w:trPr>
        <w:tc>
          <w:tcPr>
            <w:tcW w:w="6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11,384,766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10,018,737</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667,247</w:t>
            </w:r>
          </w:p>
        </w:tc>
        <w:tc>
          <w:tcPr>
            <w:tcW w:w="8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837,031</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201,896</w:t>
            </w:r>
          </w:p>
        </w:tc>
        <w:tc>
          <w:tcPr>
            <w:tcW w:w="80" w:type="dxa"/>
            <w:vAlign w:val="bottom"/>
          </w:tcPr>
          <w:p>
            <w:pPr>
              <w:spacing w:after="0"/>
              <w:rPr>
                <w:sz w:val="18"/>
                <w:szCs w:val="18"/>
                <w:color w:val="auto"/>
              </w:rPr>
            </w:pPr>
          </w:p>
        </w:tc>
      </w:tr>
      <w:tr>
        <w:trPr>
          <w:trHeight w:val="236"/>
        </w:trPr>
        <w:tc>
          <w:tcPr>
            <w:tcW w:w="63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393,642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13,489,294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12,118,553</w:t>
            </w:r>
          </w:p>
        </w:tc>
        <w:tc>
          <w:tcPr>
            <w:tcW w:w="80" w:type="dxa"/>
            <w:vAlign w:val="bottom"/>
            <w:tcBorders>
              <w:bottom w:val="single" w:sz="8" w:color="CCEEFF"/>
            </w:tcBorders>
          </w:tcPr>
          <w:p>
            <w:pPr>
              <w:spacing w:after="0"/>
              <w:rPr>
                <w:sz w:val="21"/>
                <w:szCs w:val="21"/>
                <w:color w:val="auto"/>
              </w:rPr>
            </w:pPr>
          </w:p>
        </w:tc>
      </w:tr>
      <w:tr>
        <w:trPr>
          <w:trHeight w:val="197"/>
        </w:trPr>
        <w:tc>
          <w:tcPr>
            <w:tcW w:w="940" w:type="dxa"/>
            <w:vAlign w:val="bottom"/>
            <w:shd w:val="clear" w:color="auto" w:fill="CCEEFF"/>
          </w:tcPr>
          <w:p>
            <w:pPr>
              <w:spacing w:after="0"/>
              <w:rPr>
                <w:sz w:val="17"/>
                <w:szCs w:val="17"/>
                <w:color w:val="auto"/>
              </w:rPr>
            </w:pPr>
          </w:p>
        </w:tc>
        <w:tc>
          <w:tcPr>
            <w:tcW w:w="5400" w:type="dxa"/>
            <w:vAlign w:val="bottom"/>
            <w:shd w:val="clear" w:color="auto" w:fill="CCEEFF"/>
          </w:tcPr>
          <w:p>
            <w:pPr>
              <w:jc w:val="center"/>
              <w:ind w:right="8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470,090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87,284</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4,625,893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3,487,419</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497,154</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56,247</w:t>
            </w:r>
          </w:p>
        </w:tc>
        <w:tc>
          <w:tcPr>
            <w:tcW w:w="80" w:type="dxa"/>
            <w:vAlign w:val="bottom"/>
            <w:tcBorders>
              <w:bottom w:val="single" w:sz="8" w:color="CCEEFF"/>
            </w:tcBorders>
          </w:tcPr>
          <w:p>
            <w:pPr>
              <w:spacing w:after="0"/>
              <w:rPr>
                <w:sz w:val="19"/>
                <w:szCs w:val="19"/>
                <w:color w:val="auto"/>
              </w:rPr>
            </w:pPr>
          </w:p>
        </w:tc>
      </w:tr>
      <w:tr>
        <w:trPr>
          <w:trHeight w:val="216"/>
        </w:trPr>
        <w:tc>
          <w:tcPr>
            <w:tcW w:w="6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5,663,441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4,128,104</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2,472,813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2,574,729</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159,449</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220,893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244,776</w:t>
            </w:r>
          </w:p>
        </w:tc>
        <w:tc>
          <w:tcPr>
            <w:tcW w:w="80" w:type="dxa"/>
            <w:vAlign w:val="bottom"/>
            <w:tcBorders>
              <w:bottom w:val="single" w:sz="8" w:color="CCEEFF"/>
            </w:tcBorders>
          </w:tcPr>
          <w:p>
            <w:pPr>
              <w:spacing w:after="0"/>
              <w:rPr>
                <w:sz w:val="19"/>
                <w:szCs w:val="19"/>
                <w:color w:val="auto"/>
              </w:rPr>
            </w:pPr>
          </w:p>
        </w:tc>
      </w:tr>
      <w:tr>
        <w:trPr>
          <w:trHeight w:val="236"/>
        </w:trPr>
        <w:tc>
          <w:tcPr>
            <w:tcW w:w="6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8,535,957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7,107,058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34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3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82,041,227 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340" w:type="dxa"/>
            <w:vAlign w:val="bottom"/>
            <w:gridSpan w:val="2"/>
          </w:tcPr>
          <w:p>
            <w:pPr>
              <w:jc w:val="center"/>
              <w:ind w:right="2730"/>
              <w:spacing w:after="0"/>
              <w:rPr>
                <w:sz w:val="20"/>
                <w:szCs w:val="20"/>
                <w:color w:val="auto"/>
              </w:rPr>
            </w:pPr>
            <w:r>
              <w:rPr>
                <w:rFonts w:ascii="Times New Roman" w:cs="Times New Roman" w:eastAsia="Times New Roman" w:hAnsi="Times New Roman"/>
                <w:sz w:val="18"/>
                <w:szCs w:val="18"/>
                <w:color w:val="auto"/>
                <w:w w:val="99"/>
              </w:rPr>
              <w:t>and 83,853,935 shares, respectively</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83,854</w:t>
            </w:r>
          </w:p>
        </w:tc>
        <w:tc>
          <w:tcPr>
            <w:tcW w:w="80" w:type="dxa"/>
            <w:vAlign w:val="bottom"/>
          </w:tcPr>
          <w:p>
            <w:pPr>
              <w:spacing w:after="0"/>
              <w:rPr>
                <w:sz w:val="20"/>
                <w:szCs w:val="20"/>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1,787,623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1,755,141</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3,415,319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3,430,193</w:t>
            </w:r>
          </w:p>
        </w:tc>
        <w:tc>
          <w:tcPr>
            <w:tcW w:w="80" w:type="dxa"/>
            <w:vAlign w:val="bottom"/>
          </w:tcPr>
          <w:p>
            <w:pPr>
              <w:spacing w:after="0"/>
              <w:rPr>
                <w:sz w:val="18"/>
                <w:szCs w:val="18"/>
                <w:color w:val="auto"/>
              </w:rPr>
            </w:pPr>
          </w:p>
        </w:tc>
      </w:tr>
      <w:tr>
        <w:trPr>
          <w:trHeight w:val="236"/>
        </w:trPr>
        <w:tc>
          <w:tcPr>
            <w:tcW w:w="6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(331,646)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34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4,953,337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5,011,495</w:t>
            </w:r>
          </w:p>
        </w:tc>
        <w:tc>
          <w:tcPr>
            <w:tcW w:w="80" w:type="dxa"/>
            <w:vAlign w:val="bottom"/>
            <w:tcBorders>
              <w:bottom w:val="single" w:sz="8" w:color="CCEEFF"/>
            </w:tcBorders>
          </w:tcPr>
          <w:p>
            <w:pPr>
              <w:spacing w:after="0"/>
              <w:rPr>
                <w:sz w:val="18"/>
                <w:szCs w:val="18"/>
                <w:color w:val="auto"/>
              </w:rPr>
            </w:pPr>
          </w:p>
        </w:tc>
      </w:tr>
      <w:tr>
        <w:trPr>
          <w:trHeight w:val="216"/>
        </w:trPr>
        <w:tc>
          <w:tcPr>
            <w:tcW w:w="6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13,489,294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12,118,553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5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320" w:type="dxa"/>
            <w:vAlign w:val="bottom"/>
            <w:gridSpan w:val="2"/>
          </w:tcPr>
          <w:p>
            <w:pPr>
              <w:jc w:val="right"/>
              <w:ind w:right="16"/>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3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300" w:type="dxa"/>
            <w:vAlign w:val="bottom"/>
            <w:gridSpan w:val="3"/>
          </w:tcPr>
          <w:p>
            <w:pPr>
              <w:jc w:val="right"/>
              <w:ind w:right="24"/>
              <w:spacing w:after="0" w:line="19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9"/>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w w:val="96"/>
              </w:rPr>
              <w:t>(Thousands, except per share amounts)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7,119,779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5,315,423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19,337,306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6,380,718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4,727,570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17,320,442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1,311,214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48,199</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205,535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143,251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493,763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(184,259)</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99,468</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207,810</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82,152</w:t>
            </w: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82,930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86,876</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83,393</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88,198</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3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gridSpan w:val="2"/>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80" w:type="dxa"/>
            <w:vAlign w:val="bottom"/>
          </w:tcPr>
          <w:p>
            <w:pPr>
              <w:spacing w:after="0"/>
              <w:rPr>
                <w:sz w:val="21"/>
                <w:szCs w:val="2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28,</w:t>
            </w:r>
          </w:p>
        </w:tc>
        <w:tc>
          <w:tcPr>
            <w:tcW w:w="1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29,</w:t>
            </w:r>
            <w:r>
              <w:rPr>
                <w:rFonts w:ascii="Times New Roman" w:cs="Times New Roman" w:eastAsia="Times New Roman" w:hAnsi="Times New Roman"/>
                <w:sz w:val="18"/>
                <w:szCs w:val="18"/>
                <w:color w:val="auto"/>
              </w:rPr>
              <w:t xml:space="preserve"> ​</w:t>
            </w:r>
          </w:p>
        </w:tc>
        <w:tc>
          <w:tcPr>
            <w:tcW w:w="140" w:type="dxa"/>
            <w:vAlign w:val="bottom"/>
            <w:vMerge w:val="continue"/>
          </w:tcPr>
          <w:p>
            <w:pPr>
              <w:spacing w:after="0"/>
              <w:rPr>
                <w:sz w:val="17"/>
                <w:szCs w:val="17"/>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March 28,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194"/>
        </w:trPr>
        <w:tc>
          <w:tcPr>
            <w:tcW w:w="4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5"/>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$ 234,128</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41,162</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6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(56,147)</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83,061</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(73,953)</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38,797</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133,857</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$ 272,925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6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7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Accumulated</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4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40" w:type="dxa"/>
            <w:vAlign w:val="bottom"/>
          </w:tcPr>
          <w:p>
            <w:pPr>
              <w:spacing w:after="0"/>
              <w:rPr>
                <w:sz w:val="17"/>
                <w:szCs w:val="17"/>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4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40" w:type="dxa"/>
            <w:vAlign w:val="bottom"/>
          </w:tcPr>
          <w:p>
            <w:pPr>
              <w:spacing w:after="0"/>
              <w:rPr>
                <w:sz w:val="20"/>
                <w:szCs w:val="20"/>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June 28, 2025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$ 83,854</w:t>
            </w: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$ 1,755,141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$ 3,430,193</w:t>
            </w:r>
          </w:p>
        </w:tc>
        <w:tc>
          <w:tcPr>
            <w:tcW w:w="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(257,693)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5,011,495</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51,745</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(57,846)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(57,846)</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(28,464)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(28,464)</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(2,646)</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(2,646)</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(137,044)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(139,690)</w:t>
            </w:r>
          </w:p>
        </w:tc>
      </w:tr>
      <w:tr>
        <w:trPr>
          <w:trHeight w:val="209"/>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10,723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10,861</w:t>
            </w:r>
          </w:p>
        </w:tc>
      </w:tr>
      <w:tr>
        <w:trPr>
          <w:trHeight w:val="20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27, 2025</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81,346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81,346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1,765,864</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3,316,430</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(315,539)</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4,848,101</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61,733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61,733</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40,040</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(28,468)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(28,468)</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16,528</w:t>
            </w:r>
          </w:p>
        </w:tc>
      </w:tr>
      <w:tr>
        <w:trPr>
          <w:trHeight w:val="190"/>
        </w:trPr>
        <w:tc>
          <w:tcPr>
            <w:tcW w:w="23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Balance, December 27, 2025</w:t>
            </w:r>
          </w:p>
        </w:tc>
        <w:tc>
          <w:tcPr>
            <w:tcW w:w="3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81,356</w:t>
            </w: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81,356</w:t>
            </w: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1,782,382</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3,349,695</w:t>
            </w: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(275,499)</w:t>
            </w: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4,937,934</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94,332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94,332</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(56,147)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(56,147)</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(28,708)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(28,708)</w:t>
            </w:r>
          </w:p>
        </w:tc>
      </w:tr>
      <w:tr>
        <w:trPr>
          <w:trHeight w:val="209"/>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5,241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5,926</w:t>
            </w:r>
          </w:p>
        </w:tc>
      </w:tr>
      <w:tr>
        <w:trPr>
          <w:trHeight w:val="203"/>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March 28, 2026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$ 82,041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$ 1,787,623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$ 3,415,319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4,953,337</w:t>
            </w:r>
          </w:p>
        </w:tc>
      </w:tr>
      <w:tr>
        <w:trPr>
          <w:trHeight w:val="20"/>
        </w:trPr>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08"/>
        </w:trPr>
        <w:tc>
          <w:tcPr>
            <w:tcW w:w="2320" w:type="dxa"/>
            <w:vAlign w:val="bottom"/>
          </w:tcPr>
          <w:p>
            <w:pPr>
              <w:spacing w:after="0"/>
              <w:rPr>
                <w:sz w:val="24"/>
                <w:szCs w:val="24"/>
                <w:color w:val="auto"/>
              </w:rPr>
            </w:pPr>
          </w:p>
        </w:tc>
        <w:tc>
          <w:tcPr>
            <w:tcW w:w="106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7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8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Accumulated</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4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4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40" w:type="dxa"/>
            <w:vAlign w:val="bottom"/>
          </w:tcPr>
          <w:p>
            <w:pPr>
              <w:spacing w:after="0"/>
              <w:rPr>
                <w:sz w:val="17"/>
                <w:szCs w:val="17"/>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4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40" w:type="dxa"/>
            <w:vAlign w:val="bottom"/>
          </w:tcPr>
          <w:p>
            <w:pPr>
              <w:spacing w:after="0"/>
              <w:rPr>
                <w:sz w:val="20"/>
                <w:szCs w:val="20"/>
                <w:color w:val="auto"/>
              </w:rPr>
            </w:pPr>
          </w:p>
        </w:tc>
        <w:tc>
          <w:tcPr>
            <w:tcW w:w="120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June 29, 2024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89,046</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$ 89,046</w:t>
            </w:r>
          </w:p>
        </w:tc>
        <w:tc>
          <w:tcPr>
            <w:tcW w:w="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$ 1,721,369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$ 3,601,812</w:t>
            </w:r>
          </w:p>
        </w:tc>
        <w:tc>
          <w:tcPr>
            <w:tcW w:w="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(486,723)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4,925,504</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58,956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58,956</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(28,861)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(1,888)</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(1,888)</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(98,053)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(99,941)</w:t>
            </w:r>
          </w:p>
        </w:tc>
      </w:tr>
      <w:tr>
        <w:trPr>
          <w:trHeight w:val="209"/>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14,658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14,754</w:t>
            </w:r>
          </w:p>
        </w:tc>
      </w:tr>
      <w:tr>
        <w:trPr>
          <w:trHeight w:val="20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28, 2024</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87,254</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87,254</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1,736,027</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3,533,854</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(319,400)</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5,037,735</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87,253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87,253</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(211,587)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(211,587)</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(28,559)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(28,559)</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(947)</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(947)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(50,758)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(51,705)</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10,747</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10,766</w:t>
            </w:r>
          </w:p>
        </w:tc>
      </w:tr>
      <w:tr>
        <w:trPr>
          <w:trHeight w:val="20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28, 2024</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86,326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86,326</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1,746,774</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3,541,790</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(530,987)</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4,843,903</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87,919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87,919</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83,061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83,061</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(28,225)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(28,225)</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(100,300)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(102,304)</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02"/>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March 29, 2025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$ 84,928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$ 1,746,781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$ 3,501,184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(447,926)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4,884,967</w:t>
            </w:r>
          </w:p>
        </w:tc>
      </w:tr>
      <w:tr>
        <w:trPr>
          <w:trHeight w:val="20"/>
        </w:trPr>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86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22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Accrued expenses and other, net</w:t>
            </w: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convertible notes, net of issuance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(Repayments) borrowings under accounts receivable securitization,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Repayments under senior unsecured credit facility,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Borrowings (repayments) under bank credit facilities and other debt,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Borrowings under term loan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for) financing activities</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0" w:right="1440"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pacing w:after="0" w:line="11"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color w:val="auto"/>
        </w:rPr>
        <w:t>Net cash flows used for investing activities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(56,814)</w:t>
      </w:r>
      <w:r>
        <w:rPr>
          <w:sz w:val="20"/>
          <w:szCs w:val="20"/>
          <w:color w:val="auto"/>
        </w:rPr>
        <w:tab/>
      </w:r>
      <w:r>
        <w:rPr>
          <w:rFonts w:ascii="Times New Roman" w:cs="Times New Roman" w:eastAsia="Times New Roman" w:hAnsi="Times New Roman"/>
          <w:sz w:val="18"/>
          <w:szCs w:val="18"/>
          <w:color w:val="auto"/>
        </w:rPr>
        <w:t>(87,874)</w:t>
      </w:r>
    </w:p>
    <w:p>
      <w:pPr>
        <w:spacing w:after="0" w:line="27" w:lineRule="exact"/>
        <w:rPr>
          <w:sz w:val="20"/>
          <w:szCs w:val="20"/>
          <w:color w:val="auto"/>
        </w:rPr>
      </w:pPr>
    </w:p>
    <w:p>
      <w:pPr>
        <w:ind w:left="160"/>
        <w:spacing w:after="0"/>
        <w:tabs>
          <w:tab w:leader="none" w:pos="1220" w:val="left"/>
        </w:tabs>
        <w:rPr>
          <w:sz w:val="20"/>
          <w:szCs w:val="20"/>
          <w:color w:val="auto"/>
        </w:rPr>
      </w:pPr>
      <w:r>
        <w:rPr>
          <w:rFonts w:ascii="Times New Roman" w:cs="Times New Roman" w:eastAsia="Times New Roman" w:hAnsi="Times New Roman"/>
          <w:sz w:val="18"/>
          <w:szCs w:val="18"/>
          <w:color w:val="auto"/>
        </w:rPr>
        <w:t>1,003</w:t>
      </w:r>
      <w:r>
        <w:rPr>
          <w:sz w:val="20"/>
          <w:szCs w:val="20"/>
          <w:color w:val="auto"/>
        </w:rPr>
        <w:tab/>
      </w:r>
      <w:r>
        <w:rPr>
          <w:rFonts w:ascii="Times New Roman" w:cs="Times New Roman" w:eastAsia="Times New Roman" w:hAnsi="Times New Roman"/>
          <w:sz w:val="18"/>
          <w:szCs w:val="18"/>
          <w:color w:val="auto"/>
        </w:rPr>
        <w:t>10,353</w:t>
      </w:r>
    </w:p>
    <w:p>
      <w:pPr>
        <w:spacing w:after="0" w:line="1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(55,811)</w:t>
      </w:r>
      <w:r>
        <w:rPr>
          <w:sz w:val="20"/>
          <w:szCs w:val="20"/>
          <w:color w:val="auto"/>
        </w:rPr>
        <w:tab/>
      </w:r>
      <w:r>
        <w:rPr>
          <w:rFonts w:ascii="Times New Roman" w:cs="Times New Roman" w:eastAsia="Times New Roman" w:hAnsi="Times New Roman"/>
          <w:sz w:val="18"/>
          <w:szCs w:val="18"/>
          <w:color w:val="auto"/>
        </w:rPr>
        <w:t>(77,521)</w:t>
      </w:r>
    </w:p>
    <w:p>
      <w:pPr>
        <w:spacing w:after="0" w:line="213" w:lineRule="exact"/>
        <w:rPr>
          <w:sz w:val="20"/>
          <w:szCs w:val="20"/>
          <w:color w:val="auto"/>
        </w:rPr>
      </w:pPr>
    </w:p>
    <w:p>
      <w:pPr>
        <w:sectPr>
          <w:pgSz w:w="11900" w:h="16838" w:orient="portrait"/>
          <w:cols w:equalWidth="0" w:num="2">
            <w:col w:w="6440" w:space="720"/>
            <w:col w:w="1859"/>
          </w:cols>
          <w:pgMar w:left="1440" w:top="540" w:right="1440" w:bottom="1440" w:gutter="0" w:footer="0" w:header="0"/>
          <w:type w:val="continuous"/>
        </w:sectPr>
      </w:pP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 increase (decrease)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at beginning of period</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0" w:type="dxa"/>
            <w:vAlign w:val="bottom"/>
          </w:tcPr>
          <w:p>
            <w:pPr>
              <w:spacing w:after="0"/>
              <w:rPr>
                <w:sz w:val="1"/>
                <w:szCs w:val="1"/>
                <w:color w:val="auto"/>
              </w:rPr>
            </w:pPr>
          </w:p>
        </w:tc>
      </w:tr>
      <w:tr>
        <w:trPr>
          <w:trHeight w:val="203"/>
        </w:trPr>
        <w:tc>
          <w:tcPr>
            <w:tcW w:w="64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at end of period</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202,436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jc w:val="center"/>
              <w:ind w:left="241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42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189"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state fairly Avnet, Inc. and its consolidated subsidiaries’ (collectively, the “Company” or “Avnet”) financial position, results of operations, comprehensive income, and cash flows. All such adjustments are of a normal recurring nature.</w:t>
      </w:r>
    </w:p>
    <w:p>
      <w:pPr>
        <w:spacing w:after="0" w:line="180" w:lineRule="exact"/>
        <w:rPr>
          <w:sz w:val="20"/>
          <w:szCs w:val="20"/>
          <w:color w:val="auto"/>
        </w:rPr>
      </w:pPr>
    </w:p>
    <w:p>
      <w:pPr>
        <w:ind w:left="60" w:right="299" w:firstLine="427"/>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45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June 28, 2025.</w:t>
      </w:r>
    </w:p>
    <w:p>
      <w:pPr>
        <w:spacing w:after="0" w:line="158" w:lineRule="exact"/>
        <w:rPr>
          <w:sz w:val="20"/>
          <w:szCs w:val="20"/>
          <w:color w:val="auto"/>
        </w:rPr>
      </w:pPr>
    </w:p>
    <w:p>
      <w:pPr>
        <w:ind w:left="60" w:right="539" w:firstLine="427"/>
        <w:spacing w:after="0" w:line="312" w:lineRule="auto"/>
        <w:rPr>
          <w:sz w:val="20"/>
          <w:szCs w:val="20"/>
          <w:color w:val="auto"/>
        </w:rPr>
      </w:pPr>
      <w:r>
        <w:rPr>
          <w:rFonts w:ascii="Times New Roman" w:cs="Times New Roman" w:eastAsia="Times New Roman" w:hAnsi="Times New Roman"/>
          <w:sz w:val="17"/>
          <w:szCs w:val="17"/>
          <w:color w:val="auto"/>
        </w:rPr>
        <w:t>During the nine months ending March 28, 2026, the Company added the following convertible debt accounting policy. Other than this update, there have been no significant changes to the Company’s accounting policies.</w:t>
      </w:r>
    </w:p>
    <w:p>
      <w:pPr>
        <w:spacing w:after="0" w:line="140"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Convertible Debt – The Company records its convertible debt as a liability, measured at amortized cost. Unamortized debt issuance costs associated with the Company’s convertible debt are presented in the consolidated balance sheets as a reduction of long-term debt. These issuance costs are amortized on a straight-line basis, which closely approximates the effective interest rate method, to interest expense over the term of the convertible debt. See Note 4, “Debt”, for further details.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left="60" w:right="119" w:firstLine="427"/>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 xml:space="preserve">Debt—Debt with Conversion and Other Options (Subtopic 470-20): Induced Conversions of Convertible Debt Instruments </w:t>
      </w:r>
      <w:r>
        <w:rPr>
          <w:rFonts w:ascii="Times New Roman" w:cs="Times New Roman" w:eastAsia="Times New Roman" w:hAnsi="Times New Roman"/>
          <w:sz w:val="18"/>
          <w:szCs w:val="18"/>
          <w:color w:val="auto"/>
        </w:rPr>
        <w:t>(“ASU No. 2024-04”), which clarifies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certain settlements of convertible debt should be accounted for as an induced conversion. The ASU is effective for fiscal years beginning after December 15, 2025, and interim periods within those annual reporting periods. Early adoption is permitted and should be applied on a prospective basis, although retrospective application is permitted. The Company early adopted this accounting standard at the beginning of fiscal 2026, which had no impact on the consolidated financial statements.</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85"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(“ASU No. 2023-09”), which updates income tax disclosures related to the effective income tax rate reconciliation and requires disclosure of income taxes paid by jurisdiction. ASU No. 2023-09 is effective for the Company in fiscal year 2026 and will be adopted in its 2026 fiscal year Form 10-K on a prospective basis. Adoption of this new standard will result in increased disclosures in the Company’s fiscal 2026 Form 10-K.</w:t>
      </w:r>
    </w:p>
    <w:p>
      <w:pPr>
        <w:spacing w:after="0" w:line="143" w:lineRule="exact"/>
        <w:rPr>
          <w:sz w:val="20"/>
          <w:szCs w:val="20"/>
          <w:color w:val="auto"/>
        </w:rPr>
      </w:pPr>
    </w:p>
    <w:p>
      <w:pPr>
        <w:ind w:left="60" w:right="7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2025, the FASB issued ASU 2025-01,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Clarifying the Effective Date </w:t>
      </w:r>
      <w:r>
        <w:rPr>
          <w:rFonts w:ascii="Times New Roman" w:cs="Times New Roman" w:eastAsia="Times New Roman" w:hAnsi="Times New Roman"/>
          <w:sz w:val="18"/>
          <w:szCs w:val="18"/>
          <w:color w:val="auto"/>
        </w:rPr>
        <w:t>(“ASU 2025-01”). The guidance is designed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by requiring public business entities to disclose additional information about specific expense categories in the financial statement notes at interim and annual reporting periods. ASU No. 2024-03, as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clarified by ASU 2025-01, will be effective for the Company in fiscal year 2028 and early adoption is permitted. The Company is currently evaluating the impact of adopting ASU No. 2024-03 on its disclosures.</w:t>
      </w:r>
    </w:p>
    <w:p>
      <w:pPr>
        <w:spacing w:after="0" w:line="119" w:lineRule="exact"/>
        <w:rPr>
          <w:sz w:val="20"/>
          <w:szCs w:val="20"/>
          <w:color w:val="auto"/>
        </w:rPr>
      </w:pPr>
    </w:p>
    <w:p>
      <w:pPr>
        <w:ind w:left="60" w:right="11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w:t>
      </w:r>
      <w:r>
        <w:rPr>
          <w:rFonts w:ascii="Times New Roman" w:cs="Times New Roman" w:eastAsia="Times New Roman" w:hAnsi="Times New Roman"/>
          <w:sz w:val="18"/>
          <w:szCs w:val="18"/>
          <w:color w:val="auto"/>
        </w:rPr>
        <w:t>(“ASU No. 2025-05”). This update introduces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 available to all entities when estimating expected credit losses on current accounts receivable and contract assets arising from revenue recognized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With this expedient, entities may assume that the current conditions used to determine credit loss allowances for these assets will remain unchanged for the remainder of their lives. ASU 2025-05 will be effective for the Company starting in fiscal 2027, including interim periods in that year. Entities that choose to apply the practical expedient, along with any related accounting policy elections, must do so prospectively. The Company is currently assessing the potential effects of adopting ASU 2025-05 on its consolidated financial statements and disclosures.</w:t>
      </w:r>
    </w:p>
    <w:p>
      <w:pPr>
        <w:spacing w:after="0" w:line="161" w:lineRule="exact"/>
        <w:rPr>
          <w:sz w:val="20"/>
          <w:szCs w:val="20"/>
          <w:color w:val="auto"/>
        </w:rPr>
      </w:pPr>
    </w:p>
    <w:p>
      <w:pPr>
        <w:ind w:left="60" w:right="139" w:firstLine="427"/>
        <w:spacing w:after="0" w:line="253"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No. 2025-09”), which make certain targeted improvements to simplify the application of the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guidance and to address several incremental hedge accounting issues arising from the global reference rate reform initiative. Among other amendments, these improvements include expanding the hedged risks permitted to be aggregated in a group of individual forecasted transactions in a cash flow hedge and clarifying the circumstance under which a group of individual forecasted transactions can be considered to have a similar risk exposure. The amendments in ASU 2025-09 are effective for annual periods beginning after December 15, 2026, and interim periods within those annual reporting periods, which for the Company would be the fiscal first quarter ending September 25, 2027. Early adoption is permitted and the amendments should be applied on a prospective basis for all hedging relationships. The Company is currently evaluating the impact the new accounting standard could have on its hedge accounting policies and related disclosures.</w:t>
      </w:r>
    </w:p>
    <w:p>
      <w:pPr>
        <w:spacing w:after="0" w:line="151" w:lineRule="exact"/>
        <w:rPr>
          <w:sz w:val="20"/>
          <w:szCs w:val="20"/>
          <w:color w:val="auto"/>
        </w:rPr>
      </w:pPr>
    </w:p>
    <w:p>
      <w:pPr>
        <w:ind w:left="60" w:right="99" w:firstLine="427"/>
        <w:spacing w:after="0" w:line="277"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xml:space="preserve"> (“ASU No. 2025-11”). This update enhances the clarity and organization of interim reporting and the applicability of Topic</w:t>
      </w:r>
    </w:p>
    <w:p>
      <w:pPr>
        <w:spacing w:after="0" w:line="1" w:lineRule="exact"/>
        <w:rPr>
          <w:sz w:val="20"/>
          <w:szCs w:val="20"/>
          <w:color w:val="auto"/>
        </w:rPr>
      </w:pPr>
    </w:p>
    <w:p>
      <w:pPr>
        <w:ind w:left="60" w:right="199" w:hanging="10"/>
        <w:spacing w:after="0" w:line="25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also clarifies the required form and content of interim financial statements, including requiring entities to disclose events since the end of the last annual reporting period that have a material impact on the entity. The standard is effective for interim reporting periods within annual periods beginning after December 15, 2027, which for the Company would be the first quarter of fiscal 2029, with early adoption permitted. Entities may apply the update either prospectively or retrospectively. The Company is in the process of evaluating the impact of adopting ASU No. 2025-11 on its consolidated financial statements and related disclosures.</w:t>
      </w:r>
    </w:p>
    <w:p>
      <w:pPr>
        <w:spacing w:after="0" w:line="186" w:lineRule="exact"/>
        <w:rPr>
          <w:sz w:val="20"/>
          <w:szCs w:val="20"/>
          <w:color w:val="auto"/>
        </w:rPr>
      </w:pPr>
    </w:p>
    <w:p>
      <w:pPr>
        <w:ind w:left="480" w:right="7539" w:hanging="430"/>
        <w:spacing w:after="0" w:line="491" w:lineRule="auto"/>
        <w:tabs>
          <w:tab w:leader="none" w:pos="233"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28,</w:t>
            </w:r>
          </w:p>
        </w:tc>
        <w:tc>
          <w:tcPr>
            <w:tcW w:w="0" w:type="dxa"/>
            <w:vAlign w:val="bottom"/>
          </w:tcPr>
          <w:p>
            <w:pPr>
              <w:spacing w:after="0"/>
              <w:rPr>
                <w:sz w:val="1"/>
                <w:szCs w:val="1"/>
                <w:color w:val="auto"/>
              </w:rPr>
            </w:pPr>
          </w:p>
        </w:tc>
      </w:tr>
      <w:tr>
        <w:trPr>
          <w:trHeight w:val="245"/>
        </w:trPr>
        <w:tc>
          <w:tcPr>
            <w:tcW w:w="32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receivables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(101,131)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5,502,259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nine months of fiscal 2026 and fiscal 2025:</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29,</w:t>
            </w:r>
          </w:p>
        </w:tc>
      </w:tr>
      <w:tr>
        <w:trPr>
          <w:trHeight w:val="245"/>
        </w:trPr>
        <w:tc>
          <w:tcPr>
            <w:tcW w:w="6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203"/>
        </w:trPr>
        <w:tc>
          <w:tcPr>
            <w:tcW w:w="6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20" w:type="dxa"/>
            <w:vAlign w:val="bottom"/>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(Releases) Provisions</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20" w:type="dxa"/>
            <w:vAlign w:val="bottom"/>
          </w:tcPr>
          <w:p>
            <w:pPr>
              <w:spacing w:after="0"/>
              <w:rPr>
                <w:sz w:val="18"/>
                <w:szCs w:val="18"/>
                <w:color w:val="auto"/>
              </w:rPr>
            </w:pPr>
          </w:p>
        </w:tc>
      </w:tr>
      <w:tr>
        <w:trPr>
          <w:trHeight w:val="23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20"/>
                <w:szCs w:val="20"/>
                <w:color w:val="auto"/>
              </w:rPr>
            </w:pPr>
          </w:p>
        </w:tc>
      </w:tr>
      <w:tr>
        <w:trPr>
          <w:trHeight w:val="203"/>
        </w:trPr>
        <w:tc>
          <w:tcPr>
            <w:tcW w:w="62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101,131</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110,113</w:t>
            </w:r>
          </w:p>
        </w:tc>
        <w:tc>
          <w:tcPr>
            <w:tcW w:w="20" w:type="dxa"/>
            <w:vAlign w:val="bottom"/>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2" w:lineRule="exact"/>
        <w:rPr>
          <w:sz w:val="20"/>
          <w:szCs w:val="20"/>
          <w:color w:val="auto"/>
        </w:rPr>
      </w:pPr>
    </w:p>
    <w:p>
      <w:pPr>
        <w:ind w:left="60" w:right="619" w:firstLine="427"/>
        <w:spacing w:after="0" w:line="266"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w:t>
      </w:r>
    </w:p>
    <w:p>
      <w:pPr>
        <w:spacing w:after="0" w:line="176"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7% of inventories as of March 28, 2026, and approximately 6% of inventories as of June 28, 2025.</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first nine months of fiscal 2026.</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28, 2025 </w:t>
            </w:r>
            <w:r>
              <w:rPr>
                <w:rFonts w:ascii="Times New Roman" w:cs="Times New Roman" w:eastAsia="Times New Roman" w:hAnsi="Times New Roman"/>
                <w:sz w:val="25"/>
                <w:szCs w:val="25"/>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527,293</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837,031</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March 28, 2026 </w:t>
            </w:r>
            <w:r>
              <w:rPr>
                <w:rFonts w:ascii="Times New Roman" w:cs="Times New Roman" w:eastAsia="Times New Roman" w:hAnsi="Times New Roman"/>
                <w:sz w:val="25"/>
                <w:szCs w:val="25"/>
                <w:color w:val="auto"/>
                <w:vertAlign w:val="superscript"/>
              </w:rPr>
              <w:t>(1)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817,042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0D0D0D"/>
            </w:tcBorders>
          </w:tcPr>
          <w:p>
            <w:pPr>
              <w:spacing w:after="0"/>
              <w:rPr>
                <w:sz w:val="8"/>
                <w:szCs w:val="8"/>
                <w:color w:val="auto"/>
              </w:rPr>
            </w:pPr>
          </w:p>
        </w:tc>
        <w:tc>
          <w:tcPr>
            <w:tcW w:w="2220" w:type="dxa"/>
            <w:vAlign w:val="bottom"/>
            <w:tcBorders>
              <w:bottom w:val="single" w:sz="8" w:color="0D0D0D"/>
            </w:tcBorders>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54" w:lineRule="exact"/>
        <w:rPr>
          <w:sz w:val="20"/>
          <w:szCs w:val="20"/>
          <w:color w:val="auto"/>
        </w:rPr>
      </w:pPr>
    </w:p>
    <w:p>
      <w:pPr>
        <w:ind w:left="300" w:hanging="250"/>
        <w:spacing w:after="0"/>
        <w:tabs>
          <w:tab w:leader="none" w:pos="30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impairments of $1,482,677 from prior fiscal years.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28,</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28,</w:t>
            </w:r>
          </w:p>
        </w:tc>
      </w:tr>
      <w:tr>
        <w:trPr>
          <w:trHeight w:val="238"/>
        </w:trPr>
        <w:tc>
          <w:tcPr>
            <w:tcW w:w="5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2025</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2025</w:t>
            </w:r>
          </w:p>
        </w:tc>
      </w:tr>
      <w:tr>
        <w:trPr>
          <w:trHeight w:val="27"/>
        </w:trPr>
        <w:tc>
          <w:tcPr>
            <w:tcW w:w="5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Borders>
              <w:bottom w:val="single" w:sz="8" w:color="auto"/>
            </w:tcBorders>
            <w:gridSpan w:val="2"/>
          </w:tcPr>
          <w:p>
            <w:pPr>
              <w:spacing w:after="0"/>
              <w:rPr>
                <w:sz w:val="18"/>
                <w:szCs w:val="18"/>
                <w:color w:val="auto"/>
              </w:rPr>
            </w:pPr>
          </w:p>
        </w:tc>
        <w:tc>
          <w:tcPr>
            <w:tcW w:w="700" w:type="dxa"/>
            <w:vAlign w:val="bottom"/>
            <w:tcBorders>
              <w:bottom w:val="single" w:sz="8" w:color="auto"/>
            </w:tcBorders>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81"/>
              </w:rPr>
              <w:t>Balance</w:t>
            </w:r>
          </w:p>
        </w:tc>
        <w:tc>
          <w:tcPr>
            <w:tcW w:w="80" w:type="dxa"/>
            <w:vAlign w:val="bottom"/>
            <w:tcBorders>
              <w:bottom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securitization program (due December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Term loan - current portion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106,225</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87,284</w:t>
            </w:r>
          </w:p>
        </w:tc>
        <w:tc>
          <w:tcPr>
            <w:tcW w:w="80" w:type="dxa"/>
            <w:vAlign w:val="bottom"/>
            <w:shd w:val="clear" w:color="auto" w:fill="CCEEFF"/>
          </w:tcPr>
          <w:p>
            <w:pPr>
              <w:spacing w:after="0"/>
              <w:rPr>
                <w:sz w:val="20"/>
                <w:szCs w:val="20"/>
                <w:color w:val="auto"/>
              </w:rPr>
            </w:pPr>
          </w:p>
        </w:tc>
      </w:tr>
      <w:tr>
        <w:trPr>
          <w:trHeight w:val="203"/>
        </w:trPr>
        <w:tc>
          <w:tcPr>
            <w:tcW w:w="5200" w:type="dxa"/>
            <w:vAlign w:val="bottom"/>
            <w:tcBorders>
              <w:top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470,090</w:t>
            </w:r>
          </w:p>
        </w:tc>
        <w:tc>
          <w:tcPr>
            <w:tcW w:w="140" w:type="dxa"/>
            <w:vAlign w:val="bottom"/>
            <w:tcBorders>
              <w:top w:val="single" w:sz="8" w:color="CCEEFF"/>
            </w:tcBorders>
            <w:gridSpan w:val="2"/>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$ 87,284</w:t>
            </w:r>
          </w:p>
        </w:tc>
        <w:tc>
          <w:tcPr>
            <w:tcW w:w="80" w:type="dxa"/>
            <w:vAlign w:val="bottom"/>
            <w:tcBorders>
              <w:top w:val="single" w:sz="8" w:color="CCEEFF"/>
            </w:tcBorders>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99" w:firstLine="427"/>
        <w:spacing w:after="0" w:line="253" w:lineRule="auto"/>
        <w:rPr>
          <w:sz w:val="20"/>
          <w:szCs w:val="20"/>
          <w:color w:val="auto"/>
        </w:rPr>
      </w:pPr>
      <w:r>
        <w:rPr>
          <w:rFonts w:ascii="Times New Roman" w:cs="Times New Roman" w:eastAsia="Times New Roman" w:hAnsi="Times New Roman"/>
          <w:sz w:val="18"/>
          <w:szCs w:val="18"/>
          <w:color w:val="auto"/>
        </w:rPr>
        <w:t>The Company has a trade accounts receivable securitization program (the “Securitization Program”) in the United States with a group of financial institutions, which is due in December 2026. The Securitization Program allows the Company to transfer, on an ongoing revolving basis, an undivided interest in a designated pool of trade accounts receivable, to provide security or collateral for borrowings of up to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$996.1 million and $813.9 million at March 28, 2026, and June 28, 2025, respectively. The Securitization Program contains certain covenants relating to the quality of the receivables sold.</w:t>
      </w:r>
    </w:p>
    <w:p>
      <w:pPr>
        <w:spacing w:after="0" w:line="154" w:lineRule="exact"/>
        <w:rPr>
          <w:sz w:val="20"/>
          <w:szCs w:val="20"/>
          <w:color w:val="auto"/>
        </w:rPr>
      </w:pPr>
    </w:p>
    <w:p>
      <w:pPr>
        <w:ind w:left="60" w:right="319" w:firstLine="427"/>
        <w:spacing w:after="0" w:line="266"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28,</w:t>
            </w:r>
          </w:p>
        </w:tc>
        <w:tc>
          <w:tcPr>
            <w:tcW w:w="12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June 28,</w:t>
            </w:r>
          </w:p>
        </w:tc>
      </w:tr>
      <w:tr>
        <w:trPr>
          <w:trHeight w:val="245"/>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Borders>
              <w:bottom w:val="single" w:sz="8" w:color="auto"/>
            </w:tcBorders>
            <w:gridSpan w:val="2"/>
          </w:tcPr>
          <w:p>
            <w:pPr>
              <w:spacing w:after="0"/>
              <w:rPr>
                <w:sz w:val="18"/>
                <w:szCs w:val="18"/>
                <w:color w:val="auto"/>
              </w:rPr>
            </w:pPr>
          </w:p>
        </w:tc>
        <w:tc>
          <w:tcPr>
            <w:tcW w:w="660" w:type="dxa"/>
            <w:vAlign w:val="bottom"/>
            <w:tcBorders>
              <w:top w:val="single" w:sz="8" w:color="auto"/>
              <w:bottom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w w:val="88"/>
              </w:rPr>
              <w:t>Rate</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bottom w:val="single" w:sz="8" w:color="auto"/>
            </w:tcBorders>
            <w:gridSpan w:val="2"/>
          </w:tcPr>
          <w:p>
            <w:pPr>
              <w:spacing w:after="0"/>
              <w:rPr>
                <w:sz w:val="18"/>
                <w:szCs w:val="18"/>
                <w:color w:val="auto"/>
              </w:rPr>
            </w:pPr>
          </w:p>
        </w:tc>
        <w:tc>
          <w:tcPr>
            <w:tcW w:w="940" w:type="dxa"/>
            <w:vAlign w:val="bottom"/>
            <w:tcBorders>
              <w:top w:val="single" w:sz="8" w:color="auto"/>
              <w:bottom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 (due December 2026)</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Credit Facility (due January 2030)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411,586</w:t>
            </w:r>
          </w:p>
        </w:tc>
        <w:tc>
          <w:tcPr>
            <w:tcW w:w="60" w:type="dxa"/>
            <w:vAlign w:val="bottom"/>
          </w:tcPr>
          <w:p>
            <w:pPr>
              <w:spacing w:after="0"/>
              <w:rPr>
                <w:sz w:val="18"/>
                <w:szCs w:val="18"/>
                <w:color w:val="auto"/>
              </w:rPr>
            </w:pPr>
          </w:p>
        </w:tc>
      </w:tr>
      <w:tr>
        <w:trPr>
          <w:trHeight w:val="216"/>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 noncurrent portion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60" w:type="dxa"/>
            <w:vAlign w:val="bottom"/>
          </w:tcPr>
          <w:p>
            <w:pPr>
              <w:spacing w:after="0"/>
              <w:rPr>
                <w:sz w:val="18"/>
                <w:szCs w:val="18"/>
                <w:color w:val="auto"/>
              </w:rPr>
            </w:pPr>
          </w:p>
        </w:tc>
      </w:tr>
      <w:tr>
        <w:trPr>
          <w:trHeight w:val="216"/>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notes due: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12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April 2026 </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8"/>
                <w:szCs w:val="18"/>
                <w:color w:val="auto"/>
              </w:rPr>
            </w:pPr>
          </w:p>
        </w:tc>
      </w:tr>
      <w:tr>
        <w:trPr>
          <w:trHeight w:val="216"/>
        </w:trPr>
        <w:tc>
          <w:tcPr>
            <w:tcW w:w="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March 2028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2030 (Convertible Notes)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2031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2032</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bottom w:val="single" w:sz="8" w:color="CCEEFF"/>
            </w:tcBorders>
          </w:tcPr>
          <w:p>
            <w:pPr>
              <w:spacing w:after="0"/>
              <w:rPr>
                <w:sz w:val="19"/>
                <w:szCs w:val="19"/>
                <w:color w:val="auto"/>
              </w:rPr>
            </w:pPr>
          </w:p>
        </w:tc>
      </w:tr>
      <w:tr>
        <w:trPr>
          <w:trHeight w:val="216"/>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2,583,561</w:t>
            </w:r>
          </w:p>
        </w:tc>
        <w:tc>
          <w:tcPr>
            <w:tcW w:w="60" w:type="dxa"/>
            <w:vAlign w:val="bottom"/>
            <w:shd w:val="clear" w:color="auto" w:fill="CCEEFF"/>
          </w:tcPr>
          <w:p>
            <w:pPr>
              <w:spacing w:after="0"/>
              <w:rPr>
                <w:sz w:val="18"/>
                <w:szCs w:val="18"/>
                <w:color w:val="auto"/>
              </w:rPr>
            </w:pPr>
          </w:p>
        </w:tc>
      </w:tr>
      <w:tr>
        <w:trPr>
          <w:trHeight w:val="223"/>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(8,832)</w:t>
            </w:r>
          </w:p>
        </w:tc>
      </w:tr>
      <w:tr>
        <w:trPr>
          <w:trHeight w:val="216"/>
        </w:trPr>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2,574,729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2240" w:type="dxa"/>
            <w:vAlign w:val="bottom"/>
            <w:tcBorders>
              <w:bottom w:val="single" w:sz="8" w:color="0D0D0D"/>
            </w:tcBorders>
          </w:tcPr>
          <w:p>
            <w:pPr>
              <w:spacing w:after="0"/>
              <w:rPr>
                <w:sz w:val="11"/>
                <w:szCs w:val="11"/>
                <w:color w:val="auto"/>
              </w:rPr>
            </w:pPr>
          </w:p>
        </w:tc>
        <w:tc>
          <w:tcPr>
            <w:tcW w:w="2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81" w:lineRule="exact"/>
        <w:rPr>
          <w:sz w:val="20"/>
          <w:szCs w:val="20"/>
          <w:color w:val="auto"/>
        </w:rPr>
      </w:pPr>
    </w:p>
    <w:p>
      <w:pPr>
        <w:ind w:left="60" w:right="199" w:firstLine="418"/>
        <w:spacing w:after="0" w:line="180" w:lineRule="auto"/>
        <w:tabs>
          <w:tab w:leader="none" w:pos="869"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of March 28, 2026, the Company classified its $550 million of 4.63% Notes due April 2026 as long-term debt based on its ability and intent to refinance these notes on a long-term basis.</w:t>
      </w:r>
    </w:p>
    <w:p>
      <w:pPr>
        <w:spacing w:after="0" w:line="151" w:lineRule="exact"/>
        <w:rPr>
          <w:sz w:val="20"/>
          <w:szCs w:val="20"/>
          <w:color w:val="auto"/>
        </w:rPr>
      </w:pPr>
    </w:p>
    <w:p>
      <w:pPr>
        <w:ind w:left="60" w:right="79" w:firstLine="427"/>
        <w:spacing w:after="0" w:line="272" w:lineRule="auto"/>
        <w:rPr>
          <w:sz w:val="20"/>
          <w:szCs w:val="20"/>
          <w:color w:val="auto"/>
        </w:rPr>
      </w:pPr>
      <w:r>
        <w:rPr>
          <w:rFonts w:ascii="Times New Roman" w:cs="Times New Roman" w:eastAsia="Times New Roman" w:hAnsi="Times New Roman"/>
          <w:sz w:val="17"/>
          <w:szCs w:val="17"/>
          <w:color w:val="auto"/>
        </w:rPr>
        <w:t>The Company has a five-year $1.50 billion revolving credit facility (the “Credit Facility”) with a syndicate of banks, which expires in January 2030. It consists of revolving credit facilities and the issuance of up to $200.0 million of letters of credit and up to $300.0 million of loans in certain approved currencies. As of March 28, 2026, and June 28, 2025, there were $0.8 million and $0.9 million, respectively,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below a certain threshold, which the Company was in compliance with as of March 28, 2026, and June 28, 2025.</w:t>
      </w:r>
    </w:p>
    <w:p>
      <w:pPr>
        <w:spacing w:after="0" w:line="131" w:lineRule="exact"/>
        <w:rPr>
          <w:sz w:val="20"/>
          <w:szCs w:val="20"/>
          <w:color w:val="auto"/>
        </w:rPr>
      </w:pPr>
    </w:p>
    <w:p>
      <w:pPr>
        <w:ind w:left="60" w:right="419" w:firstLine="427"/>
        <w:spacing w:after="0" w:line="261" w:lineRule="auto"/>
        <w:rPr>
          <w:sz w:val="20"/>
          <w:szCs w:val="20"/>
          <w:color w:val="auto"/>
        </w:rPr>
      </w:pPr>
      <w:r>
        <w:rPr>
          <w:rFonts w:ascii="Times New Roman" w:cs="Times New Roman" w:eastAsia="Times New Roman" w:hAnsi="Times New Roman"/>
          <w:sz w:val="18"/>
          <w:szCs w:val="18"/>
          <w:color w:val="auto"/>
        </w:rPr>
        <w:t>On August 28, 2025, the Company amended its Credit Facility through September 2026 to temporarily raise the maximum permitted leverage ratio. The amendment also restricts the Company's ability to make certain payments including the repurchase of shares in excess of $100 million worth of its common stock, which was reached in the first quarter of fiscal 2026 in connection with the issuance of the Convertible Notes.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479" w:firstLine="427"/>
        <w:spacing w:after="0" w:line="289" w:lineRule="auto"/>
        <w:rPr>
          <w:sz w:val="20"/>
          <w:szCs w:val="20"/>
          <w:color w:val="auto"/>
        </w:rPr>
      </w:pPr>
      <w:r>
        <w:rPr>
          <w:rFonts w:ascii="Times New Roman" w:cs="Times New Roman" w:eastAsia="Times New Roman" w:hAnsi="Times New Roman"/>
          <w:sz w:val="17"/>
          <w:szCs w:val="17"/>
          <w:color w:val="auto"/>
        </w:rPr>
        <w:t>The Credit Facility includes a $250 million accordion feature under which the revolving line of credit may be increased up to $1.75 billion through an amendment, which the Company exercised in April 2026. The Company also repaid the $550 million 4.63% Notes due April 2026 with available borrowing capacity under the Credit Facility.</w:t>
      </w:r>
    </w:p>
    <w:p>
      <w:pPr>
        <w:spacing w:after="0" w:line="117" w:lineRule="exact"/>
        <w:rPr>
          <w:sz w:val="20"/>
          <w:szCs w:val="20"/>
          <w:color w:val="auto"/>
        </w:rPr>
      </w:pPr>
    </w:p>
    <w:p>
      <w:pPr>
        <w:jc w:val="both"/>
        <w:ind w:left="60" w:right="439" w:firstLine="427"/>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 credit agreement (“Term Loan”) for approximately $266.5 million that matures in approximately equal annual installments over the next three years. The Term Loan bears a blended variable interest rate between tranches as outlined in the prior tables.</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September 2025, the Company issued $650 million aggregate principal amount of convertible senior notes due</w:t>
      </w:r>
    </w:p>
    <w:p>
      <w:pPr>
        <w:spacing w:after="0" w:line="27" w:lineRule="exact"/>
        <w:rPr>
          <w:sz w:val="20"/>
          <w:szCs w:val="20"/>
          <w:color w:val="auto"/>
        </w:rPr>
      </w:pPr>
    </w:p>
    <w:p>
      <w:pPr>
        <w:ind w:left="60" w:right="559"/>
        <w:spacing w:after="0" w:line="260" w:lineRule="auto"/>
        <w:rPr>
          <w:sz w:val="20"/>
          <w:szCs w:val="20"/>
          <w:color w:val="auto"/>
        </w:rPr>
      </w:pPr>
      <w:r>
        <w:rPr>
          <w:rFonts w:ascii="Times New Roman" w:cs="Times New Roman" w:eastAsia="Times New Roman" w:hAnsi="Times New Roman"/>
          <w:sz w:val="18"/>
          <w:szCs w:val="18"/>
          <w:color w:val="auto"/>
        </w:rPr>
        <w:t>2030 (the “Convertible Notes”). The net proceeds from the sale of the Convertible Notes were approximately $633.8 million.</w:t>
      </w:r>
    </w:p>
    <w:p>
      <w:pPr>
        <w:spacing w:after="0" w:line="141" w:lineRule="exact"/>
        <w:rPr>
          <w:sz w:val="20"/>
          <w:szCs w:val="20"/>
          <w:color w:val="auto"/>
        </w:rPr>
      </w:pPr>
    </w:p>
    <w:p>
      <w:pPr>
        <w:ind w:left="60" w:right="239" w:firstLine="427"/>
        <w:spacing w:after="0" w:line="256" w:lineRule="auto"/>
        <w:rPr>
          <w:sz w:val="20"/>
          <w:szCs w:val="20"/>
          <w:color w:val="auto"/>
        </w:rPr>
      </w:pPr>
      <w:r>
        <w:rPr>
          <w:rFonts w:ascii="Times New Roman" w:cs="Times New Roman" w:eastAsia="Times New Roman" w:hAnsi="Times New Roman"/>
          <w:sz w:val="18"/>
          <w:szCs w:val="18"/>
          <w:color w:val="auto"/>
        </w:rPr>
        <w:t>The Convertible Notes accrue interest at a rate of 1.75% per annum. Before June 1, 2030, noteholders will have the right to convert their Convertible Notes only upon the occurrence of certain events, including but not limited to, the Company’s common stock trading above approximately $91 per share for a specific period, the market value of the Convertible Notes trading below 98% of the product of the trading price of the Company’s common stock and the conversion rate for a specific period, and certain fundamental changes to the Company’s corporate structure. The initial conversion price is approximately $70.27 per share of common stock.</w:t>
      </w:r>
    </w:p>
    <w:p>
      <w:pPr>
        <w:spacing w:after="0" w:line="147" w:lineRule="exact"/>
        <w:rPr>
          <w:sz w:val="20"/>
          <w:szCs w:val="20"/>
          <w:color w:val="auto"/>
        </w:rPr>
      </w:pPr>
    </w:p>
    <w:p>
      <w:pPr>
        <w:ind w:left="60" w:right="419" w:firstLine="427"/>
        <w:spacing w:after="0" w:line="266" w:lineRule="auto"/>
        <w:rPr>
          <w:sz w:val="20"/>
          <w:szCs w:val="20"/>
          <w:color w:val="auto"/>
        </w:rPr>
      </w:pPr>
      <w:r>
        <w:rPr>
          <w:rFonts w:ascii="Times New Roman" w:cs="Times New Roman" w:eastAsia="Times New Roman" w:hAnsi="Times New Roman"/>
          <w:sz w:val="18"/>
          <w:szCs w:val="18"/>
          <w:color w:val="auto"/>
        </w:rPr>
        <w:t>The Company may redeem all or any portion of the Convertible Notes, at the Company’s option, on or after September 8, 2028, if the sale price of the Company’s common stock has been at least approximately $91 per common share for at least 20 trading days during any 30 consecutive trading-day period.</w:t>
      </w:r>
    </w:p>
    <w:p>
      <w:pPr>
        <w:spacing w:after="0" w:line="149" w:lineRule="exact"/>
        <w:rPr>
          <w:sz w:val="20"/>
          <w:szCs w:val="20"/>
          <w:color w:val="auto"/>
        </w:rPr>
      </w:pPr>
    </w:p>
    <w:p>
      <w:pPr>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Upon conversion of the Convertible Notes, the Company must satisfy the aggregate principal amount of the notes being converted in cash. For any conversion obligation exceeding the aggregate principal amount, the Company may, at its discretion, settle the remainder through cash, shares of the Company’s common stock, or a combination thereof.</w:t>
      </w:r>
    </w:p>
    <w:p>
      <w:pPr>
        <w:spacing w:after="0" w:line="135" w:lineRule="exact"/>
        <w:rPr>
          <w:sz w:val="20"/>
          <w:szCs w:val="20"/>
          <w:color w:val="auto"/>
        </w:rPr>
      </w:pPr>
    </w:p>
    <w:p>
      <w:pPr>
        <w:ind w:left="60" w:right="179" w:firstLine="427"/>
        <w:spacing w:after="0" w:line="258" w:lineRule="auto"/>
        <w:rPr>
          <w:sz w:val="20"/>
          <w:szCs w:val="20"/>
          <w:color w:val="auto"/>
        </w:rPr>
      </w:pPr>
      <w:r>
        <w:rPr>
          <w:rFonts w:ascii="Times New Roman" w:cs="Times New Roman" w:eastAsia="Times New Roman" w:hAnsi="Times New Roman"/>
          <w:sz w:val="18"/>
          <w:szCs w:val="18"/>
          <w:color w:val="auto"/>
        </w:rPr>
        <w:t>As of March 28, 2026, the carrying value and fair value of the Company’s total debt was $2.94 billion and $2.99 billion, respectively. At June 28, 2025, the carrying value and fair value of the Company’s total debt was $2.66 billion and $2.65 billion, respectively. Fair value for public notes including convertible notes was estimated based on quoted market prices (Level 1) and, for other forms of debt, fair value approximates carrying value due to the market based variable nature of the interest rates on those debt facilities (Level 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189" w:lineRule="exact"/>
        <w:rPr>
          <w:sz w:val="20"/>
          <w:szCs w:val="20"/>
          <w:color w:val="auto"/>
        </w:rPr>
      </w:pPr>
    </w:p>
    <w:p>
      <w:pPr>
        <w:ind w:left="60" w:right="199" w:firstLine="427"/>
        <w:spacing w:after="0" w:line="255"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87" w:lineRule="exact"/>
        <w:rPr>
          <w:sz w:val="20"/>
          <w:szCs w:val="20"/>
          <w:color w:val="auto"/>
        </w:rPr>
      </w:pPr>
    </w:p>
    <w:p>
      <w:pPr>
        <w:ind w:left="60" w:right="59" w:firstLine="427"/>
        <w:spacing w:after="0" w:line="254" w:lineRule="auto"/>
        <w:rPr>
          <w:sz w:val="20"/>
          <w:szCs w:val="20"/>
          <w:color w:val="auto"/>
        </w:rPr>
      </w:pPr>
      <w:r>
        <w:rPr>
          <w:rFonts w:ascii="Times New Roman" w:cs="Times New Roman" w:eastAsia="Times New Roman" w:hAnsi="Times New Roman"/>
          <w:sz w:val="18"/>
          <w:szCs w:val="18"/>
          <w:color w:val="auto"/>
        </w:rPr>
        <w:t>The Company uses economic hedges to reduce this risk utilizing natural hedging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offsetting receivables and payables in the same foreign currency) and creating offsetting positions using derivative financial instruments (primarily forward foreign currency exchange contracts typically with maturities of less than 60 days, but no longer than one year). The Company continues to have exposure to foreign currency risks to the extent they are not economically hedged. The fair value of forward foreign currency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460"/>
        <w:spacing w:after="0" w:line="282" w:lineRule="auto"/>
        <w:rPr>
          <w:sz w:val="20"/>
          <w:szCs w:val="20"/>
          <w:color w:val="auto"/>
        </w:rPr>
      </w:pPr>
      <w:r>
        <w:rPr>
          <w:rFonts w:ascii="Times New Roman" w:cs="Times New Roman" w:eastAsia="Times New Roman" w:hAnsi="Times New Roman"/>
          <w:sz w:val="18"/>
          <w:szCs w:val="18"/>
          <w:color w:val="auto"/>
        </w:rPr>
        <w:t>same line item in the consolidated statements of operations as the remeasurement of the underlying assets or liabilities being economically hedged.</w:t>
      </w:r>
    </w:p>
    <w:p>
      <w:pPr>
        <w:spacing w:after="0" w:line="162" w:lineRule="exact"/>
        <w:rPr>
          <w:sz w:val="20"/>
          <w:szCs w:val="20"/>
          <w:color w:val="auto"/>
        </w:rPr>
      </w:pPr>
    </w:p>
    <w:p>
      <w:pPr>
        <w:ind w:left="60" w:right="100" w:firstLine="427"/>
        <w:spacing w:after="0" w:line="254" w:lineRule="auto"/>
        <w:rPr>
          <w:sz w:val="20"/>
          <w:szCs w:val="20"/>
          <w:color w:val="auto"/>
        </w:rPr>
      </w:pPr>
      <w:r>
        <w:rPr>
          <w:rFonts w:ascii="Times New Roman" w:cs="Times New Roman" w:eastAsia="Times New Roman" w:hAnsi="Times New Roman"/>
          <w:sz w:val="18"/>
          <w:szCs w:val="18"/>
          <w:color w:val="auto"/>
        </w:rPr>
        <w:t>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92" w:lineRule="exact"/>
        <w:rPr>
          <w:sz w:val="20"/>
          <w:szCs w:val="20"/>
          <w:color w:val="auto"/>
        </w:rPr>
      </w:pPr>
    </w:p>
    <w:p>
      <w:pPr>
        <w:ind w:left="60" w:right="140" w:firstLine="427"/>
        <w:spacing w:after="0" w:line="266"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176" w:lineRule="exact"/>
        <w:rPr>
          <w:sz w:val="20"/>
          <w:szCs w:val="20"/>
          <w:color w:val="auto"/>
        </w:rPr>
      </w:pPr>
    </w:p>
    <w:p>
      <w:pPr>
        <w:ind w:left="60" w:right="540" w:firstLine="427"/>
        <w:spacing w:after="0" w:line="282"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13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880"/>
        <w:spacing w:after="0"/>
        <w:tabs>
          <w:tab w:leader="none" w:pos="7840" w:val="left"/>
          <w:tab w:leader="none" w:pos="8100" w:val="left"/>
        </w:tabs>
        <w:rPr>
          <w:sz w:val="20"/>
          <w:szCs w:val="20"/>
          <w:color w:val="auto"/>
        </w:rPr>
      </w:pPr>
      <w:r>
        <w:rPr>
          <w:rFonts w:ascii="Times New Roman" w:cs="Times New Roman" w:eastAsia="Times New Roman" w:hAnsi="Times New Roman"/>
          <w:sz w:val="18"/>
          <w:szCs w:val="18"/>
          <w:b w:val="1"/>
          <w:bCs w:val="1"/>
          <w:color w:val="auto"/>
        </w:rPr>
        <w:t>March 28,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June 28,</w:t>
      </w:r>
    </w:p>
    <w:p>
      <w:pPr>
        <w:spacing w:after="0" w:line="9" w:lineRule="exact"/>
        <w:rPr>
          <w:sz w:val="20"/>
          <w:szCs w:val="20"/>
          <w:color w:val="auto"/>
        </w:rPr>
      </w:pPr>
    </w:p>
    <w:p>
      <w:pPr>
        <w:ind w:left="708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5715</wp:posOffset>
            </wp:positionV>
            <wp:extent cx="13804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ind w:left="7380"/>
        <w:spacing w:after="0"/>
        <w:rPr>
          <w:sz w:val="20"/>
          <w:szCs w:val="20"/>
          <w:color w:val="auto"/>
        </w:rPr>
      </w:pPr>
      <w:r>
        <w:rPr>
          <w:rFonts w:ascii="Times New Roman" w:cs="Times New Roman" w:eastAsia="Times New Roman" w:hAnsi="Times New Roman"/>
          <w:sz w:val="18"/>
          <w:szCs w:val="18"/>
          <w:b w:val="1"/>
          <w:bCs w:val="1"/>
          <w:color w:val="auto"/>
        </w:rPr>
        <w:t>(Thousands)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2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8,752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r>
      <w:tr>
        <w:trPr>
          <w:trHeight w:val="216"/>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10,777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2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4"/>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49,072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69,143</w:t>
            </w:r>
          </w:p>
        </w:tc>
      </w:tr>
    </w:tbl>
    <w:p>
      <w:pPr>
        <w:spacing w:after="0" w:line="179" w:lineRule="exact"/>
        <w:rPr>
          <w:sz w:val="20"/>
          <w:szCs w:val="20"/>
          <w:color w:val="auto"/>
        </w:rPr>
      </w:pPr>
    </w:p>
    <w:p>
      <w:pPr>
        <w:ind w:left="60" w:right="480" w:firstLine="427"/>
        <w:spacing w:after="0" w:line="282" w:lineRule="auto"/>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5"/>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194"/>
        </w:trPr>
        <w:tc>
          <w:tcPr>
            <w:tcW w:w="14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0" w:type="dxa"/>
            <w:vAlign w:val="bottom"/>
            <w:tcBorders>
              <w:top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20" w:type="dxa"/>
            <w:vAlign w:val="bottom"/>
            <w:tcBorders>
              <w:top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March 29,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17"/>
                <w:szCs w:val="17"/>
                <w:b w:val="1"/>
                <w:bCs w:val="1"/>
                <w:color w:val="auto"/>
              </w:rPr>
              <w:t>March 28,</w:t>
            </w:r>
          </w:p>
        </w:tc>
        <w:tc>
          <w:tcPr>
            <w:tcW w:w="220" w:type="dxa"/>
            <w:vAlign w:val="bottom"/>
            <w:tcBorders>
              <w:top w:val="single" w:sz="8" w:color="auto"/>
            </w:tcBorders>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tcPr>
          <w:p>
            <w:pPr>
              <w:jc w:val="right"/>
              <w:ind w:right="55"/>
              <w:spacing w:after="0" w:line="194" w:lineRule="exact"/>
              <w:rPr>
                <w:sz w:val="20"/>
                <w:szCs w:val="20"/>
                <w:color w:val="auto"/>
              </w:rPr>
            </w:pPr>
            <w:r>
              <w:rPr>
                <w:rFonts w:ascii="Times New Roman" w:cs="Times New Roman" w:eastAsia="Times New Roman" w:hAnsi="Times New Roman"/>
                <w:sz w:val="17"/>
                <w:szCs w:val="17"/>
                <w:b w:val="1"/>
                <w:bCs w:val="1"/>
                <w:color w:val="auto"/>
                <w:w w:val="99"/>
              </w:rPr>
              <w:t>March 29,</w:t>
            </w: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jc w:val="right"/>
              <w:ind w:right="395"/>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(7,957)</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(20,177)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11,690</w:t>
            </w:r>
          </w:p>
        </w:tc>
        <w:tc>
          <w:tcPr>
            <w:tcW w:w="0" w:type="dxa"/>
            <w:vAlign w:val="bottom"/>
          </w:tcPr>
          <w:p>
            <w:pPr>
              <w:spacing w:after="0"/>
              <w:rPr>
                <w:sz w:val="1"/>
                <w:szCs w:val="1"/>
                <w:color w:val="auto"/>
              </w:rPr>
            </w:pPr>
          </w:p>
        </w:tc>
      </w:tr>
      <w:tr>
        <w:trPr>
          <w:trHeight w:val="198"/>
        </w:trPr>
        <w:tc>
          <w:tcPr>
            <w:tcW w:w="1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Cross currency</w:t>
            </w:r>
          </w:p>
        </w:tc>
        <w:tc>
          <w:tcPr>
            <w:tcW w:w="32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and other financing expense,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swap</w:t>
            </w:r>
          </w:p>
        </w:tc>
        <w:tc>
          <w:tcPr>
            <w:tcW w:w="3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60" w:type="dxa"/>
            <w:vAlign w:val="bottom"/>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4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8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89" w:lineRule="exact"/>
        <w:rPr>
          <w:sz w:val="20"/>
          <w:szCs w:val="20"/>
          <w:color w:val="auto"/>
        </w:rPr>
      </w:pPr>
    </w:p>
    <w:p>
      <w:pPr>
        <w:ind w:left="60" w:right="180"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220" w:firstLine="427"/>
        <w:spacing w:after="0" w:line="261"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w:t>
      </w:r>
    </w:p>
    <w:p>
      <w:pPr>
        <w:sectPr>
          <w:pgSz w:w="11900" w:h="16838" w:orient="portrait"/>
          <w:cols w:equalWidth="0" w:num="1">
            <w:col w:w="9020"/>
          </w:cols>
          <w:pgMar w:left="1440" w:top="540" w:right="14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matters will not have a material adverse effect on the Company’s financial position or liquidity but could possibly be material to its results of operations in any single reporting period.</w:t>
      </w:r>
    </w:p>
    <w:p>
      <w:pPr>
        <w:spacing w:after="0" w:line="162" w:lineRule="exact"/>
        <w:rPr>
          <w:sz w:val="20"/>
          <w:szCs w:val="20"/>
          <w:color w:val="auto"/>
        </w:rPr>
      </w:pPr>
    </w:p>
    <w:p>
      <w:pPr>
        <w:ind w:left="60" w:right="219" w:firstLine="427"/>
        <w:spacing w:after="0" w:line="266" w:lineRule="auto"/>
        <w:rPr>
          <w:sz w:val="20"/>
          <w:szCs w:val="20"/>
          <w:color w:val="auto"/>
        </w:rPr>
      </w:pPr>
      <w:r>
        <w:rPr>
          <w:rFonts w:ascii="Times New Roman" w:cs="Times New Roman" w:eastAsia="Times New Roman" w:hAnsi="Times New Roman"/>
          <w:sz w:val="18"/>
          <w:szCs w:val="18"/>
          <w:color w:val="auto"/>
        </w:rPr>
        <w:t>As of March 28, 2026, and June 28, 2025, the Company had aggregate estimated liabilities of $6.2 million and $9.6 million, respectively, classified within accrued expenses and other for such compliance-related matters that were both probable and estimable as of such dates.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Contingent Liability for Mexico Consumption Tax Audit</w:t>
      </w:r>
    </w:p>
    <w:p>
      <w:pPr>
        <w:spacing w:after="0" w:line="187" w:lineRule="exact"/>
        <w:rPr>
          <w:sz w:val="20"/>
          <w:szCs w:val="20"/>
          <w:color w:val="auto"/>
        </w:rPr>
      </w:pPr>
    </w:p>
    <w:p>
      <w:pPr>
        <w:ind w:left="60" w:right="159" w:firstLine="427"/>
        <w:spacing w:after="0" w:line="254" w:lineRule="auto"/>
        <w:rPr>
          <w:sz w:val="20"/>
          <w:szCs w:val="20"/>
          <w:color w:val="auto"/>
        </w:rPr>
      </w:pPr>
      <w:r>
        <w:rPr>
          <w:rFonts w:ascii="Times New Roman" w:cs="Times New Roman" w:eastAsia="Times New Roman" w:hAnsi="Times New Roman"/>
          <w:sz w:val="18"/>
          <w:szCs w:val="18"/>
          <w:color w:val="auto"/>
        </w:rPr>
        <w:t>The Company’s facilities in Mexico operate under the IMMEX program, which provides for reduced tariffs and eased import regulations. The Mexican customs and tax authority (Servicio de Administracion Tributaria (SAT)) has been auditing the Company’s participation in the program for the period January 11, 2019, to January 11, 2020. The Company recorded a net loss of $43.4 million within “restructuring, integration and other expenses” in the Company’s consolidated statement of operations in the fourth quarter of fiscal 2025, which was the Company’s best estimate of the losses from this matter incorporating SAT negotiations at that time and the Company’s best estimate of its ability to recover VAT, foreign currency exchange rates at the time of payment or recovery, and any administrative processes or legal appeals. During the third quarter of fiscal 2026, the Company reached a negotiated settlement with SAT for the periods under audit and paid $61.4 million, resulting in a loss of $35.1 million, net of estimated VAT recovery.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02" w:lineRule="exact"/>
        <w:rPr>
          <w:sz w:val="20"/>
          <w:szCs w:val="20"/>
          <w:color w:val="auto"/>
        </w:rPr>
      </w:pPr>
    </w:p>
    <w:p>
      <w:pPr>
        <w:ind w:left="60" w:right="779" w:firstLine="427"/>
        <w:spacing w:after="0" w:line="282" w:lineRule="auto"/>
        <w:rPr>
          <w:sz w:val="20"/>
          <w:szCs w:val="20"/>
          <w:color w:val="auto"/>
        </w:rPr>
      </w:pPr>
      <w:r>
        <w:rPr>
          <w:rFonts w:ascii="Times New Roman" w:cs="Times New Roman" w:eastAsia="Times New Roman" w:hAnsi="Times New Roman"/>
          <w:sz w:val="18"/>
          <w:szCs w:val="18"/>
          <w:color w:val="auto"/>
        </w:rPr>
        <w:t>The following discussion of the effective tax rate for the periods presented in the consolidated statements of operations is in comparison to the 21% U.S. statutory federal income tax rate.</w:t>
      </w:r>
    </w:p>
    <w:p>
      <w:pPr>
        <w:spacing w:after="0" w:line="162" w:lineRule="exact"/>
        <w:rPr>
          <w:sz w:val="20"/>
          <w:szCs w:val="20"/>
          <w:color w:val="auto"/>
        </w:rPr>
      </w:pPr>
    </w:p>
    <w:p>
      <w:pPr>
        <w:ind w:left="60" w:right="99" w:firstLine="427"/>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32.9% in the third quarter of fiscal 2026. During the third quarter of fiscal 2026, the Company’s effective tax rate was unfavorably impacted primarily by (i) the effect of foreign exchange gain recognition, (ii) the mix of income in higher tax jurisdictions, (iii) increases to unrecognized tax benefit reserves net of settlements, and (iv) increases to valuation allowances.</w:t>
      </w:r>
    </w:p>
    <w:p>
      <w:pPr>
        <w:spacing w:after="0" w:line="180" w:lineRule="exact"/>
        <w:rPr>
          <w:sz w:val="20"/>
          <w:szCs w:val="20"/>
          <w:color w:val="auto"/>
        </w:rPr>
      </w:pPr>
    </w:p>
    <w:p>
      <w:pPr>
        <w:jc w:val="both"/>
        <w:ind w:left="60" w:right="239" w:firstLine="427"/>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2025, the Company’s effective tax rate on its income before taxes was a benefit of 12.5%. During the third quarter of fiscal 2025, the Company’s effective tax rate was favorably impacted primarily by (i) increases in tax attribute carryforwards and (ii) the mix of income in lower tax jurisdictions.</w:t>
      </w:r>
    </w:p>
    <w:p>
      <w:pPr>
        <w:spacing w:after="0" w:line="176" w:lineRule="exact"/>
        <w:rPr>
          <w:sz w:val="20"/>
          <w:szCs w:val="20"/>
          <w:color w:val="auto"/>
        </w:rPr>
      </w:pPr>
    </w:p>
    <w:p>
      <w:pPr>
        <w:ind w:left="60" w:right="159" w:firstLine="427"/>
        <w:spacing w:after="0" w:line="261" w:lineRule="auto"/>
        <w:rPr>
          <w:sz w:val="20"/>
          <w:szCs w:val="20"/>
          <w:color w:val="auto"/>
        </w:rPr>
      </w:pPr>
      <w:r>
        <w:rPr>
          <w:rFonts w:ascii="Times New Roman" w:cs="Times New Roman" w:eastAsia="Times New Roman" w:hAnsi="Times New Roman"/>
          <w:sz w:val="18"/>
          <w:szCs w:val="18"/>
          <w:color w:val="auto"/>
        </w:rPr>
        <w:t>For the first nine months of fiscal 2026, the Company’s effective tax rate on its income before taxes was 32.4%. The effective tax rate for the first nine months of fiscal 2026 was unfavorably impacted primarily by (i) increases to unrecognized tax benefit reserves net of settlements, (ii) the effect of foreign exchange gain recognition, (iii) increases to valuation allowances, and (iv) the effect of changes in tax rates enacted in foreign jurisdictions.</w:t>
      </w:r>
    </w:p>
    <w:p>
      <w:pPr>
        <w:spacing w:after="0" w:line="180" w:lineRule="exact"/>
        <w:rPr>
          <w:sz w:val="20"/>
          <w:szCs w:val="20"/>
          <w:color w:val="auto"/>
        </w:rPr>
      </w:pPr>
    </w:p>
    <w:p>
      <w:pPr>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2025, the Company’s effective tax rate on its income before taxes was 3.7%. The effective tax rate for the first nine months of fiscal 2025 was favorably impacted primarily by increases in tax attribute carryforwards that are partially offset by increases to valuation allowances.</w:t>
      </w:r>
    </w:p>
    <w:p>
      <w:pPr>
        <w:spacing w:after="0" w:line="176" w:lineRule="exact"/>
        <w:rPr>
          <w:sz w:val="20"/>
          <w:szCs w:val="20"/>
          <w:color w:val="auto"/>
        </w:rPr>
      </w:pPr>
    </w:p>
    <w:p>
      <w:pPr>
        <w:ind w:left="60" w:right="119" w:firstLine="427"/>
        <w:spacing w:after="0" w:line="258"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(the “OBBB”). The bill includes extensions of current tax provisions and makes many tax changes. Most of the provisions enacted by the OBBB take effect in fiscal year 2025 to 2027. The Company expects no material adverse impact related to the OBBB in fiscal 2026. The Company will continue to monitor OBBB developments and update the potential impacts on its consolidated financial statements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w:t>
      </w:r>
    </w:p>
    <w:p>
      <w:pPr>
        <w:spacing w:after="0" w:line="189" w:lineRule="exact"/>
        <w:rPr>
          <w:sz w:val="20"/>
          <w:szCs w:val="20"/>
          <w:color w:val="auto"/>
        </w:rPr>
      </w:pPr>
    </w:p>
    <w:p>
      <w:pPr>
        <w:ind w:left="60" w:right="519" w:firstLine="427"/>
        <w:spacing w:after="0" w:line="282"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and some former U.S. employees (the “Plan”). Components of net periodic pension cost for the Plan were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194"/>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Borders>
              <w:top w:val="single" w:sz="8" w:color="auto"/>
            </w:tcBorders>
            <w:gridSpan w:val="6"/>
          </w:tcPr>
          <w:p>
            <w:pPr>
              <w:spacing w:after="0" w:line="194" w:lineRule="exact"/>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March 28,</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29,</w:t>
            </w:r>
          </w:p>
        </w:tc>
        <w:tc>
          <w:tcPr>
            <w:tcW w:w="80" w:type="dxa"/>
            <w:vAlign w:val="bottom"/>
            <w:gridSpan w:val="2"/>
          </w:tcPr>
          <w:p>
            <w:pPr>
              <w:spacing w:after="0"/>
              <w:rPr>
                <w:sz w:val="16"/>
                <w:szCs w:val="16"/>
                <w:color w:val="auto"/>
              </w:rPr>
            </w:pPr>
          </w:p>
        </w:tc>
        <w:tc>
          <w:tcPr>
            <w:tcW w:w="1800" w:type="dxa"/>
            <w:vAlign w:val="bottom"/>
            <w:tcBorders>
              <w:top w:val="single" w:sz="8" w:color="auto"/>
            </w:tcBorders>
            <w:gridSpan w:val="6"/>
          </w:tcPr>
          <w:p>
            <w:pPr>
              <w:jc w:val="center"/>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gridSpan w:val="2"/>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5"/>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within selling, general and administrative expenses</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net periodic pension benefit within other expense, net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(2,969)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(5,911)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periodic pension cost (benefit)</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379" w:firstLine="427"/>
        <w:spacing w:after="0" w:line="282" w:lineRule="auto"/>
        <w:rPr>
          <w:sz w:val="20"/>
          <w:szCs w:val="20"/>
          <w:color w:val="auto"/>
        </w:rPr>
      </w:pPr>
      <w:r>
        <w:rPr>
          <w:rFonts w:ascii="Times New Roman" w:cs="Times New Roman" w:eastAsia="Times New Roman" w:hAnsi="Times New Roman"/>
          <w:sz w:val="18"/>
          <w:szCs w:val="18"/>
          <w:color w:val="auto"/>
        </w:rPr>
        <w:t>The Company made $6.0 million of contributions during the first nine months of fiscal 2026 and expects to make additional contributions to the Plan of $2.0 million in the fourth quarter of fiscal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87" w:lineRule="exact"/>
        <w:rPr>
          <w:sz w:val="20"/>
          <w:szCs w:val="20"/>
          <w:color w:val="auto"/>
        </w:rPr>
      </w:pPr>
    </w:p>
    <w:p>
      <w:pPr>
        <w:ind w:left="60" w:right="579" w:firstLine="427"/>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2026, the Company did not repurchase any shares. As of March 28, 2026, the Company had $225.8 million remaining under its share repurchase authorization.</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00" w:lineRule="exact"/>
        <w:rPr>
          <w:sz w:val="20"/>
          <w:szCs w:val="20"/>
          <w:color w:val="auto"/>
        </w:rPr>
      </w:pPr>
    </w:p>
    <w:p>
      <w:pPr>
        <w:ind w:left="60" w:right="439" w:firstLine="432"/>
        <w:spacing w:after="0" w:line="282" w:lineRule="auto"/>
        <w:rPr>
          <w:sz w:val="20"/>
          <w:szCs w:val="20"/>
          <w:color w:val="auto"/>
        </w:rPr>
      </w:pPr>
      <w:r>
        <w:rPr>
          <w:rFonts w:ascii="Times New Roman" w:cs="Times New Roman" w:eastAsia="Times New Roman" w:hAnsi="Times New Roman"/>
          <w:sz w:val="18"/>
          <w:szCs w:val="18"/>
          <w:color w:val="auto"/>
        </w:rPr>
        <w:t>In February 2026, the Company’s Board of Directors approved a dividend of $0.35 per common share and made dividend payments of $28.7 million in March 2026.</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6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90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100" w:type="dxa"/>
            <w:vAlign w:val="bottom"/>
            <w:gridSpan w:val="8"/>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10. Earnings per share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00" w:type="dxa"/>
            <w:vAlign w:val="bottom"/>
          </w:tcPr>
          <w:p>
            <w:pPr>
              <w:spacing w:after="0"/>
              <w:rPr>
                <w:sz w:val="24"/>
                <w:szCs w:val="24"/>
                <w:color w:val="auto"/>
              </w:rPr>
            </w:pPr>
          </w:p>
        </w:tc>
        <w:tc>
          <w:tcPr>
            <w:tcW w:w="17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8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140" w:type="dxa"/>
            <w:vAlign w:val="bottom"/>
          </w:tcPr>
          <w:p>
            <w:pPr>
              <w:spacing w:after="0"/>
              <w:rPr>
                <w:sz w:val="16"/>
                <w:szCs w:val="16"/>
                <w:color w:val="auto"/>
              </w:rPr>
            </w:pPr>
          </w:p>
        </w:tc>
        <w:tc>
          <w:tcPr>
            <w:tcW w:w="8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100" w:type="dxa"/>
            <w:vAlign w:val="bottom"/>
          </w:tcPr>
          <w:p>
            <w:pPr>
              <w:spacing w:after="0"/>
              <w:rPr>
                <w:sz w:val="16"/>
                <w:szCs w:val="16"/>
                <w:color w:val="auto"/>
              </w:rPr>
            </w:pPr>
          </w:p>
        </w:tc>
        <w:tc>
          <w:tcPr>
            <w:tcW w:w="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March 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6"/>
              </w:rPr>
              <w:t>March 29,</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800" w:type="dxa"/>
            <w:vAlign w:val="bottom"/>
            <w:gridSpan w:val="3"/>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5"/>
          </w:tcPr>
          <w:p>
            <w:pPr>
              <w:ind w:left="280"/>
              <w:spacing w:after="0" w:line="202" w:lineRule="exact"/>
              <w:rPr>
                <w:sz w:val="20"/>
                <w:szCs w:val="20"/>
                <w:color w:val="auto"/>
              </w:rPr>
            </w:pPr>
            <w:r>
              <w:rPr>
                <w:rFonts w:ascii="Times New Roman" w:cs="Times New Roman" w:eastAsia="Times New Roman" w:hAnsi="Times New Roman"/>
                <w:sz w:val="18"/>
                <w:szCs w:val="18"/>
                <w:b w:val="1"/>
                <w:bCs w:val="1"/>
                <w:color w:val="auto"/>
                <w:w w:val="95"/>
              </w:rPr>
              <w:t>(Thousands, except</w:t>
            </w:r>
          </w:p>
        </w:tc>
        <w:tc>
          <w:tcPr>
            <w:tcW w:w="80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w w:val="96"/>
              </w:rPr>
              <w:t>per share</w:t>
            </w:r>
          </w:p>
        </w:tc>
        <w:tc>
          <w:tcPr>
            <w:tcW w:w="100" w:type="dxa"/>
            <w:vAlign w:val="bottom"/>
            <w:vMerge w:val="continue"/>
          </w:tcPr>
          <w:p>
            <w:pPr>
              <w:spacing w:after="0"/>
              <w:rPr>
                <w:sz w:val="17"/>
                <w:szCs w:val="17"/>
                <w:color w:val="auto"/>
              </w:rPr>
            </w:pPr>
          </w:p>
        </w:tc>
        <w:tc>
          <w:tcPr>
            <w:tcW w:w="8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data)</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94,332</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87,919</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207,810</w:t>
            </w:r>
          </w:p>
        </w:tc>
        <w:tc>
          <w:tcPr>
            <w:tcW w:w="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0" w:type="dxa"/>
            <w:vAlign w:val="bottom"/>
          </w:tcPr>
          <w:p>
            <w:pPr>
              <w:spacing w:after="0"/>
              <w:rPr>
                <w:sz w:val="1"/>
                <w:szCs w:val="1"/>
                <w:color w:val="auto"/>
              </w:rPr>
            </w:pPr>
          </w:p>
        </w:tc>
      </w:tr>
      <w:tr>
        <w:trPr>
          <w:trHeight w:val="196"/>
        </w:trPr>
        <w:tc>
          <w:tcPr>
            <w:tcW w:w="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0" w:type="dxa"/>
            <w:vAlign w:val="bottom"/>
          </w:tcPr>
          <w:p>
            <w:pPr>
              <w:spacing w:after="0"/>
              <w:rPr>
                <w:sz w:val="1"/>
                <w:szCs w:val="1"/>
                <w:color w:val="auto"/>
              </w:rPr>
            </w:pPr>
          </w:p>
        </w:tc>
      </w:tr>
      <w:tr>
        <w:trPr>
          <w:trHeight w:val="216"/>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effect of dilutive convertible notes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82,930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83,393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88,198</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51"/>
        </w:trPr>
        <w:tc>
          <w:tcPr>
            <w:tcW w:w="5380" w:type="dxa"/>
            <w:vAlign w:val="bottom"/>
            <w:gridSpan w:val="3"/>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Stock options excluded from earnings per share calculation due to an</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anti-dilutive effect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0" w:right="239" w:firstLine="427"/>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per share, or EPS, by dividing net income by the weighted average number of common shares outstanding during the period. Diluted earnings per share is computed using the treasury stock method for outstanding stock options, restricted stock units, and performance share units and the if-converted method for convertible debt.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Additional cash flow information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19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19685</wp:posOffset>
            </wp:positionV>
            <wp:extent cx="1457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325" cy="17145"/>
                    </a:xfrm>
                    <a:prstGeom prst="rect">
                      <a:avLst/>
                    </a:prstGeom>
                    <a:noFill/>
                  </pic:spPr>
                </pic:pic>
              </a:graphicData>
            </a:graphic>
          </wp:anchor>
        </w:drawing>
      </w:r>
    </w:p>
    <w:p>
      <w:pPr>
        <w:spacing w:after="0" w:line="16" w:lineRule="exact"/>
        <w:rPr>
          <w:sz w:val="20"/>
          <w:szCs w:val="20"/>
          <w:color w:val="auto"/>
        </w:rPr>
      </w:pPr>
    </w:p>
    <w:p>
      <w:pPr>
        <w:ind w:left="6540"/>
        <w:spacing w:after="0"/>
        <w:tabs>
          <w:tab w:leader="none" w:pos="7760" w:val="left"/>
        </w:tabs>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b w:val="1"/>
          <w:bCs w:val="1"/>
          <w:color w:val="auto"/>
        </w:rPr>
        <w:t>March 28,</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March 29,</w:t>
      </w:r>
    </w:p>
    <w:p>
      <w:pPr>
        <w:spacing w:after="0" w:line="32" w:lineRule="exact"/>
        <w:rPr>
          <w:sz w:val="20"/>
          <w:szCs w:val="20"/>
          <w:color w:val="auto"/>
        </w:rPr>
      </w:pPr>
    </w:p>
    <w:p>
      <w:pPr>
        <w:ind w:left="698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4445</wp:posOffset>
            </wp:positionV>
            <wp:extent cx="1457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325" cy="17145"/>
                    </a:xfrm>
                    <a:prstGeom prst="rect">
                      <a:avLst/>
                    </a:prstGeom>
                    <a:noFill/>
                  </pic:spPr>
                </pic:pic>
              </a:graphicData>
            </a:graphic>
          </wp:anchor>
        </w:drawing>
      </w:r>
    </w:p>
    <w:p>
      <w:pPr>
        <w:ind w:left="7300"/>
        <w:spacing w:after="0"/>
        <w:rPr>
          <w:sz w:val="20"/>
          <w:szCs w:val="20"/>
          <w:color w:val="auto"/>
        </w:rPr>
      </w:pPr>
      <w:r>
        <w:rPr>
          <w:rFonts w:ascii="Times New Roman" w:cs="Times New Roman" w:eastAsia="Times New Roman" w:hAnsi="Times New Roman"/>
          <w:sz w:val="18"/>
          <w:szCs w:val="18"/>
          <w:b w:val="1"/>
          <w:bCs w:val="1"/>
          <w:color w:val="auto"/>
        </w:rPr>
        <w:t>(Thousands)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1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6,627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194,567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215,022</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payments, net</w:t>
            </w:r>
          </w:p>
        </w:tc>
        <w:tc>
          <w:tcPr>
            <w:tcW w:w="1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90,483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205,881</w:t>
            </w:r>
          </w:p>
        </w:tc>
      </w:tr>
    </w:tbl>
    <w:p>
      <w:pPr>
        <w:spacing w:after="0" w:line="198" w:lineRule="exact"/>
        <w:rPr>
          <w:sz w:val="20"/>
          <w:szCs w:val="20"/>
          <w:color w:val="auto"/>
        </w:rPr>
      </w:pPr>
    </w:p>
    <w:p>
      <w:pPr>
        <w:ind w:left="60" w:right="27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March 28, 2026, and June 28, 2025, was $0.2 million and $3.5 million, respectively, of cash equivalents. Fair value of cash equivalents is measured using Level 1 criteria in the fair value hierarchy and are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89" w:lineRule="exact"/>
        <w:rPr>
          <w:sz w:val="20"/>
          <w:szCs w:val="20"/>
          <w:color w:val="auto"/>
        </w:rPr>
      </w:pPr>
    </w:p>
    <w:p>
      <w:pPr>
        <w:ind w:left="60" w:right="259" w:firstLine="427"/>
        <w:spacing w:after="0" w:line="258"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(“Farnell”). Both operating groups have operations in each of the three major economic regions of the world: (i) the Americas, (ii) EMEA, and (iii) Asia. Each operating group has its own management team, who manage various functions within each operating group. Each operating group also has distinct financial reporting to the executive level, which informs operating decisions, strategic planning, and resource allocation for the Company as a whole.</w:t>
      </w:r>
    </w:p>
    <w:p>
      <w:pPr>
        <w:spacing w:after="0" w:line="156" w:lineRule="exact"/>
        <w:rPr>
          <w:sz w:val="20"/>
          <w:szCs w:val="20"/>
          <w:color w:val="auto"/>
        </w:rPr>
      </w:pPr>
    </w:p>
    <w:p>
      <w:pPr>
        <w:ind w:left="60" w:right="119" w:firstLine="427"/>
        <w:spacing w:after="0" w:line="256" w:lineRule="auto"/>
        <w:rPr>
          <w:sz w:val="20"/>
          <w:szCs w:val="20"/>
          <w:color w:val="auto"/>
        </w:rPr>
      </w:pPr>
      <w:r>
        <w:rPr>
          <w:rFonts w:ascii="Times New Roman" w:cs="Times New Roman" w:eastAsia="Times New Roman" w:hAnsi="Times New Roman"/>
          <w:sz w:val="18"/>
          <w:szCs w:val="18"/>
          <w:color w:val="auto"/>
        </w:rPr>
        <w:t>Avnet’s EC operating group primarily supports high and medium-volume customers. It markets, sells, and distributes electronic components from many of the world’s leading electronic component manufacturers, including semiconductors, IP&amp;E components (interconnect, passive and electromechanical components), and other integrated and embedded components. EC serves a variety of markets ranging from industrial to automotive to defense and aerospace. It offers an array of customer support options throughout the entire product lifecycle, including both turnkey and customized design, supply chain, programming, and logistics services.</w:t>
      </w:r>
    </w:p>
    <w:p>
      <w:pPr>
        <w:spacing w:after="0" w:line="147"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also distributes new product introductions for its suppliers across their various product categories.</w:t>
      </w:r>
    </w:p>
    <w:p>
      <w:pPr>
        <w:spacing w:after="0" w:line="143" w:lineRule="exact"/>
        <w:rPr>
          <w:sz w:val="20"/>
          <w:szCs w:val="20"/>
          <w:color w:val="auto"/>
        </w:rPr>
      </w:pPr>
    </w:p>
    <w:p>
      <w:pPr>
        <w:ind w:left="60" w:right="119" w:firstLine="427"/>
        <w:spacing w:after="0" w:line="256" w:lineRule="auto"/>
        <w:rPr>
          <w:sz w:val="20"/>
          <w:szCs w:val="20"/>
          <w:color w:val="auto"/>
        </w:rPr>
      </w:pPr>
      <w:r>
        <w:rPr>
          <w:rFonts w:ascii="Times New Roman" w:cs="Times New Roman" w:eastAsia="Times New Roman" w:hAnsi="Times New Roman"/>
          <w:sz w:val="18"/>
          <w:szCs w:val="18"/>
          <w:color w:val="auto"/>
        </w:rPr>
        <w:t>The Company has identified its Chief Executive Officer (“CEO”) as the chief operating decision maker (“CODM”). The CODM evaluates the performance of both reportable segments based on operating income. Sales, cost of goods sold, and operating expenses are also monitored closely. This information is used to monitor operating margins, measure segment profitability, allocate resources, and make budgeting and forecasting decisions about the reportable segments. The CODM also uses these measures to monitor trends in year over year performance comparisons, sequential quarter performance comparisons, and to compare actual results to forecasts.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207"/>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140" w:type="dxa"/>
            <w:vAlign w:val="bottom"/>
            <w:gridSpan w:val="7"/>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3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80" w:type="dxa"/>
            <w:vAlign w:val="bottom"/>
          </w:tcPr>
          <w:p>
            <w:pPr>
              <w:spacing w:after="0"/>
              <w:rPr>
                <w:sz w:val="16"/>
                <w:szCs w:val="16"/>
                <w:color w:val="auto"/>
              </w:rPr>
            </w:pPr>
          </w:p>
        </w:tc>
        <w:tc>
          <w:tcPr>
            <w:tcW w:w="960" w:type="dxa"/>
            <w:vAlign w:val="bottom"/>
            <w:gridSpan w:val="2"/>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March 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4"/>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18,056,646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15,523,632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454,657</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366,664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1,280,660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Avnet Sales</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7,119,779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5,315,423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19,337,306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16,582,959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Segment Expenses and Operating Income: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6,049,896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4,459,531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16,385,593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14,009,571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379,992</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317,049</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1,089,743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235,234</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172,179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581,310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268,039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934,849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100,046</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284,925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gridSpan w:val="2"/>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reportable segment operating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Corporate selling, general and administrative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Avnet operating income</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493,763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&amp; amortization expense:</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18,753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16,395</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54,229</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Sales, by geographic area:</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1,274,228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4,420,130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2,046,310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5,426,152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3,458,530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2,482,239</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9,491,024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Avnet Sales</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7,119,779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5,315,423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19,337,306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Assets by segment as follows: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83"/>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4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28,</w:t>
            </w:r>
          </w:p>
        </w:tc>
      </w:tr>
      <w:tr>
        <w:trPr>
          <w:trHeight w:val="245"/>
        </w:trPr>
        <w:tc>
          <w:tcPr>
            <w:tcW w:w="6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3"/>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Components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11,393,457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9,984,932</w:t>
            </w: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1,742,437</w:t>
            </w:r>
          </w:p>
        </w:tc>
      </w:tr>
      <w:tr>
        <w:trPr>
          <w:trHeight w:val="223"/>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348,069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391,184</w:t>
            </w:r>
          </w:p>
        </w:tc>
      </w:tr>
      <w:tr>
        <w:trPr>
          <w:trHeight w:val="216"/>
        </w:trPr>
        <w:tc>
          <w:tcPr>
            <w:tcW w:w="6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13,489,294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12,118,553</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Restructuring expenses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2026</w:t>
      </w:r>
    </w:p>
    <w:p>
      <w:pPr>
        <w:spacing w:after="0" w:line="189" w:lineRule="exact"/>
        <w:rPr>
          <w:sz w:val="20"/>
          <w:szCs w:val="20"/>
          <w:color w:val="auto"/>
        </w:rPr>
      </w:pPr>
    </w:p>
    <w:p>
      <w:pPr>
        <w:ind w:left="60" w:right="99" w:firstLine="427"/>
        <w:spacing w:after="0" w:line="266" w:lineRule="auto"/>
        <w:rPr>
          <w:sz w:val="20"/>
          <w:szCs w:val="20"/>
          <w:color w:val="auto"/>
        </w:rPr>
      </w:pPr>
      <w:r>
        <w:rPr>
          <w:rFonts w:ascii="Times New Roman" w:cs="Times New Roman" w:eastAsia="Times New Roman" w:hAnsi="Times New Roman"/>
          <w:sz w:val="18"/>
          <w:szCs w:val="18"/>
          <w:color w:val="auto"/>
        </w:rPr>
        <w:t>During fiscal 2026, the Company incurred restructuring expenses primarily related to headcount reductions including restructuring actions taken to reduce costs in Farnell and Europe. The following table presents the activity during the first nine months of fiscal 2026 related to the restructuring liabilities established during fiscal 2026:</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restructuring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w:t>
            </w:r>
          </w:p>
        </w:tc>
      </w:tr>
      <w:tr>
        <w:trPr>
          <w:trHeight w:val="23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3"/>
        </w:trPr>
        <w:tc>
          <w:tcPr>
            <w:tcW w:w="42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March 28, 2026</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6,131</w:t>
            </w: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6,195</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Severance expense recorded in the first nine months of fiscal 2026 related to the reduction, or planned reduction, of over 200 employees, primarily in business operations and support functions. Of the $18.9 million in restructuring expenses recorded in the first nine months of fiscal 2026, $15.1 million related to EC, and $3.8 million related to Farnell. The Company expects the majority of the remaining amounts to be paid by the end of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June 28, 2025,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risks relating to the Company’s international sales and operations, including risks relating to repatriating cash, foreign currency fluctuations, inflation, duties and taxes, tariffs,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89" w:lineRule="exact"/>
        <w:rPr>
          <w:sz w:val="20"/>
          <w:szCs w:val="20"/>
          <w:color w:val="auto"/>
        </w:rPr>
      </w:pPr>
    </w:p>
    <w:p>
      <w:pPr>
        <w:ind w:left="60" w:right="1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Avnet and the significant factors that influenced the Company’s performance during the quarter ended March 28, 2026,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(“MD&amp;A”)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including the related notes, appearing in Item 1 of this Quarterly Report on Form 10-Q, as well as the Company’s Annual Report on Form 10-K for the fiscal year ended June 28, 2025.</w:t>
      </w:r>
    </w:p>
    <w:p>
      <w:pPr>
        <w:spacing w:after="0" w:line="183"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87" w:lineRule="exact"/>
        <w:rPr>
          <w:sz w:val="20"/>
          <w:szCs w:val="20"/>
          <w:color w:val="auto"/>
        </w:rPr>
      </w:pPr>
    </w:p>
    <w:p>
      <w:pPr>
        <w:ind w:left="60" w:right="539" w:firstLine="427"/>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13" w:lineRule="exact"/>
        <w:rPr>
          <w:sz w:val="20"/>
          <w:szCs w:val="20"/>
          <w:color w:val="auto"/>
        </w:rPr>
      </w:pPr>
    </w:p>
    <w:p>
      <w:pPr>
        <w:ind w:left="720" w:right="6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which is operating income excluding (i) restructuring, integration, and other expenses, and (ii) amortization of acquired intangible assets.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Third Quarters Ended</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020" w:type="dxa"/>
            <w:vAlign w:val="bottom"/>
          </w:tcPr>
          <w:p>
            <w:pPr>
              <w:spacing w:after="0"/>
              <w:rPr>
                <w:sz w:val="16"/>
                <w:szCs w:val="16"/>
                <w:color w:val="auto"/>
              </w:rPr>
            </w:pPr>
          </w:p>
        </w:tc>
        <w:tc>
          <w:tcPr>
            <w:tcW w:w="16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 March 28,</w:t>
            </w:r>
          </w:p>
        </w:tc>
        <w:tc>
          <w:tcPr>
            <w:tcW w:w="110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 March 29,</w:t>
            </w:r>
          </w:p>
        </w:tc>
        <w:tc>
          <w:tcPr>
            <w:tcW w:w="18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1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 March 29,</w:t>
            </w:r>
          </w:p>
        </w:tc>
      </w:tr>
      <w:tr>
        <w:trPr>
          <w:trHeight w:val="238"/>
        </w:trPr>
        <w:tc>
          <w:tcPr>
            <w:tcW w:w="4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r>
        <w:trPr>
          <w:trHeight w:val="203"/>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4"/>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143,251</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493,763</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440,802</w:t>
            </w: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39,255</w:t>
            </w:r>
          </w:p>
        </w:tc>
      </w:tr>
      <w:tr>
        <w:trPr>
          <w:trHeight w:val="236"/>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03"/>
        </w:trPr>
        <w:tc>
          <w:tcPr>
            <w:tcW w:w="4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6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220,636</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152,725</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543,054</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481,156</w:t>
            </w:r>
          </w:p>
        </w:tc>
      </w:tr>
      <w:tr>
        <w:trPr>
          <w:trHeight w:val="20"/>
        </w:trPr>
        <w:tc>
          <w:tcPr>
            <w:tcW w:w="4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 many cases, for measuring performance for compensation purposes. However, any analysis of results on a non-GAAP basis should be used in conjunction with results presented in accordance with GAAP.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Avnet, Inc., including its consolidated subsidiaries (collectively, the “Company” or “Avnet”), is a leading global electronic component distributor and solutions provider that has served customers’ evolving needs for more than a century. Founded in 1921, the Company works with suppliers in every major technology segment to serve customers in more than 140 countries.</w:t>
      </w:r>
    </w:p>
    <w:p>
      <w:pPr>
        <w:spacing w:after="0" w:line="180"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which are discussed further in Note 12 “Segment information” to the Company’s consolidated financial statements included in this Quarterly Report on Form 10-Q.</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Industry outlook</w:t>
      </w:r>
    </w:p>
    <w:p>
      <w:pPr>
        <w:spacing w:after="0" w:line="202" w:lineRule="exact"/>
        <w:rPr>
          <w:sz w:val="20"/>
          <w:szCs w:val="20"/>
          <w:color w:val="auto"/>
        </w:rPr>
      </w:pPr>
    </w:p>
    <w:p>
      <w:pPr>
        <w:ind w:left="60" w:right="79" w:firstLine="405"/>
        <w:spacing w:after="0" w:line="255" w:lineRule="auto"/>
        <w:rPr>
          <w:sz w:val="20"/>
          <w:szCs w:val="20"/>
          <w:color w:val="auto"/>
        </w:rPr>
      </w:pPr>
      <w:r>
        <w:rPr>
          <w:rFonts w:ascii="Times New Roman" w:cs="Times New Roman" w:eastAsia="Times New Roman" w:hAnsi="Times New Roman"/>
          <w:sz w:val="18"/>
          <w:szCs w:val="18"/>
          <w:color w:val="auto"/>
        </w:rPr>
        <w:t>The Company’s operations subject it to tariffs and other trade protection measures. The U.S. administration has instituted certain changes, and may make additional changes, in trade policies that include the negotiation or termination of trade agreements, higher tariffs on imports into the U.S., and other measures affecting trade between the U.S. and other countries from which the Company imports. Due in part to these measures, some countries are changing their trade policies relating to goods imported from the U.S. These global trade disruptions and geopolitical tensions, together with any related downturns in the global economy, could dampen customer demand, increase market volatility, and impact currency exchange rates, all of which could materially and adversely affect the Company’s financial performance.</w:t>
      </w:r>
    </w:p>
    <w:p>
      <w:pPr>
        <w:spacing w:after="0" w:line="189" w:lineRule="exact"/>
        <w:rPr>
          <w:sz w:val="20"/>
          <w:szCs w:val="20"/>
          <w:color w:val="auto"/>
        </w:rPr>
      </w:pPr>
    </w:p>
    <w:p>
      <w:pPr>
        <w:ind w:left="60" w:right="199" w:firstLine="405"/>
        <w:spacing w:after="0" w:line="261" w:lineRule="auto"/>
        <w:rPr>
          <w:sz w:val="20"/>
          <w:szCs w:val="20"/>
          <w:color w:val="auto"/>
        </w:rPr>
      </w:pPr>
      <w:r>
        <w:rPr>
          <w:rFonts w:ascii="Times New Roman" w:cs="Times New Roman" w:eastAsia="Times New Roman" w:hAnsi="Times New Roman"/>
          <w:sz w:val="18"/>
          <w:szCs w:val="18"/>
          <w:color w:val="auto"/>
        </w:rPr>
        <w:t>In February 2026, the U.S. Supreme Court issued a ruling striking down tariffs imposed under the International Emergency Economic Powers Act (IEEPA), including, among others, tariffs on imports of certain Canadian, Chinese, and Mexican goods, a universal baseline tariff on imports from most countries, and reciprocal tariffs on select countries. The global tariff landscape continues to shift rapidly, with changes impacting businesses and markets around the world.</w:t>
      </w:r>
    </w:p>
    <w:p>
      <w:pPr>
        <w:spacing w:after="0" w:line="180" w:lineRule="exact"/>
        <w:rPr>
          <w:sz w:val="20"/>
          <w:szCs w:val="20"/>
          <w:color w:val="auto"/>
        </w:rPr>
      </w:pPr>
    </w:p>
    <w:p>
      <w:pPr>
        <w:ind w:left="60" w:right="79" w:firstLine="405"/>
        <w:spacing w:after="0" w:line="266" w:lineRule="auto"/>
        <w:rPr>
          <w:sz w:val="20"/>
          <w:szCs w:val="20"/>
          <w:color w:val="auto"/>
        </w:rPr>
      </w:pPr>
      <w:r>
        <w:rPr>
          <w:rFonts w:ascii="Times New Roman" w:cs="Times New Roman" w:eastAsia="Times New Roman" w:hAnsi="Times New Roman"/>
          <w:sz w:val="18"/>
          <w:szCs w:val="18"/>
          <w:color w:val="auto"/>
        </w:rPr>
        <w:t>The Company continues to monitor the situation, including any potential refunds of such tariffs, and evaluate the impact on its results of operations. No potential refunds have been recorded in the Consolidated Financial Statements as the Company cannot reasonably estimate the financial impact.</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99" w:firstLine="405"/>
        <w:spacing w:after="0" w:line="282" w:lineRule="auto"/>
        <w:rPr>
          <w:sz w:val="20"/>
          <w:szCs w:val="20"/>
          <w:color w:val="auto"/>
        </w:rPr>
      </w:pPr>
      <w:r>
        <w:rPr>
          <w:rFonts w:ascii="Times New Roman" w:cs="Times New Roman" w:eastAsia="Times New Roman" w:hAnsi="Times New Roman"/>
          <w:sz w:val="18"/>
          <w:szCs w:val="18"/>
          <w:color w:val="auto"/>
        </w:rPr>
        <w:t>Sales related to customer billings for various tariffs were less than one percent of total sales for the first nine months of fiscal 2026 and during fiscal 2025.</w:t>
      </w:r>
    </w:p>
    <w:p>
      <w:pPr>
        <w:spacing w:after="0" w:line="162" w:lineRule="exact"/>
        <w:rPr>
          <w:sz w:val="20"/>
          <w:szCs w:val="20"/>
          <w:color w:val="auto"/>
        </w:rPr>
      </w:pPr>
    </w:p>
    <w:p>
      <w:pPr>
        <w:ind w:left="60" w:right="99" w:firstLine="405"/>
        <w:spacing w:after="0" w:line="261" w:lineRule="auto"/>
        <w:rPr>
          <w:sz w:val="20"/>
          <w:szCs w:val="20"/>
          <w:color w:val="auto"/>
        </w:rPr>
      </w:pPr>
      <w:r>
        <w:rPr>
          <w:rFonts w:ascii="Times New Roman" w:cs="Times New Roman" w:eastAsia="Times New Roman" w:hAnsi="Times New Roman"/>
          <w:sz w:val="18"/>
          <w:szCs w:val="18"/>
          <w:color w:val="auto"/>
        </w:rPr>
        <w:t>The global electronic components market has a history of cyclical downturns followed by periods of increased demand. During the past two fiscal years, the Company’s overall business experienced a downturn marked by a decrease in sales due to a combination of elevated customer inventory levels and lower underlying demand for electronic components. As a result, the Company’s sales and operating income declined.</w:t>
      </w:r>
    </w:p>
    <w:p>
      <w:pPr>
        <w:spacing w:after="0" w:line="180" w:lineRule="exact"/>
        <w:rPr>
          <w:sz w:val="20"/>
          <w:szCs w:val="20"/>
          <w:color w:val="auto"/>
        </w:rPr>
      </w:pPr>
    </w:p>
    <w:p>
      <w:pPr>
        <w:ind w:left="60" w:right="179" w:firstLine="405"/>
        <w:spacing w:after="0" w:line="258" w:lineRule="auto"/>
        <w:rPr>
          <w:sz w:val="20"/>
          <w:szCs w:val="20"/>
          <w:color w:val="auto"/>
        </w:rPr>
      </w:pPr>
      <w:r>
        <w:rPr>
          <w:rFonts w:ascii="Times New Roman" w:cs="Times New Roman" w:eastAsia="Times New Roman" w:hAnsi="Times New Roman"/>
          <w:sz w:val="18"/>
          <w:szCs w:val="18"/>
          <w:color w:val="auto"/>
        </w:rPr>
        <w:t>During the first nine months of fiscal 2026, the Company’s financial performance has improved as overall demand for electronic components is improving. During the third quarter of fiscal 2026, the Company experienced both year-over-year and quarter-over-quarter sales growth across all regions and an improvement in the days of inventory on hand. The Company expects sales in the fourth quarter of fiscal 2026 will grow approximately 5% compared to third quarter sales with expected sales growth across all regions.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3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10"/>
        </w:trPr>
        <w:tc>
          <w:tcPr>
            <w:tcW w:w="23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Variance %</w:t>
            </w:r>
          </w:p>
        </w:tc>
        <w:tc>
          <w:tcPr>
            <w:tcW w:w="40" w:type="dxa"/>
            <w:vAlign w:val="bottom"/>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40" w:type="dxa"/>
            <w:vAlign w:val="bottom"/>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4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Variance %</w:t>
            </w:r>
          </w:p>
        </w:tc>
      </w:tr>
      <w:tr>
        <w:trPr>
          <w:trHeight w:val="189"/>
        </w:trPr>
        <w:tc>
          <w:tcPr>
            <w:tcW w:w="2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 unless otherwise</w:t>
            </w:r>
          </w:p>
        </w:tc>
        <w:tc>
          <w:tcPr>
            <w:tcW w:w="40" w:type="dxa"/>
            <w:vAlign w:val="bottom"/>
          </w:tcPr>
          <w:p>
            <w:pPr>
              <w:spacing w:after="0"/>
              <w:rPr>
                <w:sz w:val="16"/>
                <w:szCs w:val="16"/>
                <w:color w:val="auto"/>
              </w:rPr>
            </w:pP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i w:val="1"/>
                <w:iCs w:val="1"/>
                <w:color w:val="auto"/>
              </w:rPr>
              <w:t>stated)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5"/>
              </w:rPr>
              <w:t>$ 7,120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5"/>
              </w:rPr>
              <w:t>$ 5,315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$ 1,804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 $ 19,337</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$ 16,583</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$ 2,754</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7"/>
                <w:szCs w:val="17"/>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2,017</w:t>
            </w:r>
          </w:p>
        </w:tc>
        <w:tc>
          <w:tcPr>
            <w:tcW w:w="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1,791</w:t>
            </w: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tcPr>
          <w:p>
            <w:pPr>
              <w:spacing w:after="0"/>
              <w:rPr>
                <w:sz w:val="17"/>
                <w:szCs w:val="17"/>
                <w:color w:val="auto"/>
              </w:rPr>
            </w:pPr>
          </w:p>
        </w:tc>
      </w:tr>
      <w:tr>
        <w:trPr>
          <w:trHeight w:val="18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2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expenses</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1,475</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1,311</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shd w:val="clear" w:color="auto" w:fill="CCEEFF"/>
          </w:tcPr>
          <w:p>
            <w:pPr>
              <w:spacing w:after="0"/>
              <w:rPr>
                <w:sz w:val="18"/>
                <w:szCs w:val="18"/>
                <w:color w:val="auto"/>
              </w:rPr>
            </w:pPr>
          </w:p>
        </w:tc>
      </w:tr>
      <w:tr>
        <w:trPr>
          <w:trHeight w:val="189"/>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integration, and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80" w:type="dxa"/>
            <w:vAlign w:val="bottom"/>
          </w:tcPr>
          <w:p>
            <w:pPr>
              <w:spacing w:after="0"/>
              <w:rPr>
                <w:sz w:val="18"/>
                <w:szCs w:val="18"/>
                <w:color w:val="auto"/>
              </w:rPr>
            </w:pPr>
          </w:p>
        </w:tc>
      </w:tr>
      <w:tr>
        <w:trPr>
          <w:trHeight w:val="205"/>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494</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shd w:val="clear" w:color="auto" w:fill="CCEEFF"/>
          </w:tcPr>
          <w:p>
            <w:pPr>
              <w:spacing w:after="0"/>
              <w:rPr>
                <w:sz w:val="17"/>
                <w:szCs w:val="17"/>
                <w:color w:val="auto"/>
              </w:rPr>
            </w:pPr>
          </w:p>
        </w:tc>
      </w:tr>
      <w:tr>
        <w:trPr>
          <w:trHeight w:val="20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221</w:t>
            </w:r>
          </w:p>
        </w:tc>
        <w:tc>
          <w:tcPr>
            <w:tcW w:w="80" w:type="dxa"/>
            <w:vAlign w:val="bottom"/>
          </w:tcPr>
          <w:p>
            <w:pPr>
              <w:spacing w:after="0"/>
              <w:rPr>
                <w:sz w:val="17"/>
                <w:szCs w:val="17"/>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153</w:t>
            </w:r>
          </w:p>
        </w:tc>
        <w:tc>
          <w:tcPr>
            <w:tcW w:w="8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68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543</w:t>
            </w:r>
          </w:p>
        </w:tc>
        <w:tc>
          <w:tcPr>
            <w:tcW w:w="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481</w:t>
            </w: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62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12.9</w:t>
            </w:r>
          </w:p>
        </w:tc>
        <w:tc>
          <w:tcPr>
            <w:tcW w:w="180" w:type="dxa"/>
            <w:vAlign w:val="bottom"/>
          </w:tcPr>
          <w:p>
            <w:pPr>
              <w:spacing w:after="0"/>
              <w:rPr>
                <w:sz w:val="17"/>
                <w:szCs w:val="17"/>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80" w:type="dxa"/>
            <w:vAlign w:val="bottom"/>
            <w:shd w:val="clear" w:color="auto" w:fill="CCEEFF"/>
          </w:tcPr>
          <w:p>
            <w:pPr>
              <w:spacing w:after="0"/>
              <w:rPr>
                <w:sz w:val="17"/>
                <w:szCs w:val="17"/>
                <w:color w:val="auto"/>
              </w:rPr>
            </w:pPr>
          </w:p>
        </w:tc>
      </w:tr>
      <w:tr>
        <w:trPr>
          <w:trHeight w:val="189"/>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financing</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 net</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(184)</w:t>
            </w:r>
          </w:p>
        </w:tc>
        <w:tc>
          <w:tcPr>
            <w:tcW w:w="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w:t>
            </w: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8"/>
                <w:szCs w:val="18"/>
                <w:color w:val="auto"/>
              </w:rPr>
            </w:pPr>
          </w:p>
        </w:tc>
      </w:tr>
      <w:tr>
        <w:trPr>
          <w:trHeight w:val="205"/>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180" w:type="dxa"/>
            <w:vAlign w:val="bottom"/>
            <w:shd w:val="clear" w:color="auto" w:fill="CCEEFF"/>
          </w:tcPr>
          <w:p>
            <w:pPr>
              <w:spacing w:after="0"/>
              <w:rPr>
                <w:sz w:val="17"/>
                <w:szCs w:val="17"/>
                <w:color w:val="auto"/>
              </w:rPr>
            </w:pPr>
          </w:p>
        </w:tc>
      </w:tr>
      <w:tr>
        <w:trPr>
          <w:trHeight w:val="20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7"/>
                <w:szCs w:val="17"/>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4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234</w:t>
            </w: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spacing w:after="0"/>
              <w:rPr>
                <w:sz w:val="17"/>
                <w:szCs w:val="17"/>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w:t>
            </w: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shd w:val="clear" w:color="auto" w:fill="CCEEFF"/>
          </w:tcPr>
          <w:p>
            <w:pPr>
              <w:spacing w:after="0"/>
              <w:rPr>
                <w:sz w:val="17"/>
                <w:szCs w:val="17"/>
                <w:color w:val="auto"/>
              </w:rPr>
            </w:pPr>
          </w:p>
        </w:tc>
      </w:tr>
      <w:tr>
        <w:trPr>
          <w:trHeight w:val="203"/>
        </w:trPr>
        <w:tc>
          <w:tcPr>
            <w:tcW w:w="2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402"/>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(68)bps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10.8 %</w:t>
            </w:r>
          </w:p>
        </w:tc>
        <w:tc>
          <w:tcPr>
            <w:tcW w:w="8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 bps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40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margin</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2.9 %</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bps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 bps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402"/>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3.1 %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2.9 %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 bps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2.8 %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2.9 %</w:t>
            </w:r>
          </w:p>
        </w:tc>
        <w:tc>
          <w:tcPr>
            <w:tcW w:w="8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 bps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(0.1) %</w:t>
            </w:r>
          </w:p>
        </w:tc>
      </w:tr>
      <w:tr>
        <w:trPr>
          <w:trHeight w:val="408"/>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32.9 %</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 bps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32.4 %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bps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89" w:lineRule="exact"/>
        <w:rPr>
          <w:sz w:val="20"/>
          <w:szCs w:val="20"/>
          <w:color w:val="auto"/>
        </w:rPr>
      </w:pPr>
    </w:p>
    <w:p>
      <w:pPr>
        <w:ind w:left="60" w:right="199" w:firstLine="427"/>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percentage change in sales for the third quarter and first nine months of fiscal 2026 as compared to the third quarter and first nine months fiscal 2025, by geographic region and operating group.</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0" w:type="dxa"/>
            <w:vAlign w:val="bottom"/>
          </w:tcPr>
          <w:p>
            <w:pPr>
              <w:spacing w:after="0"/>
              <w:rPr>
                <w:sz w:val="18"/>
                <w:szCs w:val="18"/>
                <w:color w:val="auto"/>
              </w:rPr>
            </w:pPr>
          </w:p>
        </w:tc>
        <w:tc>
          <w:tcPr>
            <w:tcW w:w="2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60" w:type="dxa"/>
            <w:vAlign w:val="bottom"/>
          </w:tcPr>
          <w:p>
            <w:pPr>
              <w:spacing w:after="0"/>
              <w:rPr>
                <w:sz w:val="21"/>
                <w:szCs w:val="21"/>
                <w:color w:val="auto"/>
              </w:rPr>
            </w:pPr>
          </w:p>
        </w:tc>
        <w:tc>
          <w:tcPr>
            <w:tcW w:w="21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28, 2026</w:t>
            </w:r>
          </w:p>
        </w:tc>
      </w:tr>
      <w:tr>
        <w:trPr>
          <w:trHeight w:val="194"/>
        </w:trPr>
        <w:tc>
          <w:tcPr>
            <w:tcW w:w="4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Sales</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Year-Year %</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6"/>
        </w:trPr>
        <w:tc>
          <w:tcPr>
            <w:tcW w:w="458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Constant</w:t>
            </w:r>
          </w:p>
        </w:tc>
        <w:tc>
          <w:tcPr>
            <w:tcW w:w="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Year-Year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Constant</w:t>
            </w:r>
          </w:p>
        </w:tc>
      </w:tr>
      <w:tr>
        <w:trPr>
          <w:trHeight w:val="245"/>
        </w:trPr>
        <w:tc>
          <w:tcPr>
            <w:tcW w:w="470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r>
      <w:tr>
        <w:trPr>
          <w:trHeight w:val="216"/>
        </w:trPr>
        <w:tc>
          <w:tcPr>
            <w:tcW w:w="4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39.3 %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Electronic Components</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34"/>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r>
    </w:tbl>
    <w:p>
      <w:pPr>
        <w:spacing w:after="0" w:line="179" w:lineRule="exact"/>
        <w:rPr>
          <w:sz w:val="20"/>
          <w:szCs w:val="20"/>
          <w:color w:val="auto"/>
        </w:rPr>
      </w:pPr>
    </w:p>
    <w:p>
      <w:pPr>
        <w:ind w:left="60" w:right="99" w:firstLine="427"/>
        <w:spacing w:after="0" w:line="261" w:lineRule="auto"/>
        <w:rPr>
          <w:sz w:val="20"/>
          <w:szCs w:val="20"/>
          <w:color w:val="auto"/>
        </w:rPr>
      </w:pPr>
      <w:r>
        <w:rPr>
          <w:rFonts w:ascii="Times New Roman" w:cs="Times New Roman" w:eastAsia="Times New Roman" w:hAnsi="Times New Roman"/>
          <w:sz w:val="18"/>
          <w:szCs w:val="18"/>
          <w:color w:val="auto"/>
        </w:rPr>
        <w:t>Third quarter fiscal 2026 sales reached $7.12 billion, up 34.0% or $1.80 billion from $5.32 billion for the same quarter last year, with growth across all EC regions and Farnell. Sales for the first nine months of fiscal 2026 were $19.34 billion, an increase of $2.75 billion over sales for the first nine months of fiscal 2025, driven by strong performance in both EC and Farnell operating groups across all end markets served.</w:t>
      </w:r>
    </w:p>
    <w:p>
      <w:pPr>
        <w:spacing w:after="0" w:line="180" w:lineRule="exact"/>
        <w:rPr>
          <w:sz w:val="20"/>
          <w:szCs w:val="20"/>
          <w:color w:val="auto"/>
        </w:rPr>
      </w:pPr>
    </w:p>
    <w:p>
      <w:pPr>
        <w:ind w:left="60" w:right="279" w:firstLine="427"/>
        <w:spacing w:after="0" w:line="261" w:lineRule="auto"/>
        <w:rPr>
          <w:sz w:val="20"/>
          <w:szCs w:val="20"/>
          <w:color w:val="auto"/>
        </w:rPr>
      </w:pPr>
      <w:r>
        <w:rPr>
          <w:rFonts w:ascii="Times New Roman" w:cs="Times New Roman" w:eastAsia="Times New Roman" w:hAnsi="Times New Roman"/>
          <w:sz w:val="18"/>
          <w:szCs w:val="18"/>
          <w:color w:val="auto"/>
        </w:rPr>
        <w:t>EC sales were $6.67 billion in the third quarter of fiscal 2026, representing a $1.72 billion increase, or 34.7%, over prior year third quarter sales of $4.95 billion. All three EC regions contributed to this growth led by the Company’s Asia region. The increase in EC sales was mainly attributable to increased sales volumes and the mix of higher-priced components and to a lesser extent from increase in prices for certain memory-related products.</w:t>
      </w:r>
    </w:p>
    <w:p>
      <w:pPr>
        <w:spacing w:after="0" w:line="180" w:lineRule="exact"/>
        <w:rPr>
          <w:sz w:val="20"/>
          <w:szCs w:val="20"/>
          <w:color w:val="auto"/>
        </w:rPr>
      </w:pPr>
    </w:p>
    <w:p>
      <w:pPr>
        <w:ind w:left="60" w:right="159" w:firstLine="427"/>
        <w:spacing w:after="0" w:line="258" w:lineRule="auto"/>
        <w:rPr>
          <w:sz w:val="20"/>
          <w:szCs w:val="20"/>
          <w:color w:val="auto"/>
        </w:rPr>
      </w:pPr>
      <w:r>
        <w:rPr>
          <w:rFonts w:ascii="Times New Roman" w:cs="Times New Roman" w:eastAsia="Times New Roman" w:hAnsi="Times New Roman"/>
          <w:sz w:val="18"/>
          <w:szCs w:val="18"/>
          <w:color w:val="auto"/>
        </w:rPr>
        <w:t>Farnell sales for the third quarter of fiscal 2026 were $454.7 million, reflecting an increase of $88.0 million, or 24.0%, compared to the same period in the prior year. The increase in sales in the third quarter of fiscal 2026 is primarily due to improvement in demand for single board computers and on-the-board electronic components. The increase in sales at Farnell was primarily driven by an increase in volumes as increases in components pricing were insignificant during the third quarter of fiscal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2" w:lineRule="exact"/>
        <w:rPr>
          <w:sz w:val="20"/>
          <w:szCs w:val="20"/>
          <w:color w:val="auto"/>
        </w:rPr>
      </w:pPr>
    </w:p>
    <w:p>
      <w:pPr>
        <w:ind w:left="60" w:right="279" w:firstLine="432"/>
        <w:spacing w:after="0" w:line="276" w:lineRule="auto"/>
        <w:rPr>
          <w:sz w:val="20"/>
          <w:szCs w:val="20"/>
          <w:color w:val="auto"/>
        </w:rPr>
      </w:pPr>
      <w:r>
        <w:rPr>
          <w:rFonts w:ascii="Times New Roman" w:cs="Times New Roman" w:eastAsia="Times New Roman" w:hAnsi="Times New Roman"/>
          <w:sz w:val="17"/>
          <w:szCs w:val="17"/>
          <w:color w:val="auto"/>
        </w:rPr>
        <w:t>The Company’s gross profit and gross profit margin are primarily affected by sales volume, product mix, customer mix and pricing, and geographic sales mix. Gross profit for the third quarter of fiscal 2026 increased $151.2 million, or</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25.7% from the third quarter of fiscal 2025. Gross profit for the first nine months of fiscal 2026 increased $225.6 million, or 12.6% from the first nine months of fiscal 2025.This increase in gross profit is primarily due to sales increases in both operating groups previously discussed, partially offset by declines in gross profit margin in the EC operating group, which was driven by a higher percentage of sales coming from the lower margin Asia region and from differences in product and customer mix in the Western regions.</w:t>
      </w:r>
    </w:p>
    <w:p>
      <w:pPr>
        <w:spacing w:after="0" w:line="187" w:lineRule="exact"/>
        <w:rPr>
          <w:sz w:val="20"/>
          <w:szCs w:val="20"/>
          <w:color w:val="auto"/>
        </w:rPr>
      </w:pPr>
    </w:p>
    <w:p>
      <w:pPr>
        <w:ind w:left="60" w:right="19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decreased by 68 basis points to 10.4% for the third quarter of fiscal 2026 when compared to the third quarter of fiscal 2025. For the first nine months of fiscal 2026, gross margin decreased by 37 basis points to 10.4% when compared to the first nine months of fiscal 2025.</w:t>
      </w:r>
    </w:p>
    <w:p>
      <w:pPr>
        <w:spacing w:after="0" w:line="176" w:lineRule="exact"/>
        <w:rPr>
          <w:sz w:val="20"/>
          <w:szCs w:val="20"/>
          <w:color w:val="auto"/>
        </w:rPr>
      </w:pPr>
    </w:p>
    <w:p>
      <w:pPr>
        <w:ind w:left="60" w:right="239" w:firstLine="432"/>
        <w:spacing w:after="0" w:line="312" w:lineRule="auto"/>
        <w:rPr>
          <w:sz w:val="20"/>
          <w:szCs w:val="20"/>
          <w:color w:val="auto"/>
        </w:rPr>
      </w:pPr>
      <w:r>
        <w:rPr>
          <w:rFonts w:ascii="Times New Roman" w:cs="Times New Roman" w:eastAsia="Times New Roman" w:hAnsi="Times New Roman"/>
          <w:sz w:val="17"/>
          <w:szCs w:val="17"/>
          <w:color w:val="auto"/>
        </w:rPr>
        <w:t>EC gross profit margin decreased year over year largely due to the factors discussed previously. Farnell gross profit margin increased year over year, primarily due to an increase in product mix of on-the-board electronic components.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02" w:lineRule="exact"/>
        <w:rPr>
          <w:sz w:val="20"/>
          <w:szCs w:val="20"/>
          <w:color w:val="auto"/>
        </w:rPr>
      </w:pPr>
    </w:p>
    <w:p>
      <w:pPr>
        <w:ind w:left="60" w:right="1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increased $83.3 million or 19.1% from the third quarter of fiscal 2025, and increased $163.7 million, or 12.5% from the first nine months of fiscal 2025. The increase in SG&amp;A expenses is primarily due to increases in variable operating expenses associated with higher sales volumes and the impact of changes in foreign currency translation rates.</w:t>
      </w:r>
    </w:p>
    <w:p>
      <w:pPr>
        <w:spacing w:after="0" w:line="180"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Management monitors SG&amp;A expenses as a percentage of sales and as a percentage of gross profit. In the third quarter of fiscal 2026, SG&amp;A expenses were 7.3% of sales and 70.2% of gross profit, as compared with 8.2% and 74.1%, respectively, in the third quarter of fiscal 2025. SG&amp;A expenses were 7.6% as a percentage of sales and 73.1% as a percentage of gross profit for the first nine months of fiscal 2026, as compared with 7.9% and 73.2%, respectively, in the first nine months of fiscal 2025. The year-over-year decrease in SG&amp;A expenses as a percentage of gross profit is primarily due to the increase in sales as discussed previously without a corresponding increase in SG&amp;A expenses partially offset by the decline in gross profit margin in EC as explained in the prior discussion.</w:t>
      </w:r>
    </w:p>
    <w:p>
      <w:pPr>
        <w:spacing w:after="0" w:line="189" w:lineRule="exact"/>
        <w:rPr>
          <w:sz w:val="20"/>
          <w:szCs w:val="20"/>
          <w:color w:val="auto"/>
        </w:rPr>
      </w:pPr>
    </w:p>
    <w:p>
      <w:pPr>
        <w:ind w:left="60" w:right="299" w:firstLine="427"/>
        <w:spacing w:after="0" w:line="282" w:lineRule="auto"/>
        <w:rPr>
          <w:sz w:val="20"/>
          <w:szCs w:val="20"/>
          <w:color w:val="auto"/>
        </w:rPr>
      </w:pPr>
      <w:r>
        <w:rPr>
          <w:rFonts w:ascii="Times New Roman" w:cs="Times New Roman" w:eastAsia="Times New Roman" w:hAnsi="Times New Roman"/>
          <w:sz w:val="18"/>
          <w:szCs w:val="18"/>
          <w:color w:val="auto"/>
        </w:rPr>
        <w:t>See Note 12 “Segment information” to the Company’s consolidated financial statements included in this Quarterly Report on Form 10-Q for the amount of selling, general and administrative expenses by operating group.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189" w:lineRule="exact"/>
        <w:rPr>
          <w:sz w:val="20"/>
          <w:szCs w:val="20"/>
          <w:color w:val="auto"/>
        </w:rPr>
      </w:pPr>
    </w:p>
    <w:p>
      <w:pPr>
        <w:ind w:left="60" w:right="119" w:firstLine="427"/>
        <w:spacing w:after="0" w:line="258" w:lineRule="auto"/>
        <w:rPr>
          <w:sz w:val="20"/>
          <w:szCs w:val="20"/>
          <w:color w:val="auto"/>
        </w:rPr>
      </w:pPr>
      <w:r>
        <w:rPr>
          <w:rFonts w:ascii="Times New Roman" w:cs="Times New Roman" w:eastAsia="Times New Roman" w:hAnsi="Times New Roman"/>
          <w:sz w:val="18"/>
          <w:szCs w:val="18"/>
          <w:color w:val="auto"/>
        </w:rPr>
        <w:t>The Company recorded total restructuring, integration, and other expenses in the third quarter of fiscal 2026 of $14.7 million, consisting of $7.8 million of severance and other restructuring related expenses, and $6.9 million of integration and other costs primarily related to start-up costs associated with a new distribution center in EMEA, partially offset by a benefit due to a change in estimate from the settlement of an audit in Mexico. The after-tax impact of restructuring, integration, and other expenses were $8.8 million and $0.11 per share on a diluted basis.</w:t>
      </w:r>
    </w:p>
    <w:p>
      <w:pPr>
        <w:spacing w:after="0" w:line="183" w:lineRule="exact"/>
        <w:rPr>
          <w:sz w:val="20"/>
          <w:szCs w:val="20"/>
          <w:color w:val="auto"/>
        </w:rPr>
      </w:pPr>
    </w:p>
    <w:p>
      <w:pPr>
        <w:ind w:left="60" w:right="59" w:firstLine="427"/>
        <w:spacing w:after="0" w:line="26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52525"/>
        </w:rPr>
        <w:t>he Company expects to incur additional restructuring, integration and other expenses in fourth quarter of fiscal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related to start-up costs associated with a new distribution center in EMEA as well as costs associated with the closure of another distribution center in EMEA.</w:t>
      </w:r>
    </w:p>
    <w:p>
      <w:pPr>
        <w:spacing w:after="0" w:line="176" w:lineRule="exact"/>
        <w:rPr>
          <w:sz w:val="20"/>
          <w:szCs w:val="20"/>
          <w:color w:val="auto"/>
        </w:rPr>
      </w:pPr>
    </w:p>
    <w:p>
      <w:pPr>
        <w:ind w:left="60" w:right="139" w:firstLine="427"/>
        <w:spacing w:after="0" w:line="261" w:lineRule="auto"/>
        <w:rPr>
          <w:sz w:val="20"/>
          <w:szCs w:val="20"/>
          <w:color w:val="auto"/>
        </w:rPr>
      </w:pPr>
      <w:r>
        <w:rPr>
          <w:rFonts w:ascii="Times New Roman" w:cs="Times New Roman" w:eastAsia="Times New Roman" w:hAnsi="Times New Roman"/>
          <w:sz w:val="18"/>
          <w:szCs w:val="18"/>
          <w:color w:val="auto"/>
        </w:rPr>
        <w:t>During the first nine months of fiscal 2026, the Company incurred restructuring, integration, and other expense costs of $48.2 million, consisting of $18.9 million of severance and other employee-related expenses, and $29.3 million of integration and other costs. The after-tax impact of restructuring, integration, and other expenses were $33.0 million and $0.40 per share on a diluted basis.</w:t>
      </w:r>
    </w:p>
    <w:p>
      <w:pPr>
        <w:spacing w:after="0" w:line="180" w:lineRule="exact"/>
        <w:rPr>
          <w:sz w:val="20"/>
          <w:szCs w:val="20"/>
          <w:color w:val="auto"/>
        </w:rPr>
      </w:pPr>
    </w:p>
    <w:p>
      <w:pPr>
        <w:ind w:left="60" w:right="259" w:firstLine="427"/>
        <w:spacing w:after="0" w:line="282" w:lineRule="auto"/>
        <w:rPr>
          <w:sz w:val="20"/>
          <w:szCs w:val="20"/>
          <w:color w:val="auto"/>
        </w:rPr>
      </w:pPr>
      <w:r>
        <w:rPr>
          <w:rFonts w:ascii="Times New Roman" w:cs="Times New Roman" w:eastAsia="Times New Roman" w:hAnsi="Times New Roman"/>
          <w:sz w:val="18"/>
          <w:szCs w:val="18"/>
          <w:color w:val="auto"/>
        </w:rPr>
        <w:t>Comparatively, the Company recorded restructuring, integration, and other expense costs of $9.1 million and $39.3 million during the third quarter and first nine months of fiscal 2025, respectively.</w:t>
      </w:r>
    </w:p>
    <w:p>
      <w:pPr>
        <w:spacing w:after="0" w:line="162"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252525"/>
        </w:rPr>
        <w:t>See Note 13 “Restructuring expenses” to the Company’s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89" w:lineRule="exact"/>
        <w:rPr>
          <w:sz w:val="20"/>
          <w:szCs w:val="20"/>
          <w:color w:val="auto"/>
        </w:rPr>
      </w:pPr>
    </w:p>
    <w:p>
      <w:pPr>
        <w:ind w:left="60" w:right="99" w:firstLine="432"/>
        <w:spacing w:after="0" w:line="256" w:lineRule="auto"/>
        <w:rPr>
          <w:sz w:val="20"/>
          <w:szCs w:val="20"/>
          <w:color w:val="auto"/>
        </w:rPr>
      </w:pPr>
      <w:r>
        <w:rPr>
          <w:rFonts w:ascii="Times New Roman" w:cs="Times New Roman" w:eastAsia="Times New Roman" w:hAnsi="Times New Roman"/>
          <w:sz w:val="18"/>
          <w:szCs w:val="18"/>
          <w:color w:val="auto"/>
        </w:rPr>
        <w:t>Operating income for the third quarter of fiscal 2026 was $205.5 million, an increase of $62.3 million or 43.5%, year over year. Operating income margin for the third quarter of fiscal 2026 was 2.9%, an increase of 19 basis points compared to 2.7% in the third quarter of fiscal 2025. Adjusted operating income for the third quarter of fiscal 2026 was $220.6 million, an increase of $67.9 million, or 44.5%. Adjusted operating income margin for the third quarter of fiscal 2026 was 3.1% compared to 2.9% in the third quarter of fiscal 2025. The increase in operating income margin and adjusted operating income margin is primarily due to growth across EC and Farnell.</w:t>
      </w:r>
    </w:p>
    <w:p>
      <w:pPr>
        <w:spacing w:after="0" w:line="187" w:lineRule="exact"/>
        <w:rPr>
          <w:sz w:val="20"/>
          <w:szCs w:val="20"/>
          <w:color w:val="auto"/>
        </w:rPr>
      </w:pPr>
    </w:p>
    <w:p>
      <w:pPr>
        <w:jc w:val="both"/>
        <w:ind w:left="60" w:right="219" w:firstLine="427"/>
        <w:spacing w:after="0" w:line="266" w:lineRule="auto"/>
        <w:rPr>
          <w:sz w:val="20"/>
          <w:szCs w:val="20"/>
          <w:color w:val="auto"/>
        </w:rPr>
      </w:pPr>
      <w:r>
        <w:rPr>
          <w:rFonts w:ascii="Times New Roman" w:cs="Times New Roman" w:eastAsia="Times New Roman" w:hAnsi="Times New Roman"/>
          <w:sz w:val="18"/>
          <w:szCs w:val="18"/>
          <w:color w:val="auto"/>
        </w:rPr>
        <w:t>Comparing the third quarter of fiscal 2026 to the third quarter of fiscal 2025, EC operating income increased 36.6% to $235.2 million, and EC operating income margin increased 5 basis points to 3.5%. Farnell operating income increased 116.8% to $23.8 million in the third quarter of fiscal 2026. Farnell operating income margin increased 224</w:t>
      </w:r>
    </w:p>
    <w:p>
      <w:pPr>
        <w:sectPr>
          <w:pgSz w:w="11900" w:h="16838" w:orient="portrait"/>
          <w:cols w:equalWidth="0" w:num="1">
            <w:col w:w="9019"/>
          </w:cols>
          <w:pgMar w:left="1440" w:top="540"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basis points year-over-year to 5.2%. The increases in operating income and operating income margin in Farnell are due to higher sales and higher gross profit margin.</w:t>
      </w:r>
    </w:p>
    <w:p>
      <w:pPr>
        <w:spacing w:after="0" w:line="162" w:lineRule="exact"/>
        <w:rPr>
          <w:sz w:val="20"/>
          <w:szCs w:val="20"/>
          <w:color w:val="auto"/>
        </w:rPr>
      </w:pPr>
    </w:p>
    <w:p>
      <w:pPr>
        <w:ind w:left="60" w:right="199" w:firstLine="427"/>
        <w:spacing w:after="0" w:line="256" w:lineRule="auto"/>
        <w:rPr>
          <w:sz w:val="20"/>
          <w:szCs w:val="20"/>
          <w:color w:val="auto"/>
        </w:rPr>
      </w:pPr>
      <w:r>
        <w:rPr>
          <w:rFonts w:ascii="Times New Roman" w:cs="Times New Roman" w:eastAsia="Times New Roman" w:hAnsi="Times New Roman"/>
          <w:sz w:val="18"/>
          <w:szCs w:val="18"/>
          <w:color w:val="auto"/>
        </w:rPr>
        <w:t>Operating income for the first nine months of fiscal 2026 was $493.8 million, an increase of $53.0 million from the first nine months of fiscal 2025 operating income of $440.8 million. The year-over-year increase in operating income was primarily due to the higher gross profit margin in Farnell offset by the increase in SG&amp;A expenses. Adjusted operating income for the first nine months of fiscal 2026 was $543.1 million, an increase of $61.9 million or 12.9% from the first nine months of fiscal 2025. Operating income margin was 2.6% in the first nine months of fiscal 2026, a decrease of 11 basis points compared to 2.7% in the prior year first nine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w:t>
      </w:r>
    </w:p>
    <w:p>
      <w:pPr>
        <w:spacing w:after="0" w:line="202" w:lineRule="exact"/>
        <w:rPr>
          <w:sz w:val="20"/>
          <w:szCs w:val="20"/>
          <w:color w:val="auto"/>
        </w:rPr>
      </w:pPr>
    </w:p>
    <w:p>
      <w:pPr>
        <w:ind w:left="60" w:right="1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Interest and other financing expenses in the third quarter of fiscal 2026 were $63.1 million, an increase of $2.0 million as compared to $61.1 million in the third quarter of fiscal 2025. Interest and other financing expenses in the first nine months of fiscal 2026 were $184.3 million, a decrease of $3.7 million, as compared with interest and other financing expenses of $188.0 million in the first nine months of fiscal 2025. </w:t>
      </w:r>
      <w:r>
        <w:rPr>
          <w:rFonts w:ascii="Times New Roman" w:cs="Times New Roman" w:eastAsia="Times New Roman" w:hAnsi="Times New Roman"/>
          <w:sz w:val="18"/>
          <w:szCs w:val="18"/>
          <w:color w:val="252525"/>
        </w:rPr>
        <w:t>The increase in interest and other financing expenses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the third quarter of fiscal 2026 compared to fiscal 2025 is primarily a result of higher average borrowings.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ind w:left="60" w:right="7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Income tax expense for the third quarter and first nine months of fiscal 2026 were $46.2 million and $99.5 million, respectively, reflecting an effective tax rate of 32.9% and 32.4%, respectively. In comparison, for the third quarter and first nine months of fiscal 2025, income tax (benefit) expense were $ (9.8) million and $9.0 million, respectively, reflecting an effective tax rate of (12.5)% and 3.7%, respectively. The increase in the effective tax rate for the third quarter of fiscal 2026 as compared to the third quarter of fiscal 2025 was primarily related to the tax attribute carryforwards generated in fiscal 2025 but not in fiscal 2026 and the mix of income in higher tax jurisdictions. The increase in the effective tax rate for the first nine months of fiscal 2026 as compared to the first nine months of fiscal 2025 was primarily related to the tax attribute carryforwards that were generated in fiscal 2025 but not in fiscal 2026. See Note 7 “Income taxes” to the Company’s consolidated financial statements included in this Quarterly Report on Form </w:t>
      </w:r>
      <w:r>
        <w:rPr>
          <w:rFonts w:ascii="Times New Roman" w:cs="Times New Roman" w:eastAsia="Times New Roman" w:hAnsi="Times New Roman"/>
          <w:sz w:val="18"/>
          <w:szCs w:val="18"/>
          <w:color w:val="252525"/>
        </w:rPr>
        <w:t>10-Q.</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ind w:left="60" w:right="19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prior factors described, the Company’s net income for the third quarter of fiscal 2026 was $94.3 million, or $1.14 per share on a diluted basis, as compared with $87.9 million, or $1.01 per share on a diluted basis, in the third quarter of fiscal 2025.</w:t>
      </w:r>
    </w:p>
    <w:p>
      <w:pPr>
        <w:spacing w:after="0" w:line="176" w:lineRule="exact"/>
        <w:rPr>
          <w:sz w:val="20"/>
          <w:szCs w:val="20"/>
          <w:color w:val="auto"/>
        </w:rPr>
      </w:pPr>
    </w:p>
    <w:p>
      <w:pPr>
        <w:jc w:val="both"/>
        <w:ind w:left="60" w:right="47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prior factors described, the Company’s net income for the first nine months of fiscal 2026 was $207.8 million, or $2.49 per share on a diluted basis, as compared with $234.1 million, or $2.65 per share on a diluted basis, in the first nine months of fiscal 2025.</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ind w:left="60" w:right="59" w:firstLine="432"/>
        <w:spacing w:after="0" w:line="256" w:lineRule="auto"/>
        <w:rPr>
          <w:sz w:val="20"/>
          <w:szCs w:val="20"/>
          <w:color w:val="auto"/>
        </w:rPr>
      </w:pPr>
      <w:r>
        <w:rPr>
          <w:rFonts w:ascii="Times New Roman" w:cs="Times New Roman" w:eastAsia="Times New Roman" w:hAnsi="Times New Roman"/>
          <w:sz w:val="18"/>
          <w:szCs w:val="18"/>
          <w:color w:val="auto"/>
        </w:rPr>
        <w:t>Net cash from operating activities was $9.8 million for the first nine months of fiscal 2026, down from $585.0 million in the same period of fiscal 2025. The decline was mainly due to $296.5 million used for working capital in the first nine months of fiscal 2026 to support sales growth, compared to $282.4 million generated in 2025. Increases in accounts receivable and inventory in fiscal 2026 were primarily to support sales growth, partially offset by increases to accounts payable from inventory purchases and certain accruals. The Company used $61.4 million of cash from operations to settle an audit in Mexico.</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Net proceeds of debt totaled $284.6 million during the first nine months of fiscal 2026, including net proceeds of $633.8 million from the issuance of Convertible Notes, $268.1 million for term loans, and $18.8 million of other debt, offset by net repayments of $409.5 million under the Credit Facility, and $226.5 million under the Securitization Program. This compares to $270.3 million of net repayments during the first nine months of the prior fiscal year.</w:t>
      </w:r>
    </w:p>
    <w:p>
      <w:pPr>
        <w:spacing w:after="0" w:line="180"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The Company has repurchased $138.3 million of common stock under its share repurchase plan during the first nine months of fiscal 2026 compared to $253.5 million in the same period of the prior fiscal year. The Company paid cash dividends to shareholders of $1.05 per share, or $85.6 million, during the first nine months of fiscal 2026 as compared to $0.99 per share, or $85.6 million, during the first nine months of fiscal 2025.</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$21.7 million during the first nine months of fiscal 2026 compared to the same period in 2025, primarily due to lower capital expenditures.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60" w:right="99" w:firstLine="432"/>
        <w:spacing w:after="0" w:line="255"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June 28, 2025 and Note 4 “Debt” to the Company’s consolidated financial statements included in this Quarterly Report on Form 10-Q. There are no material changes to this information outside of the issuance of Convertible Notes, entering into a term loan and other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02" w:lineRule="exact"/>
        <w:rPr>
          <w:sz w:val="20"/>
          <w:szCs w:val="20"/>
          <w:color w:val="auto"/>
        </w:rPr>
      </w:pPr>
    </w:p>
    <w:p>
      <w:pPr>
        <w:ind w:left="60" w:right="319" w:firstLine="432"/>
        <w:spacing w:after="0" w:line="261" w:lineRule="auto"/>
        <w:rPr>
          <w:sz w:val="20"/>
          <w:szCs w:val="20"/>
          <w:color w:val="auto"/>
        </w:rPr>
      </w:pPr>
      <w:r>
        <w:rPr>
          <w:rFonts w:ascii="Times New Roman" w:cs="Times New Roman" w:eastAsia="Times New Roman" w:hAnsi="Times New Roman"/>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notes and debt as of March 28, 2026. The Company was in compliance with all covenants under the Credit Facility and the Securitization Program as of March 28, 2026, and June 28, 2025.</w:t>
      </w:r>
    </w:p>
    <w:p>
      <w:pPr>
        <w:spacing w:after="0" w:line="180" w:lineRule="exact"/>
        <w:rPr>
          <w:sz w:val="20"/>
          <w:szCs w:val="20"/>
          <w:color w:val="auto"/>
        </w:rPr>
      </w:pPr>
    </w:p>
    <w:p>
      <w:pPr>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working capital, foreign exchange, overdraft, capital expenditure, and letter of credit needs of its wholly owned subsidiaries. Outstanding borrowings under such forms of debt at the end of third quarter of fiscal 2026 were $125.7 million.</w:t>
      </w:r>
    </w:p>
    <w:p>
      <w:pPr>
        <w:spacing w:after="0" w:line="180" w:lineRule="exact"/>
        <w:rPr>
          <w:sz w:val="20"/>
          <w:szCs w:val="20"/>
          <w:color w:val="auto"/>
        </w:rPr>
      </w:pPr>
    </w:p>
    <w:p>
      <w:pPr>
        <w:ind w:left="60" w:right="33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of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left="60" w:right="21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$202.4 million as of March 28, 2026, of which $193.5 million was held outside the United States. As of June 28, 2025, the Company held cash and cash equivalents of $192.4 million, of which $181.8 million was held outside of the United States.</w:t>
      </w:r>
    </w:p>
    <w:p>
      <w:pPr>
        <w:spacing w:after="0" w:line="176"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generated $149.3 million in cash flows from operating activities over the trailing four fiscal quarters ended March 28, 2026.</w:t>
      </w:r>
    </w:p>
    <w:p>
      <w:pPr>
        <w:sectPr>
          <w:pgSz w:w="11900" w:h="16838" w:orient="portrait"/>
          <w:cols w:equalWidth="0" w:num="1">
            <w:col w:w="9019"/>
          </w:cols>
          <w:pgMar w:left="1440" w:top="540"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89" w:lineRule="exact"/>
        <w:rPr>
          <w:sz w:val="20"/>
          <w:szCs w:val="20"/>
          <w:color w:val="auto"/>
        </w:rPr>
      </w:pPr>
    </w:p>
    <w:p>
      <w:pPr>
        <w:ind w:left="60" w:right="299" w:firstLine="427"/>
        <w:spacing w:after="0" w:line="261" w:lineRule="auto"/>
        <w:rPr>
          <w:sz w:val="20"/>
          <w:szCs w:val="20"/>
          <w:color w:val="auto"/>
        </w:rPr>
      </w:pPr>
      <w:r>
        <w:rPr>
          <w:rFonts w:ascii="Times New Roman" w:cs="Times New Roman" w:eastAsia="Times New Roman" w:hAnsi="Times New Roman"/>
          <w:sz w:val="18"/>
          <w:szCs w:val="18"/>
          <w:color w:val="auto"/>
        </w:rPr>
        <w:t>In September 2025, the Company issued $650 million aggregate principal amount of convertible senior notes due 2030 (see Note 4). The Company used the net proceeds to (i) reduce the Credit Facility by $533.8 million and (ii) repurchase $100 million of the Company’s common stock in privately negotiated transactions entered into in connection with the convertible debt offering.</w:t>
      </w:r>
    </w:p>
    <w:p>
      <w:pPr>
        <w:spacing w:after="0" w:line="180" w:lineRule="exact"/>
        <w:rPr>
          <w:sz w:val="20"/>
          <w:szCs w:val="20"/>
          <w:color w:val="auto"/>
        </w:rPr>
      </w:pPr>
    </w:p>
    <w:p>
      <w:pPr>
        <w:ind w:left="60" w:right="99" w:firstLine="427"/>
        <w:spacing w:after="0" w:line="255" w:lineRule="auto"/>
        <w:rPr>
          <w:sz w:val="20"/>
          <w:szCs w:val="20"/>
          <w:color w:val="auto"/>
        </w:rPr>
      </w:pPr>
      <w:r>
        <w:rPr>
          <w:rFonts w:ascii="Times New Roman" w:cs="Times New Roman" w:eastAsia="Times New Roman" w:hAnsi="Times New Roman"/>
          <w:sz w:val="18"/>
          <w:szCs w:val="18"/>
          <w:color w:val="auto"/>
        </w:rPr>
        <w:t>As of the end of the third quarter of fiscal 2026, the Company had a combined total borrowing capacity of $2.0 billion under the Credit Facility and the Securitization Program. There were no borrowings outstanding and $0.8 million in letters of credit issued under the Credit Facility, and $273.5 million outstanding under the Securitization Program, resulting in approximately $1.73 billion of total committed availability as of March 28, 2026. Availability under the Securitization Program is subject to the Company having sufficient eligible trade accounts receivable in the United States to support desired borrowings. The Company expects to renew or replace the Securitization Program on similar terms with a larger capacity, subject to market conditions, before its maturity in December 2026.</w:t>
      </w:r>
    </w:p>
    <w:p>
      <w:pPr>
        <w:spacing w:after="0" w:line="189" w:lineRule="exact"/>
        <w:rPr>
          <w:sz w:val="20"/>
          <w:szCs w:val="20"/>
          <w:color w:val="auto"/>
        </w:rPr>
      </w:pPr>
    </w:p>
    <w:p>
      <w:pPr>
        <w:ind w:left="60" w:right="479" w:firstLine="427"/>
        <w:spacing w:after="0" w:line="289" w:lineRule="auto"/>
        <w:rPr>
          <w:sz w:val="20"/>
          <w:szCs w:val="20"/>
          <w:color w:val="auto"/>
        </w:rPr>
      </w:pPr>
      <w:r>
        <w:rPr>
          <w:rFonts w:ascii="Times New Roman" w:cs="Times New Roman" w:eastAsia="Times New Roman" w:hAnsi="Times New Roman"/>
          <w:sz w:val="17"/>
          <w:szCs w:val="17"/>
          <w:color w:val="auto"/>
        </w:rPr>
        <w:t>The Credit Facility includes a $250 million accordion feature under which the revolving line of credit may be increased up to $1.75 billion through an amendment, which the Company exercised in April 2026. The Company also repaid the $550 million 4.63% Notes due April 2026 with available borrowing capacity under the Credit Facility.</w:t>
      </w:r>
    </w:p>
    <w:p>
      <w:pPr>
        <w:spacing w:after="0" w:line="158"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During the third quarter and first nine months of fiscal 2026, the Company had an average daily balance outstanding of approximately $637.0 million and $652.3 million, respectively, under the Credit Facility, and approximately $488.0 million and $475.6 million, respectively, under the Securitization Program. The Company also has average borrowings that are higher than quarter end borrowings from various lines of credit, financing arrangements, and other forms of bank debt in the U.S. and various foreign locations.</w:t>
      </w:r>
    </w:p>
    <w:p>
      <w:pPr>
        <w:spacing w:after="0" w:line="183"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As of March 28, 2026, the Company does not expect to repurchase additional shares until its’ consolidated leverage ratio returns to historical levels. When share repurchases resume, the Company may repurchase stock from time to time at the discretion of management, subject to strategic considerations, market conditions (including share price), and other factors. The Company may terminate or limit the share repurchase program at any time without prior notice. The Company has $225.8 million of capacity remaining on the share repurchase program approved by the Board of Directors as of March 28, 2026.</w:t>
      </w:r>
    </w:p>
    <w:p>
      <w:pPr>
        <w:spacing w:after="0" w:line="187"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third quarter of fiscal 2026, the Board of Directors approved a dividend of $0.35 per share, which resulted in $28.7 million of dividend payments during the quarter.</w:t>
      </w:r>
    </w:p>
    <w:p>
      <w:pPr>
        <w:spacing w:after="0" w:line="176"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2"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ectPr>
          <w:pgSz w:w="11900" w:h="16838" w:orient="portrait"/>
          <w:cols w:equalWidth="0" w:num="1">
            <w:col w:w="9019"/>
          </w:cols>
          <w:pgMar w:left="1440" w:top="540"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through financial arrangements that are intended to provide an economic hedge against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June 28, 2025, for further discussion of market risks associated with foreign currency exchange rates and interest rates. Avnet’s exposure to such risks has not changed materially since June 28, 2025, as the Company continues to economically hedge the majority of its foreign currency exchange exposures. Thus, any increase or decrease in the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83" w:lineRule="exact"/>
        <w:rPr>
          <w:sz w:val="20"/>
          <w:szCs w:val="20"/>
          <w:color w:val="auto"/>
        </w:rPr>
      </w:pPr>
    </w:p>
    <w:p>
      <w:pPr>
        <w:ind w:left="60" w:right="59" w:firstLine="427"/>
        <w:spacing w:after="0" w:line="25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March 28, 2026, approximately 78% of the Company’s debt bears interest at a fixed rate and 22% of the Company’s debt bears interest at variable rates. Therefore, a hypothetical 1.0% (100 basis points) increase in interest rates would result in a $1.6 million decrease in income before income taxes in the Company’s consolidated statement of operations for the third quarter of fiscal 2026.</w:t>
      </w:r>
    </w:p>
    <w:p>
      <w:pPr>
        <w:spacing w:after="0" w:line="18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8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94" w:lineRule="exact"/>
        <w:rPr>
          <w:sz w:val="20"/>
          <w:szCs w:val="20"/>
          <w:color w:val="auto"/>
        </w:rPr>
      </w:pPr>
    </w:p>
    <w:p>
      <w:pPr>
        <w:ind w:left="60" w:right="439" w:firstLine="432"/>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2026,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8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23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6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June 28, 2025,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March 28, 2026, there have been no material changes to the risk factors set forth in the Company’s Annual Report on Form 10-K for the fiscal year ended June 28, 2025.</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89" w:lineRule="exact"/>
        <w:rPr>
          <w:sz w:val="20"/>
          <w:szCs w:val="20"/>
          <w:color w:val="auto"/>
        </w:rPr>
      </w:pPr>
    </w:p>
    <w:p>
      <w:pPr>
        <w:jc w:val="both"/>
        <w:ind w:left="60" w:right="639" w:firstLine="427"/>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approved the repurchase plan of up to an aggregate of $600 million of common stock. During the third quarter of fiscal 2026, the Company did not repurchase any shares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2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392"/>
        </w:trPr>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2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Exhibit</w:t>
            </w:r>
          </w:p>
        </w:tc>
      </w:tr>
      <w:tr>
        <w:trPr>
          <w:trHeight w:val="27"/>
        </w:trPr>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398"/>
        </w:trPr>
        <w:tc>
          <w:tcPr>
            <w:tcW w:w="5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Amendment No. 2 to the Third Amended and Restated Credit Agreement, dated April 13, 2026, among</w:t>
            </w:r>
          </w:p>
        </w:tc>
        <w:tc>
          <w:tcPr>
            <w:tcW w:w="10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Avnet, Inc., Avnet Holding Europe BV, Bank of America, N.A., as administrative agent, swing line</w:t>
            </w:r>
          </w:p>
        </w:tc>
      </w:tr>
      <w:tr>
        <w:trPr>
          <w:trHeight w:val="196"/>
        </w:trPr>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lender and a letter of credit issuer, and the Lenders party thereto.</w:t>
            </w:r>
          </w:p>
        </w:tc>
        <w:tc>
          <w:tcPr>
            <w:tcW w:w="420" w:type="dxa"/>
            <w:vAlign w:val="bottom"/>
            <w:gridSpan w:val="4"/>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39"/>
        </w:trPr>
        <w:tc>
          <w:tcPr>
            <w:tcW w:w="5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26"/>
        </w:trPr>
        <w:tc>
          <w:tcPr>
            <w:tcW w:w="5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r>
      <w:tr>
        <w:trPr>
          <w:trHeight w:val="42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26"/>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r>
      <w:tr>
        <w:trPr>
          <w:trHeight w:val="448"/>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 the instance document does not appear in the Interactive Data File because its XBRL tags are</w:t>
            </w:r>
          </w:p>
        </w:tc>
      </w:tr>
      <w:tr>
        <w:trPr>
          <w:trHeight w:val="234"/>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6"/>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6"/>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231775</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2 TO THIRD AMENDED AND RESTATED CREDIT AGREEMENT</w:t>
      </w:r>
    </w:p>
    <w:p>
      <w:pPr>
        <w:spacing w:after="0" w:line="243"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2 TO THIRD AMENDED AND RESTATED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April 13, 2026, is made among</w:t>
      </w:r>
      <w:r>
        <w:rPr>
          <w:rFonts w:ascii="Times New Roman" w:cs="Times New Roman" w:eastAsia="Times New Roman" w:hAnsi="Times New Roman"/>
          <w:sz w:val="20"/>
          <w:szCs w:val="20"/>
          <w:b w:val="1"/>
          <w:bCs w:val="1"/>
          <w:color w:val="auto"/>
        </w:rPr>
        <w:t xml:space="preserve"> AVNET, INC.</w:t>
      </w:r>
      <w:r>
        <w:rPr>
          <w:rFonts w:ascii="Times New Roman" w:cs="Times New Roman" w:eastAsia="Times New Roman" w:hAnsi="Times New Roman"/>
          <w:sz w:val="20"/>
          <w:szCs w:val="20"/>
          <w:color w:val="auto"/>
        </w:rPr>
        <w:t>, a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York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AVNET HOLDING EUROPE BV</w:t>
      </w:r>
      <w:r>
        <w:rPr>
          <w:rFonts w:ascii="Times New Roman" w:cs="Times New Roman" w:eastAsia="Times New Roman" w:hAnsi="Times New Roman"/>
          <w:sz w:val="20"/>
          <w:szCs w:val="20"/>
          <w:color w:val="auto"/>
        </w:rPr>
        <w:t>, a Belgian privately held limited liability company (“</w:t>
      </w:r>
      <w:r>
        <w:rPr>
          <w:rFonts w:ascii="Times New Roman" w:cs="Times New Roman" w:eastAsia="Times New Roman" w:hAnsi="Times New Roman"/>
          <w:sz w:val="20"/>
          <w:szCs w:val="20"/>
          <w:u w:val="single" w:color="auto"/>
          <w:color w:val="auto"/>
        </w:rPr>
        <w:t>Avnet Europe</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in its capacity as administrative agent for the Lenders (as defined in the Credit Agreement described below)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Swing Line Lender and an L/C Issuer, and the Lenders party hereto (including the Increasing Lenders (as defined below)). Each capitalized term used and not otherwise defined in this Amendment has the definition specified in the Credit Agreement described below.</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jc w:val="both"/>
        <w:ind w:left="200" w:right="219" w:firstLine="657"/>
        <w:spacing w:after="0" w:line="270" w:lineRule="auto"/>
        <w:tabs>
          <w:tab w:leader="none" w:pos="1496"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certain Subsidiaries of the Company party thereto from time to time, the Administrative Agent and certain financial institutions party thereto from time to time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have entered into that certain Third Amended and Restated Credit Agreement dated as of January 17, 2025 (as amended, restated, supplemented or otherwise modified prior to the date hereof,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pursuant to which the Lenders have made available to the Borrowers a senior revolving credit facility.</w:t>
      </w:r>
    </w:p>
    <w:p>
      <w:pPr>
        <w:spacing w:after="0" w:line="175" w:lineRule="exact"/>
        <w:rPr>
          <w:rFonts w:ascii="Times New Roman" w:cs="Times New Roman" w:eastAsia="Times New Roman" w:hAnsi="Times New Roman"/>
          <w:sz w:val="19"/>
          <w:szCs w:val="19"/>
          <w:color w:val="auto"/>
        </w:rPr>
      </w:pPr>
    </w:p>
    <w:p>
      <w:pPr>
        <w:jc w:val="both"/>
        <w:ind w:left="200" w:right="219" w:firstLine="657"/>
        <w:spacing w:after="0" w:line="249" w:lineRule="auto"/>
        <w:tabs>
          <w:tab w:leader="none" w:pos="14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the Credit Agreement, the Company has notified the Administrative Agent of a request for an increase in the Aggregate Commitments in the aggregate principal amount of $250,000,000 (the “</w:t>
      </w:r>
      <w:r>
        <w:rPr>
          <w:rFonts w:ascii="Times New Roman" w:cs="Times New Roman" w:eastAsia="Times New Roman" w:hAnsi="Times New Roman"/>
          <w:sz w:val="20"/>
          <w:szCs w:val="20"/>
          <w:u w:val="single" w:color="auto"/>
          <w:color w:val="auto"/>
        </w:rPr>
        <w:t>2026 Commitment Increase</w:t>
      </w:r>
      <w:r>
        <w:rPr>
          <w:rFonts w:ascii="Times New Roman" w:cs="Times New Roman" w:eastAsia="Times New Roman" w:hAnsi="Times New Roman"/>
          <w:sz w:val="20"/>
          <w:szCs w:val="20"/>
          <w:color w:val="auto"/>
        </w:rPr>
        <w:t xml:space="preserve">”), and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the Credit Agreement, the Persons set forth on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to this Amendment, including the lender identified on the signature pages hereto as “New Lender” (the “</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(each such Person, an “</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Increasing Lenders</w:t>
      </w:r>
      <w:r>
        <w:rPr>
          <w:rFonts w:ascii="Times New Roman" w:cs="Times New Roman" w:eastAsia="Times New Roman" w:hAnsi="Times New Roman"/>
          <w:sz w:val="20"/>
          <w:szCs w:val="20"/>
          <w:color w:val="auto"/>
        </w:rPr>
        <w:t>”) are willing to provide the 2026 Commitment Increase on the Effective Date (as defined below) on the terms set forth herein and in the Credit Agreement and subject to the conditions set forth herein.</w:t>
      </w:r>
    </w:p>
    <w:p>
      <w:pPr>
        <w:spacing w:after="0" w:line="183" w:lineRule="exact"/>
        <w:rPr>
          <w:rFonts w:ascii="Times New Roman" w:cs="Times New Roman" w:eastAsia="Times New Roman" w:hAnsi="Times New Roman"/>
          <w:sz w:val="20"/>
          <w:szCs w:val="20"/>
          <w:color w:val="auto"/>
        </w:rPr>
      </w:pPr>
    </w:p>
    <w:p>
      <w:pPr>
        <w:jc w:val="both"/>
        <w:ind w:left="200" w:right="219" w:firstLine="657"/>
        <w:spacing w:after="0" w:line="271" w:lineRule="auto"/>
        <w:tabs>
          <w:tab w:leader="none" w:pos="1496"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of the Credit Agreement, each of the Borrowers, the Administrative Agent and the Increasing Lenders have agreed to the 2026 Commitment Increase, and each of the Borrowers, the Administrative Agent, the Increasing Lenders and the other Lenders party hereto have agreed to this Amendment, in each case, as evidenced by each such party’s signature to this Amendment.</w:t>
      </w:r>
    </w:p>
    <w:p>
      <w:pPr>
        <w:spacing w:after="0" w:line="174"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premises and further valuable consideration, the receipt and sufficiency of which is hereby acknowledged, the parties hereto agree as follows:</w:t>
      </w:r>
    </w:p>
    <w:p>
      <w:pPr>
        <w:spacing w:after="0" w:line="182" w:lineRule="exact"/>
        <w:rPr>
          <w:sz w:val="20"/>
          <w:szCs w:val="20"/>
          <w:color w:val="auto"/>
        </w:rPr>
      </w:pPr>
    </w:p>
    <w:p>
      <w:pPr>
        <w:ind w:left="200" w:right="23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b w:val="1"/>
          <w:bCs w:val="1"/>
          <w:u w:val="single" w:color="auto"/>
          <w:color w:val="auto"/>
        </w:rPr>
        <w:t>2026 Commitment Increase</w:t>
      </w:r>
      <w:r>
        <w:rPr>
          <w:rFonts w:ascii="Times New Roman" w:cs="Times New Roman" w:eastAsia="Times New Roman" w:hAnsi="Times New Roman"/>
          <w:sz w:val="20"/>
          <w:szCs w:val="20"/>
          <w:color w:val="auto"/>
        </w:rPr>
        <w:t>. Subject to the terms and conditions set forth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reliance upon the representations and warranties set forth herein, as of the Effective Date:</w:t>
      </w:r>
    </w:p>
    <w:p>
      <w:pPr>
        <w:spacing w:after="0" w:line="142" w:lineRule="exact"/>
        <w:rPr>
          <w:sz w:val="20"/>
          <w:szCs w:val="20"/>
          <w:color w:val="auto"/>
        </w:rPr>
      </w:pPr>
    </w:p>
    <w:p>
      <w:pPr>
        <w:jc w:val="both"/>
        <w:ind w:left="200" w:right="219" w:firstLine="657"/>
        <w:spacing w:after="0" w:line="248" w:lineRule="auto"/>
        <w:tabs>
          <w:tab w:leader="none" w:pos="149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2026 Commitment Increase shall be provided by the applicable Increasing Lenders (including, for the avoidance of doubt, the New Lender) in the amounts set forth on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to this Amendment, (ii) the 2026 Commitment Increase will be made available as Commitments by such applicable Increasing Lenders to the relevant Borrowers on and after the Effective Date, (iii) the aggregate principal amount of the 2026 Commitment Increase constitutes usage of the Maximum Aggregate Commitment Increase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the Credit Agreement, with the same pricing and maturity as (as well as all other terms and conditions applicable to) the Aggregate Commitments prior to giving effect to the 2026 Commitment Increase and this Amendment, (iv) the amount of outstanding Loans on the Effective Date will be reallocated by and among the Lenders on the Effective Date by the Administrative Agent to reflect the 2026 Commitment Increase, and the relevant Lenders (at the direction of the Administrative Agent) will make such payments among themselves so that the outstanding Loans are held ratably (and ratably among Interest Periods) by the Lenders on the Effective Date, (v)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of the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0"/>
          <w:szCs w:val="20"/>
          <w:color w:val="auto"/>
        </w:rPr>
        <w:t xml:space="preserve">Credit Agreement shall be amended to read in its entirety as set forth on </w:t>
      </w:r>
      <w:r>
        <w:rPr>
          <w:rFonts w:ascii="Times New Roman" w:cs="Times New Roman" w:eastAsia="Times New Roman" w:hAnsi="Times New Roman"/>
          <w:sz w:val="20"/>
          <w:szCs w:val="20"/>
          <w:u w:val="single" w:color="auto"/>
          <w:color w:val="auto"/>
        </w:rPr>
        <w:t>Annex II</w:t>
      </w:r>
      <w:r>
        <w:rPr>
          <w:rFonts w:ascii="Times New Roman" w:cs="Times New Roman" w:eastAsia="Times New Roman" w:hAnsi="Times New Roman"/>
          <w:sz w:val="20"/>
          <w:szCs w:val="20"/>
          <w:color w:val="auto"/>
        </w:rPr>
        <w:t xml:space="preserve"> to this Amendment, and</w:t>
      </w:r>
    </w:p>
    <w:p>
      <w:pPr>
        <w:spacing w:after="0" w:line="21" w:lineRule="exact"/>
        <w:rPr>
          <w:sz w:val="20"/>
          <w:szCs w:val="20"/>
          <w:color w:val="auto"/>
        </w:rPr>
      </w:pPr>
    </w:p>
    <w:p>
      <w:pPr>
        <w:ind w:left="200" w:right="239" w:firstLine="9"/>
        <w:spacing w:after="0" w:line="260" w:lineRule="auto"/>
        <w:tabs>
          <w:tab w:leader="none" w:pos="55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will be deemed amended to effectuate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 and</w:t>
      </w:r>
    </w:p>
    <w:p>
      <w:pPr>
        <w:spacing w:after="0" w:line="168"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(i) in connection with the 2026 Commitment Increase, the Administrative Agent shall make such adjustments between and among the applicable Lenders and the Borrowers as are reasonably necessary to effectuate the 2026 Commitment Increase, (ii) in connection with any reallocation of Loans or Interest Periods on the Effective Date, each of the Lenders party hereto consents to any early termination of any Interest Periods in respect of such reallocation and agrees to waive any amounts to which it might otherwise be entitled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of the Credit Agreement in connection therewith and (iii) each of the Lenders party hereto acknowledges that the ten Business Days’ notice requirement under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 xml:space="preserve"> of the Credit Agreement has been satisfied.</w:t>
      </w:r>
    </w:p>
    <w:p>
      <w:pPr>
        <w:spacing w:after="0" w:line="19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Joinder of New Lender.</w:t>
      </w:r>
    </w:p>
    <w:p>
      <w:pPr>
        <w:spacing w:after="0" w:line="112" w:lineRule="exact"/>
        <w:rPr>
          <w:sz w:val="20"/>
          <w:szCs w:val="20"/>
          <w:color w:val="auto"/>
        </w:rPr>
      </w:pPr>
    </w:p>
    <w:p>
      <w:pPr>
        <w:jc w:val="both"/>
        <w:ind w:left="200" w:right="219" w:firstLine="657"/>
        <w:spacing w:after="0" w:line="247"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New Lender (i) represents and warrants that (A) it has full power and authority, and has taken all action necessary, to execute and deliver this Amendment and to consummate the transactions contemplated hereby and to become a Lender under the Credit Agreement, (B) it meets all requirements of an Eligible Assignee under the Credit Agreement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of the Credit Agreement), (C) from and after the Effective Date, it shall be bound by the provisions of the Credit Agreement as a Lender thereunder and shall have the obligations of a Lender thereunder and hold the Commitments applicable to the New Lender in the amount set forth on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to this Amendment (as such Commitments may be modified at any time or from time to time pursuant to the terms of the Loan Documents), (D) it is sophisticated with respect to decisions to acquire assets of the type represented by its Commitments and either it, or the Person exercising discretion in making its decision to acquire its Commitments, is experienced in acquiring assets of such type, (E) it has received a copy of the Credit Agreement and the other Loan Documents, and has received or has been accorded the opportunity to receive copies of the most recent financial statements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of the Credit Agreement, as applicable, and such other documents and information as it deems appropriate to make its own credit analysis and decision to enter into this Amendment and to acquire its Commitments, (F) it has, independently and without reliance upon the Administrative Agent or any other Lender or any of their Related Parties and based on such documents and information as it has deemed appropriate, made its own credit analysis and decision to enter into this Amendment and to acquire its Loans, and (G) if it is a Foreign Lender, it has delivered to the Administrative Agent and the Borrower any documentation required to be delivered by it pursuant to the terms of the Credit Agreement, duly completed and executed by the New Lender, as applicable; and (ii) agrees that (A) it will, independently and without reliance upon the Administrative Agent or any other Lender or any of their Related Parties, and based on such documents and information as it shall deem appropriate at the time, continue to make its own credit decisions in taking or not taking action under the Loan Documents, and (B) it will perform in accordance with their terms all of the obligations which by the terms of the Loan Documents are required to be performed by it as a Lender. On and after the Effective Date, all references to the “Lenders” in the Credit Agreement and the other Loan Documents shall be deemed to include the New Lender.</w:t>
      </w:r>
    </w:p>
    <w:p>
      <w:pPr>
        <w:spacing w:after="0" w:line="210"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the Administrative Agent, the L/C Issuers and the Swing Line Lender hereby consents to the New Lender providing its respective portions of the Commitments and becoming a Lender under the Credit Agreement.</w:t>
      </w:r>
    </w:p>
    <w:p>
      <w:pPr>
        <w:spacing w:after="0" w:line="19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3. Amendments to Credit Agreement. </w:t>
      </w:r>
      <w:r>
        <w:rPr>
          <w:rFonts w:ascii="Times New Roman" w:cs="Times New Roman" w:eastAsia="Times New Roman" w:hAnsi="Times New Roman"/>
          <w:sz w:val="20"/>
          <w:szCs w:val="20"/>
          <w:color w:val="auto"/>
        </w:rPr>
        <w:t>Subject to the terms and conditions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herein and in reliance upon the representations and warranties set forth herein, as of the Effective Date, the parties hereto hereby agree that (a) the cover page to the Credit Agreement is hereby amended by inserting “DBS BANK LTD.” in the listing of Joint Lead Arrangers and Joint Bookrunners and (b) the definition of “Arrangers”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is hereby amended to include “DBS Bank Ltd.”</w:t>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jc w:val="both"/>
        <w:ind w:left="200" w:right="219"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Effectiveness; Conditions Precedent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the 2026 Commitment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Increase provided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and the amendments to the Credit Agreement provided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shall each become effective as of the date on which the following conditions precedent are satisfied or waived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79" w:lineRule="exact"/>
        <w:rPr>
          <w:sz w:val="20"/>
          <w:szCs w:val="20"/>
          <w:color w:val="auto"/>
        </w:rPr>
      </w:pPr>
    </w:p>
    <w:p>
      <w:pPr>
        <w:jc w:val="both"/>
        <w:ind w:left="200" w:right="219" w:firstLine="657"/>
        <w:spacing w:after="0" w:line="254" w:lineRule="auto"/>
        <w:tabs>
          <w:tab w:leader="none" w:pos="149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in form and substance reasonably satisfactory to the Administrative Agent, at least one fully executed copy of this Amendment, duly executed by each of the Borrowers, the Administrative Agent, the Swing Line Lender, the L/C Issuers, the Increasing Lenders and such Lenders as are necessary to constitute Required Lenders;</w:t>
      </w:r>
    </w:p>
    <w:p>
      <w:pPr>
        <w:spacing w:after="0" w:line="187" w:lineRule="exact"/>
        <w:rPr>
          <w:rFonts w:ascii="Times New Roman" w:cs="Times New Roman" w:eastAsia="Times New Roman" w:hAnsi="Times New Roman"/>
          <w:sz w:val="20"/>
          <w:szCs w:val="20"/>
          <w:color w:val="auto"/>
        </w:rPr>
      </w:pPr>
    </w:p>
    <w:p>
      <w:pPr>
        <w:jc w:val="both"/>
        <w:ind w:left="200" w:right="219" w:firstLine="657"/>
        <w:spacing w:after="0" w:line="249" w:lineRule="auto"/>
        <w:tabs>
          <w:tab w:leader="none" w:pos="149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Administrative Agent a certificate of each Loan Party dated as of the Effective Date signed by a Responsible Officer of such Loan Party (A) certifying and attaching the resolutions adopted by such Loan Party approving or consenting to the 2026 Commitment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Increase, and (B) in the case of the Company, certifying that, before and after giving effect to such increase,</w:t>
      </w:r>
    </w:p>
    <w:p>
      <w:pPr>
        <w:spacing w:after="0" w:line="18" w:lineRule="exact"/>
        <w:rPr>
          <w:sz w:val="20"/>
          <w:szCs w:val="20"/>
          <w:color w:val="auto"/>
        </w:rPr>
      </w:pPr>
    </w:p>
    <w:p>
      <w:pPr>
        <w:jc w:val="both"/>
        <w:ind w:left="200" w:right="219" w:firstLine="9"/>
        <w:spacing w:after="0" w:line="247" w:lineRule="auto"/>
        <w:tabs>
          <w:tab w:leader="none" w:pos="49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the other Loan Documents are true and correct on and as of the Effective Date, except to the extent that such representations and warranties specifically refer to an earlier date, in which case they are true and correct as of such earlier date, except that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of the Credit Agreement, and (2) no Default exists;</w:t>
      </w:r>
    </w:p>
    <w:p>
      <w:pPr>
        <w:spacing w:after="0" w:line="184" w:lineRule="exact"/>
        <w:rPr>
          <w:rFonts w:ascii="Times New Roman" w:cs="Times New Roman" w:eastAsia="Times New Roman" w:hAnsi="Times New Roman"/>
          <w:sz w:val="20"/>
          <w:szCs w:val="20"/>
          <w:color w:val="auto"/>
        </w:rPr>
      </w:pPr>
    </w:p>
    <w:p>
      <w:pPr>
        <w:jc w:val="both"/>
        <w:ind w:left="200" w:right="219" w:firstLine="657"/>
        <w:spacing w:after="0" w:line="258" w:lineRule="auto"/>
        <w:tabs>
          <w:tab w:leader="none" w:pos="149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days prior to the Effective Date, any Borrower that qualifies as a “legal entity customer” under the Beneficial Ownership Regulation shall have delivered a Beneficial Ownership Certification in relation to such Borrower to each Lender that so requests at least 10 days prior to the Effective Date;</w:t>
      </w:r>
    </w:p>
    <w:p>
      <w:pPr>
        <w:spacing w:after="0" w:line="172" w:lineRule="exact"/>
        <w:rPr>
          <w:rFonts w:ascii="Times New Roman" w:cs="Times New Roman" w:eastAsia="Times New Roman" w:hAnsi="Times New Roman"/>
          <w:sz w:val="20"/>
          <w:szCs w:val="20"/>
          <w:color w:val="auto"/>
        </w:rPr>
      </w:pPr>
    </w:p>
    <w:p>
      <w:pPr>
        <w:jc w:val="both"/>
        <w:ind w:left="200" w:right="219" w:firstLine="657"/>
        <w:spacing w:after="0" w:line="271" w:lineRule="auto"/>
        <w:tabs>
          <w:tab w:leader="none" w:pos="1496"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reasonable request of any Lender made at least 10 days prior to the Effective Date, the Borrowers shall have provided to such Lender the documentation and other information so requested in connection with applicable “know your customer” and anti-money-laundering rules and regulations, including, without limitation, the PATRIOT Act, in each case at least five days prior to the Effective Date;</w:t>
      </w:r>
    </w:p>
    <w:p>
      <w:pPr>
        <w:spacing w:after="0" w:line="174" w:lineRule="exact"/>
        <w:rPr>
          <w:rFonts w:ascii="Times New Roman" w:cs="Times New Roman" w:eastAsia="Times New Roman" w:hAnsi="Times New Roman"/>
          <w:sz w:val="19"/>
          <w:szCs w:val="19"/>
          <w:color w:val="auto"/>
        </w:rPr>
      </w:pPr>
    </w:p>
    <w:p>
      <w:pPr>
        <w:jc w:val="both"/>
        <w:ind w:left="200" w:right="219" w:firstLine="657"/>
        <w:spacing w:after="0" w:line="261" w:lineRule="auto"/>
        <w:tabs>
          <w:tab w:leader="none" w:pos="157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Effective Date, to the Person to whom such fees are owing, any fees required to be paid pursuant to this Amendment or the Engagement Letter dated as of March 25, 2026 between the Company and BofA Securities, Inc.; and</w:t>
      </w:r>
    </w:p>
    <w:p>
      <w:pPr>
        <w:spacing w:after="0" w:line="167" w:lineRule="exact"/>
        <w:rPr>
          <w:rFonts w:ascii="Times New Roman" w:cs="Times New Roman" w:eastAsia="Times New Roman" w:hAnsi="Times New Roman"/>
          <w:sz w:val="20"/>
          <w:szCs w:val="20"/>
          <w:color w:val="auto"/>
        </w:rPr>
      </w:pPr>
    </w:p>
    <w:p>
      <w:pPr>
        <w:jc w:val="both"/>
        <w:ind w:left="200" w:right="219" w:firstLine="657"/>
        <w:spacing w:after="0" w:line="251" w:lineRule="auto"/>
        <w:tabs>
          <w:tab w:leader="none" w:pos="149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all reasonable and documented fees, charges and disbursements of counsel to the Administrative Agent (directly to such counsel if requested by the Administrative Agent) to the extent required to be paid pursuant to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and invoiced at least one Business Day prior to the Effective Date (provided that the Company shall remain liable for any additional reasonable and documented fees and expenses of such counsel to the Administrative Agent in accordance with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of the Credit Agreement, for purposes of determining compliance with the conditions specified in this Section,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date hereof specifying its objection thereto.</w:t>
      </w: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jc w:val="both"/>
        <w:ind w:left="200" w:right="219" w:firstLine="567"/>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order to induce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Increasing Lenders and each other Lender party hereto to enter into this Amendment, each of the Borrowers represents and warrants to the Administrative Agent and the Lenders as follows:</w:t>
      </w:r>
    </w:p>
    <w:p>
      <w:pPr>
        <w:spacing w:after="0" w:line="168" w:lineRule="exact"/>
        <w:rPr>
          <w:sz w:val="20"/>
          <w:szCs w:val="20"/>
          <w:color w:val="auto"/>
        </w:rPr>
      </w:pPr>
    </w:p>
    <w:p>
      <w:pPr>
        <w:jc w:val="both"/>
        <w:ind w:left="200" w:right="219" w:firstLine="657"/>
        <w:spacing w:after="0" w:line="261" w:lineRule="auto"/>
        <w:tabs>
          <w:tab w:leader="none" w:pos="149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each Loan Party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of the Credit Agreement and in each other Loan Document to which such Loan Party is a party, or in any document furnished at any time under or in connection herewith or therewith (including any Designated Borrower Request and Assumption Agreement), are true and correct in all material respects (without duplication of any materiality qualification included in the terms of any such representation or warranty) on and as of the date hereof, except to the extent that such representations and warranties specifically refer to an earlier date, in which case they are true and correct in all material respects (without duplication of any materiality qualification included in the terms of any such representation or warranty) as of such earlier date, and except that for purposes hereof, the representations and warranties contained in </w:t>
      </w:r>
      <w:r>
        <w:rPr>
          <w:rFonts w:ascii="Times New Roman" w:cs="Times New Roman" w:eastAsia="Times New Roman" w:hAnsi="Times New Roman"/>
          <w:sz w:val="19"/>
          <w:szCs w:val="19"/>
          <w:u w:val="single" w:color="auto"/>
          <w:color w:val="auto"/>
        </w:rPr>
        <w:t>subsections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subsections (a)</w:t>
      </w:r>
      <w:r>
        <w:rPr>
          <w:rFonts w:ascii="Times New Roman" w:cs="Times New Roman" w:eastAsia="Times New Roman" w:hAnsi="Times New Roman"/>
          <w:sz w:val="19"/>
          <w:szCs w:val="19"/>
          <w:color w:val="auto"/>
        </w:rPr>
        <w:t xml:space="preserve"> and</w:t>
      </w:r>
    </w:p>
    <w:p>
      <w:pPr>
        <w:spacing w:after="0" w:line="1" w:lineRule="exact"/>
        <w:rPr>
          <w:rFonts w:ascii="Times New Roman" w:cs="Times New Roman" w:eastAsia="Times New Roman" w:hAnsi="Times New Roman"/>
          <w:sz w:val="19"/>
          <w:szCs w:val="19"/>
          <w:color w:val="auto"/>
        </w:rPr>
      </w:pPr>
    </w:p>
    <w:p>
      <w:pPr>
        <w:ind w:left="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19"/>
          <w:szCs w:val="19"/>
          <w:color w:val="auto"/>
        </w:rPr>
      </w:pPr>
    </w:p>
    <w:p>
      <w:pPr>
        <w:jc w:val="both"/>
        <w:ind w:left="200" w:right="219" w:firstLine="657"/>
        <w:spacing w:after="0" w:line="254" w:lineRule="auto"/>
        <w:tabs>
          <w:tab w:leader="none" w:pos="14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authorized, executed and delivered by each Borrower and constitutes a legal, valid and binding obligation of each Borrower, enforceable against each Borrower in accordance with its terms, except as may be limited by applicable Debtor Relief Laws and general principles of equity, regardless of whether considered in a proceeding in equity or at law; and</w:t>
      </w:r>
    </w:p>
    <w:p>
      <w:pPr>
        <w:spacing w:after="0" w:line="187"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after giving effect to this Amendment and the 2026 Commitment Increase, no Default or Event of Default has occurred and is continuing.</w:t>
      </w:r>
    </w:p>
    <w:p>
      <w:pPr>
        <w:spacing w:after="0" w:line="169" w:lineRule="exact"/>
        <w:rPr>
          <w:sz w:val="20"/>
          <w:szCs w:val="20"/>
          <w:color w:val="auto"/>
        </w:rPr>
      </w:pPr>
    </w:p>
    <w:p>
      <w:pPr>
        <w:jc w:val="both"/>
        <w:ind w:left="200" w:right="219" w:firstLine="70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Amendment, together with all the other Loan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u w:val="single" w:color="auto"/>
          <w:color w:val="auto"/>
        </w:rPr>
        <w:t>Relevant Documents</w:t>
      </w:r>
      <w:r>
        <w:rPr>
          <w:rFonts w:ascii="Times New Roman" w:cs="Times New Roman" w:eastAsia="Times New Roman" w:hAnsi="Times New Roman"/>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 This Amendment is a Loan Document.</w:t>
      </w:r>
    </w:p>
    <w:p>
      <w:pPr>
        <w:spacing w:after="0" w:line="194" w:lineRule="exact"/>
        <w:rPr>
          <w:sz w:val="20"/>
          <w:szCs w:val="20"/>
          <w:color w:val="auto"/>
        </w:rPr>
      </w:pPr>
    </w:p>
    <w:p>
      <w:pPr>
        <w:jc w:val="both"/>
        <w:ind w:left="260" w:right="219" w:firstLine="596"/>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b w:val="1"/>
          <w:bCs w:val="1"/>
          <w:u w:val="single" w:color="auto"/>
          <w:color w:val="auto"/>
        </w:rPr>
        <w:t>Full Force and Effect of Agreement</w:t>
      </w:r>
      <w:r>
        <w:rPr>
          <w:rFonts w:ascii="Times New Roman" w:cs="Times New Roman" w:eastAsia="Times New Roman" w:hAnsi="Times New Roman"/>
          <w:sz w:val="20"/>
          <w:szCs w:val="20"/>
          <w:color w:val="auto"/>
        </w:rPr>
        <w:t>. Except as hereby specifically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or supplemented, the Credit Agreement and all other Loan Documents are hereby confirmed and ratified in all respects and shall be and remain in full force and effect according to their respective terms. This Amendment shall not be deemed (i) to be a waiver of, or consent to, or a modification or amendment of, any other term or condition of the Credit Agreement or any other Loan Document other than as expressly set forth herein, (ii)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other than as expressly set forth herein, or</w:t>
      </w:r>
    </w:p>
    <w:p>
      <w:pPr>
        <w:jc w:val="both"/>
        <w:ind w:left="260" w:right="219"/>
        <w:spacing w:after="0" w:line="263" w:lineRule="auto"/>
        <w:tabs>
          <w:tab w:leader="none" w:pos="60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a commitment or any other undertaking or expression of any willingness to engage in any further discussion with the Company, any Loan Party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w:t>
      </w:r>
    </w:p>
    <w:p>
      <w:pPr>
        <w:spacing w:after="0" w:line="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260" w:right="239"/>
        <w:spacing w:after="0" w:line="268" w:lineRule="auto"/>
        <w:rPr>
          <w:sz w:val="20"/>
          <w:szCs w:val="20"/>
          <w:color w:val="auto"/>
        </w:rPr>
      </w:pPr>
      <w:r>
        <w:rPr>
          <w:rFonts w:ascii="Times New Roman" w:cs="Times New Roman" w:eastAsia="Times New Roman" w:hAnsi="Times New Roman"/>
          <w:sz w:val="20"/>
          <w:szCs w:val="20"/>
          <w:color w:val="auto"/>
        </w:rPr>
        <w:t>Loan Document to the “Credit Agreement” shall be deemed to be references to the Credit Agreement as modified hereby.</w:t>
      </w:r>
    </w:p>
    <w:p>
      <w:pPr>
        <w:spacing w:after="0" w:line="170" w:lineRule="exact"/>
        <w:rPr>
          <w:sz w:val="20"/>
          <w:szCs w:val="20"/>
          <w:color w:val="auto"/>
        </w:rPr>
      </w:pPr>
    </w:p>
    <w:p>
      <w:pPr>
        <w:jc w:val="both"/>
        <w:ind w:left="200" w:right="219" w:firstLine="699"/>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counterparts (and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different parties hereto 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Amendment. Without limiting the foregoing, the provisions of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of the Credit Agreement shall be applicable to this Amendment.</w:t>
      </w:r>
    </w:p>
    <w:p>
      <w:pPr>
        <w:spacing w:after="0" w:line="190" w:lineRule="exact"/>
        <w:rPr>
          <w:sz w:val="20"/>
          <w:szCs w:val="20"/>
          <w:color w:val="auto"/>
        </w:rPr>
      </w:pPr>
    </w:p>
    <w:p>
      <w:pPr>
        <w:jc w:val="both"/>
        <w:ind w:left="200" w:right="219" w:firstLine="69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0"/>
          <w:szCs w:val="20"/>
          <w:b w:val="1"/>
          <w:bCs w:val="1"/>
          <w:u w:val="single" w:color="auto"/>
          <w:color w:val="auto"/>
        </w:rPr>
        <w:t>Governing Law; Jurisdiction, Etc</w:t>
      </w:r>
      <w:r>
        <w:rPr>
          <w:rFonts w:ascii="Times New Roman" w:cs="Times New Roman" w:eastAsia="Times New Roman" w:hAnsi="Times New Roman"/>
          <w:sz w:val="20"/>
          <w:szCs w:val="20"/>
          <w:color w:val="auto"/>
        </w:rPr>
        <w:t>. This Amendment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construed in accordance with, the law of the State of New York, and shall be further subject to the provisions of </w:t>
      </w:r>
      <w:r>
        <w:rPr>
          <w:rFonts w:ascii="Times New Roman" w:cs="Times New Roman" w:eastAsia="Times New Roman" w:hAnsi="Times New Roman"/>
          <w:sz w:val="20"/>
          <w:szCs w:val="20"/>
          <w:u w:val="single" w:color="auto"/>
          <w:color w:val="auto"/>
        </w:rPr>
        <w:t>Sections 10.14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of the Credit Agreement.</w:t>
      </w:r>
    </w:p>
    <w:p>
      <w:pPr>
        <w:spacing w:after="0" w:line="182" w:lineRule="exact"/>
        <w:rPr>
          <w:sz w:val="20"/>
          <w:szCs w:val="20"/>
          <w:color w:val="auto"/>
        </w:rPr>
      </w:pPr>
    </w:p>
    <w:p>
      <w:pPr>
        <w:jc w:val="both"/>
        <w:ind w:left="200" w:right="219" w:firstLine="699"/>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Section 10. </w:t>
      </w: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If any provision of this Amendment is held to be illegal,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93" w:lineRule="exact"/>
        <w:rPr>
          <w:sz w:val="20"/>
          <w:szCs w:val="20"/>
          <w:color w:val="auto"/>
        </w:rPr>
      </w:pPr>
    </w:p>
    <w:p>
      <w:pPr>
        <w:jc w:val="both"/>
        <w:ind w:left="200" w:right="219" w:firstLine="699"/>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The provisions of this Amendment shall be binding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inure to the benefit of the parties hereto and their respective successors and assigns to the extent such assignees are permitted assignees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w:t>
      </w:r>
    </w:p>
    <w:p>
      <w:pPr>
        <w:spacing w:after="0" w:line="16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12. </w:t>
      </w:r>
      <w:r>
        <w:rPr>
          <w:rFonts w:ascii="Times New Roman" w:cs="Times New Roman" w:eastAsia="Times New Roman" w:hAnsi="Times New Roman"/>
          <w:sz w:val="20"/>
          <w:szCs w:val="20"/>
          <w:b w:val="1"/>
          <w:bCs w:val="1"/>
          <w:u w:val="single" w:color="auto"/>
          <w:color w:val="auto"/>
        </w:rPr>
        <w:t>Costs and Expenses</w:t>
      </w:r>
      <w:r>
        <w:rPr>
          <w:rFonts w:ascii="Times New Roman" w:cs="Times New Roman" w:eastAsia="Times New Roman" w:hAnsi="Times New Roman"/>
          <w:sz w:val="20"/>
          <w:szCs w:val="20"/>
          <w:color w:val="auto"/>
        </w:rPr>
        <w:t>. To the extent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10.04(a)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 agrees to pay all reasonable and documented out-of-pocket expenses incurred by the Administrative Agent (including the reasonable and documented fees and expenses of counsel for the Administrative Agent) in connection with the preparation, execution and delivery of this Amendment and any other related Loan Documents.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 Signature Pages Follow]</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6" w:name="page37"/>
    <w:bookmarkEnd w:id="36"/>
    <w:p>
      <w:pPr>
        <w:ind w:left="200" w:right="239"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made, executed and delivered by their duly authorized officers as of the day and year first above written.</w:t>
      </w:r>
    </w:p>
    <w:p>
      <w:pPr>
        <w:spacing w:after="0" w:line="18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u w:val="single" w:color="auto"/>
          <w:color w:val="auto"/>
        </w:rPr>
        <w:t>BORROWERS:</w:t>
      </w: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AVNET, INC.</w:t>
      </w:r>
    </w:p>
    <w:p>
      <w:pPr>
        <w:spacing w:after="0" w:line="23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Monica Pantea</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8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Monica Pantea</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AVNET HOLDING EUROPE BV</w:t>
      </w:r>
    </w:p>
    <w:p>
      <w:pPr>
        <w:spacing w:after="0" w:line="233"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Monica Pantea</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8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Monica Pantea</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Avnet,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37" w:name="page38"/>
    <w:bookmarkEnd w:id="37"/>
    <w:p>
      <w:pPr>
        <w:ind w:left="418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7"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Elizabeth Uribe</w:t>
            </w:r>
          </w:p>
        </w:tc>
        <w:tc>
          <w:tcPr>
            <w:tcW w:w="0" w:type="dxa"/>
            <w:vAlign w:val="bottom"/>
          </w:tcPr>
          <w:p>
            <w:pPr>
              <w:spacing w:after="0"/>
              <w:rPr>
                <w:sz w:val="1"/>
                <w:szCs w:val="1"/>
                <w:color w:val="auto"/>
              </w:rPr>
            </w:pPr>
          </w:p>
        </w:tc>
      </w:tr>
      <w:tr>
        <w:trPr>
          <w:trHeight w:val="23"/>
        </w:trPr>
        <w:tc>
          <w:tcPr>
            <w:tcW w:w="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20" w:type="dxa"/>
            <w:vAlign w:val="bottom"/>
            <w:vMerge w:val="continue"/>
          </w:tcPr>
          <w:p>
            <w:pPr>
              <w:spacing w:after="0"/>
              <w:rPr>
                <w:sz w:val="17"/>
                <w:szCs w:val="17"/>
                <w:color w:val="auto"/>
              </w:rPr>
            </w:pPr>
          </w:p>
        </w:tc>
        <w:tc>
          <w:tcPr>
            <w:tcW w:w="39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Elizabeth Uribe</w:t>
            </w:r>
          </w:p>
        </w:tc>
        <w:tc>
          <w:tcPr>
            <w:tcW w:w="0" w:type="dxa"/>
            <w:vAlign w:val="bottom"/>
          </w:tcPr>
          <w:p>
            <w:pPr>
              <w:spacing w:after="0"/>
              <w:rPr>
                <w:sz w:val="1"/>
                <w:szCs w:val="1"/>
                <w:color w:val="auto"/>
              </w:rPr>
            </w:pP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Assistant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Avnet,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8" w:name="page39"/>
    <w:bookmarkEnd w:id="38"/>
    <w:p>
      <w:pPr>
        <w:ind w:left="4140"/>
        <w:spacing w:after="0"/>
        <w:rPr>
          <w:sz w:val="20"/>
          <w:szCs w:val="20"/>
          <w:color w:val="auto"/>
        </w:rPr>
      </w:pPr>
      <w:r>
        <w:rPr>
          <w:rFonts w:ascii="Times New Roman" w:cs="Times New Roman" w:eastAsia="Times New Roman" w:hAnsi="Times New Roman"/>
          <w:sz w:val="20"/>
          <w:szCs w:val="20"/>
          <w:b w:val="1"/>
          <w:bCs w:val="1"/>
          <w:u w:val="single" w:color="auto"/>
          <w:color w:val="auto"/>
        </w:rPr>
        <w:t>LENDERS:</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an L/C Issuer, Swing</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Line Lender and a Lender</w:t>
      </w:r>
    </w:p>
    <w:p>
      <w:pPr>
        <w:spacing w:after="0" w:line="207" w:lineRule="exact"/>
        <w:rPr>
          <w:sz w:val="20"/>
          <w:szCs w:val="20"/>
          <w:color w:val="auto"/>
        </w:rPr>
      </w:pPr>
    </w:p>
    <w:tbl>
      <w:tblPr>
        <w:tblLayout w:type="fixed"/>
        <w:tblInd w:w="41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Carlos A. Delgado Robledo</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02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Carlos A. Delgado Robledo</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0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9" w:name="page40"/>
    <w:bookmarkEnd w:id="39"/>
    <w:p>
      <w:pPr>
        <w:ind w:left="4200"/>
        <w:spacing w:after="0"/>
        <w:rPr>
          <w:sz w:val="20"/>
          <w:szCs w:val="20"/>
          <w:color w:val="auto"/>
        </w:rPr>
      </w:pPr>
      <w:r>
        <w:rPr>
          <w:rFonts w:ascii="Times New Roman" w:cs="Times New Roman" w:eastAsia="Times New Roman" w:hAnsi="Times New Roman"/>
          <w:sz w:val="20"/>
          <w:szCs w:val="20"/>
          <w:b w:val="1"/>
          <w:bCs w:val="1"/>
          <w:color w:val="auto"/>
        </w:rPr>
        <w:t>BNP PARIBAS</w:t>
      </w:r>
      <w:r>
        <w:rPr>
          <w:rFonts w:ascii="Times New Roman" w:cs="Times New Roman" w:eastAsia="Times New Roman" w:hAnsi="Times New Roman"/>
          <w:sz w:val="20"/>
          <w:szCs w:val="20"/>
          <w:color w:val="auto"/>
        </w:rPr>
        <w:t>, as an L/C Issuer and a Lender</w:t>
      </w:r>
    </w:p>
    <w:p>
      <w:pPr>
        <w:spacing w:after="0" w:line="200" w:lineRule="exact"/>
        <w:rPr>
          <w:sz w:val="20"/>
          <w:szCs w:val="20"/>
          <w:color w:val="auto"/>
        </w:rPr>
      </w:pPr>
    </w:p>
    <w:p>
      <w:pPr>
        <w:spacing w:after="0" w:line="262" w:lineRule="exact"/>
        <w:rPr>
          <w:sz w:val="20"/>
          <w:szCs w:val="20"/>
          <w:color w:val="auto"/>
        </w:rPr>
      </w:pPr>
    </w:p>
    <w:tbl>
      <w:tblPr>
        <w:tblLayout w:type="fixed"/>
        <w:tblInd w:w="42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Maria Muli</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2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Maria Muli</w:t>
            </w: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r>
        <w:trPr>
          <w:trHeight w:val="4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Michael Kowalczuk</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2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Michael Kowalczuk</w:t>
            </w: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Avnet,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0" w:name="page41"/>
    <w:bookmarkEnd w:id="40"/>
    <w:p>
      <w:pPr>
        <w:ind w:left="418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an L/C Issuer</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and a Lender</w:t>
      </w:r>
    </w:p>
    <w:p>
      <w:pPr>
        <w:spacing w:after="0" w:line="200" w:lineRule="exact"/>
        <w:rPr>
          <w:sz w:val="20"/>
          <w:szCs w:val="20"/>
          <w:color w:val="auto"/>
        </w:rPr>
      </w:pPr>
    </w:p>
    <w:p>
      <w:pPr>
        <w:spacing w:after="0" w:line="23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Ryan Zimmerman</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39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Ryan Zimmerman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Avnet,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1" w:name="page42"/>
    <w:bookmarkEnd w:id="41"/>
    <w:p>
      <w:pPr>
        <w:ind w:left="4180"/>
        <w:spacing w:after="0"/>
        <w:rPr>
          <w:sz w:val="20"/>
          <w:szCs w:val="20"/>
          <w:color w:val="auto"/>
        </w:rPr>
      </w:pPr>
      <w:r>
        <w:rPr>
          <w:rFonts w:ascii="Times New Roman" w:cs="Times New Roman" w:eastAsia="Times New Roman" w:hAnsi="Times New Roman"/>
          <w:sz w:val="20"/>
          <w:szCs w:val="20"/>
          <w:b w:val="1"/>
          <w:bCs w:val="1"/>
          <w:color w:val="auto"/>
        </w:rPr>
        <w:t xml:space="preserve">TRUIST BANK, </w:t>
      </w:r>
      <w:r>
        <w:rPr>
          <w:rFonts w:ascii="Times New Roman" w:cs="Times New Roman" w:eastAsia="Times New Roman" w:hAnsi="Times New Roman"/>
          <w:sz w:val="20"/>
          <w:szCs w:val="20"/>
          <w:color w:val="auto"/>
        </w:rPr>
        <w:t>as an L/C Issuer and a Lender</w:t>
      </w:r>
    </w:p>
    <w:p>
      <w:pPr>
        <w:spacing w:after="0" w:line="200" w:lineRule="exact"/>
        <w:rPr>
          <w:sz w:val="20"/>
          <w:szCs w:val="20"/>
          <w:color w:val="auto"/>
        </w:rPr>
      </w:pPr>
    </w:p>
    <w:p>
      <w:pPr>
        <w:spacing w:after="0" w:line="262"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Alfonso Brigham</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39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Alfonso Brigham</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Avnet,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2" w:name="page43"/>
    <w:bookmarkEnd w:id="42"/>
    <w:p>
      <w:pPr>
        <w:ind w:left="4180"/>
        <w:spacing w:after="0"/>
        <w:rPr>
          <w:sz w:val="20"/>
          <w:szCs w:val="20"/>
          <w:color w:val="auto"/>
        </w:rPr>
      </w:pPr>
      <w:r>
        <w:rPr>
          <w:rFonts w:ascii="Times New Roman" w:cs="Times New Roman" w:eastAsia="Times New Roman" w:hAnsi="Times New Roman"/>
          <w:sz w:val="20"/>
          <w:szCs w:val="20"/>
          <w:b w:val="1"/>
          <w:bCs w:val="1"/>
          <w:color w:val="auto"/>
        </w:rPr>
        <w:t xml:space="preserve">MUFG BANK, LTD, </w:t>
      </w:r>
      <w:r>
        <w:rPr>
          <w:rFonts w:ascii="Times New Roman" w:cs="Times New Roman" w:eastAsia="Times New Roman" w:hAnsi="Times New Roman"/>
          <w:sz w:val="20"/>
          <w:szCs w:val="20"/>
          <w:color w:val="auto"/>
        </w:rPr>
        <w:t>as an L/C Issuer and a Lender</w:t>
      </w:r>
    </w:p>
    <w:p>
      <w:pPr>
        <w:spacing w:after="0" w:line="200" w:lineRule="exact"/>
        <w:rPr>
          <w:sz w:val="20"/>
          <w:szCs w:val="20"/>
          <w:color w:val="auto"/>
        </w:rPr>
      </w:pPr>
    </w:p>
    <w:p>
      <w:pPr>
        <w:spacing w:after="0" w:line="262"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Thomas E. Lane</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39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Thomas E. Lane</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Avnet,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3" w:name="page44"/>
    <w:bookmarkEnd w:id="43"/>
    <w:p>
      <w:pPr>
        <w:ind w:left="4180"/>
        <w:spacing w:after="0"/>
        <w:rPr>
          <w:sz w:val="20"/>
          <w:szCs w:val="20"/>
          <w:color w:val="auto"/>
        </w:rPr>
      </w:pPr>
      <w:r>
        <w:rPr>
          <w:rFonts w:ascii="Times New Roman" w:cs="Times New Roman" w:eastAsia="Times New Roman" w:hAnsi="Times New Roman"/>
          <w:sz w:val="20"/>
          <w:szCs w:val="20"/>
          <w:b w:val="1"/>
          <w:bCs w:val="1"/>
          <w:color w:val="auto"/>
        </w:rPr>
        <w:t xml:space="preserve">THE BANK OF NOVA SCOTIA, </w:t>
      </w:r>
      <w:r>
        <w:rPr>
          <w:rFonts w:ascii="Times New Roman" w:cs="Times New Roman" w:eastAsia="Times New Roman" w:hAnsi="Times New Roman"/>
          <w:sz w:val="20"/>
          <w:szCs w:val="20"/>
          <w:color w:val="auto"/>
        </w:rPr>
        <w:t>as an L/C Issuer</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and a Lender</w:t>
      </w:r>
    </w:p>
    <w:p>
      <w:pPr>
        <w:spacing w:after="0" w:line="200" w:lineRule="exact"/>
        <w:rPr>
          <w:sz w:val="20"/>
          <w:szCs w:val="20"/>
          <w:color w:val="auto"/>
        </w:rPr>
      </w:pPr>
    </w:p>
    <w:p>
      <w:pPr>
        <w:spacing w:after="0" w:line="23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Yvonne Bai</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39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Yvonne Bai</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Avnet,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4" w:name="page45"/>
    <w:bookmarkEnd w:id="44"/>
    <w:p>
      <w:pPr>
        <w:ind w:left="4200"/>
        <w:spacing w:after="0"/>
        <w:rPr>
          <w:sz w:val="20"/>
          <w:szCs w:val="20"/>
          <w:color w:val="auto"/>
        </w:rPr>
      </w:pPr>
      <w:r>
        <w:rPr>
          <w:rFonts w:ascii="Times New Roman" w:cs="Times New Roman" w:eastAsia="Times New Roman" w:hAnsi="Times New Roman"/>
          <w:sz w:val="20"/>
          <w:szCs w:val="20"/>
          <w:b w:val="1"/>
          <w:bCs w:val="1"/>
          <w:color w:val="auto"/>
        </w:rPr>
        <w:t>BANCO SANTANDER, S.A., NEW YORK BRANCH</w:t>
      </w:r>
      <w:r>
        <w:rPr>
          <w:rFonts w:ascii="Times New Roman" w:cs="Times New Roman" w:eastAsia="Times New Roman" w:hAnsi="Times New Roman"/>
          <w:sz w:val="20"/>
          <w:szCs w:val="20"/>
          <w:color w:val="auto"/>
        </w:rPr>
        <w:t>, as a</w:t>
      </w: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520" w:type="dxa"/>
            <w:vAlign w:val="bottom"/>
          </w:tcPr>
          <w:p>
            <w:pPr>
              <w:ind w:left="3900"/>
              <w:spacing w:after="0"/>
              <w:rPr>
                <w:sz w:val="20"/>
                <w:szCs w:val="20"/>
                <w:color w:val="auto"/>
              </w:rPr>
            </w:pPr>
            <w:r>
              <w:rPr>
                <w:rFonts w:ascii="Times New Roman" w:cs="Times New Roman" w:eastAsia="Times New Roman" w:hAnsi="Times New Roman"/>
                <w:sz w:val="20"/>
                <w:szCs w:val="20"/>
                <w:color w:val="auto"/>
              </w:rPr>
              <w:t>Lender</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520" w:type="dxa"/>
            <w:vAlign w:val="bottom"/>
          </w:tcPr>
          <w:p>
            <w:pPr>
              <w:ind w:left="3900"/>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Zara Kamal</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3900"/>
              <w:spacing w:after="0"/>
              <w:rPr>
                <w:sz w:val="20"/>
                <w:szCs w:val="20"/>
                <w:color w:val="auto"/>
              </w:rPr>
            </w:pPr>
            <w:r>
              <w:rPr>
                <w:rFonts w:ascii="Times New Roman" w:cs="Times New Roman" w:eastAsia="Times New Roman" w:hAnsi="Times New Roman"/>
                <w:sz w:val="20"/>
                <w:szCs w:val="20"/>
                <w:color w:val="auto"/>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520" w:type="dxa"/>
            <w:vAlign w:val="bottom"/>
            <w:vMerge w:val="continue"/>
          </w:tcPr>
          <w:p>
            <w:pPr>
              <w:spacing w:after="0"/>
              <w:rPr>
                <w:sz w:val="17"/>
                <w:szCs w:val="17"/>
                <w:color w:val="auto"/>
              </w:rPr>
            </w:pPr>
          </w:p>
        </w:tc>
        <w:tc>
          <w:tcPr>
            <w:tcW w:w="45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Zara Kamal</w:t>
            </w:r>
          </w:p>
        </w:tc>
        <w:tc>
          <w:tcPr>
            <w:tcW w:w="0" w:type="dxa"/>
            <w:vAlign w:val="bottom"/>
          </w:tcPr>
          <w:p>
            <w:pPr>
              <w:spacing w:after="0"/>
              <w:rPr>
                <w:sz w:val="1"/>
                <w:szCs w:val="1"/>
                <w:color w:val="auto"/>
              </w:rPr>
            </w:pPr>
          </w:p>
        </w:tc>
      </w:tr>
      <w:tr>
        <w:trPr>
          <w:trHeight w:val="258"/>
        </w:trPr>
        <w:tc>
          <w:tcPr>
            <w:tcW w:w="4520" w:type="dxa"/>
            <w:vAlign w:val="bottom"/>
          </w:tcPr>
          <w:p>
            <w:pPr>
              <w:ind w:left="3900"/>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Director</w:t>
            </w:r>
          </w:p>
        </w:tc>
        <w:tc>
          <w:tcPr>
            <w:tcW w:w="0" w:type="dxa"/>
            <w:vAlign w:val="bottom"/>
          </w:tcPr>
          <w:p>
            <w:pPr>
              <w:spacing w:after="0"/>
              <w:rPr>
                <w:sz w:val="1"/>
                <w:szCs w:val="1"/>
                <w:color w:val="auto"/>
              </w:rPr>
            </w:pPr>
          </w:p>
        </w:tc>
      </w:tr>
      <w:tr>
        <w:trPr>
          <w:trHeight w:val="430"/>
        </w:trPr>
        <w:tc>
          <w:tcPr>
            <w:tcW w:w="4520" w:type="dxa"/>
            <w:vAlign w:val="bottom"/>
          </w:tcPr>
          <w:p>
            <w:pPr>
              <w:ind w:left="3900"/>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Daniel Kostman</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3900"/>
              <w:spacing w:after="0"/>
              <w:rPr>
                <w:sz w:val="20"/>
                <w:szCs w:val="20"/>
                <w:color w:val="auto"/>
              </w:rPr>
            </w:pPr>
            <w:r>
              <w:rPr>
                <w:rFonts w:ascii="Times New Roman" w:cs="Times New Roman" w:eastAsia="Times New Roman" w:hAnsi="Times New Roman"/>
                <w:sz w:val="20"/>
                <w:szCs w:val="20"/>
                <w:color w:val="auto"/>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520" w:type="dxa"/>
            <w:vAlign w:val="bottom"/>
            <w:vMerge w:val="continue"/>
          </w:tcPr>
          <w:p>
            <w:pPr>
              <w:spacing w:after="0"/>
              <w:rPr>
                <w:sz w:val="17"/>
                <w:szCs w:val="17"/>
                <w:color w:val="auto"/>
              </w:rPr>
            </w:pPr>
          </w:p>
        </w:tc>
        <w:tc>
          <w:tcPr>
            <w:tcW w:w="45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Daniel Kostman</w:t>
            </w:r>
          </w:p>
        </w:tc>
        <w:tc>
          <w:tcPr>
            <w:tcW w:w="0" w:type="dxa"/>
            <w:vAlign w:val="bottom"/>
          </w:tcPr>
          <w:p>
            <w:pPr>
              <w:spacing w:after="0"/>
              <w:rPr>
                <w:sz w:val="1"/>
                <w:szCs w:val="1"/>
                <w:color w:val="auto"/>
              </w:rPr>
            </w:pPr>
          </w:p>
        </w:tc>
      </w:tr>
      <w:tr>
        <w:trPr>
          <w:trHeight w:val="258"/>
        </w:trPr>
        <w:tc>
          <w:tcPr>
            <w:tcW w:w="4520" w:type="dxa"/>
            <w:vAlign w:val="bottom"/>
          </w:tcPr>
          <w:p>
            <w:pPr>
              <w:ind w:left="3900"/>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380"/>
          </w:cols>
          <w:pgMar w:left="1440" w:top="896" w:right="1079" w:bottom="1440" w:gutter="0" w:footer="0" w:header="0"/>
        </w:sectPr>
      </w:pPr>
    </w:p>
    <w:bookmarkStart w:id="45" w:name="page46"/>
    <w:bookmarkEnd w:id="45"/>
    <w:p>
      <w:pPr>
        <w:ind w:left="4180"/>
        <w:spacing w:after="0"/>
        <w:rPr>
          <w:sz w:val="20"/>
          <w:szCs w:val="20"/>
          <w:color w:val="auto"/>
        </w:rPr>
      </w:pPr>
      <w:r>
        <w:rPr>
          <w:rFonts w:ascii="Times New Roman" w:cs="Times New Roman" w:eastAsia="Times New Roman" w:hAnsi="Times New Roman"/>
          <w:sz w:val="20"/>
          <w:szCs w:val="20"/>
          <w:b w:val="1"/>
          <w:bCs w:val="1"/>
          <w:color w:val="auto"/>
        </w:rPr>
        <w:t>BANK OF CHINA, LOS ANGELES BRANCH</w:t>
      </w:r>
      <w:r>
        <w:rPr>
          <w:rFonts w:ascii="Times New Roman" w:cs="Times New Roman" w:eastAsia="Times New Roman" w:hAnsi="Times New Roman"/>
          <w:sz w:val="20"/>
          <w:szCs w:val="20"/>
          <w:color w:val="auto"/>
        </w:rPr>
        <w:t>, as a</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Lender</w:t>
      </w:r>
    </w:p>
    <w:p>
      <w:pPr>
        <w:spacing w:after="0" w:line="200" w:lineRule="exact"/>
        <w:rPr>
          <w:sz w:val="20"/>
          <w:szCs w:val="20"/>
          <w:color w:val="auto"/>
        </w:rPr>
      </w:pPr>
    </w:p>
    <w:p>
      <w:pPr>
        <w:spacing w:after="0" w:line="23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Peng Li</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06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Peng Li</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0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SVP &amp; Branch 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41" w:right="1440" w:bottom="1440" w:gutter="0" w:footer="0" w:header="0"/>
        </w:sectPr>
      </w:pPr>
    </w:p>
    <w:bookmarkStart w:id="46" w:name="page47"/>
    <w:bookmarkEnd w:id="46"/>
    <w:p>
      <w:pPr>
        <w:ind w:left="4200" w:right="29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COMMERZBANK AG, NEW YORK BRANCH,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w:t>
      </w:r>
    </w:p>
    <w:p>
      <w:pPr>
        <w:spacing w:after="0" w:line="169" w:lineRule="exact"/>
        <w:rPr>
          <w:sz w:val="20"/>
          <w:szCs w:val="20"/>
          <w:color w:val="auto"/>
        </w:rPr>
      </w:pPr>
    </w:p>
    <w:tbl>
      <w:tblPr>
        <w:tblLayout w:type="fixed"/>
        <w:tblInd w:w="42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Maurice Kiefer</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20" w:type="dxa"/>
            <w:vAlign w:val="bottom"/>
            <w:vMerge w:val="continue"/>
          </w:tcPr>
          <w:p>
            <w:pPr>
              <w:spacing w:after="0"/>
              <w:rPr>
                <w:sz w:val="17"/>
                <w:szCs w:val="17"/>
                <w:color w:val="auto"/>
              </w:rPr>
            </w:pPr>
          </w:p>
        </w:tc>
        <w:tc>
          <w:tcPr>
            <w:tcW w:w="41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Maurice Kiefer</w:t>
            </w: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4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Jeff Sullivan</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20" w:type="dxa"/>
            <w:vAlign w:val="bottom"/>
            <w:vMerge w:val="continue"/>
          </w:tcPr>
          <w:p>
            <w:pPr>
              <w:spacing w:after="0"/>
              <w:rPr>
                <w:sz w:val="17"/>
                <w:szCs w:val="17"/>
                <w:color w:val="auto"/>
              </w:rPr>
            </w:pPr>
          </w:p>
        </w:tc>
        <w:tc>
          <w:tcPr>
            <w:tcW w:w="414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Jeff Sullivan</w:t>
            </w: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41" w:right="1440" w:bottom="1440" w:gutter="0" w:footer="0" w:header="0"/>
        </w:sectPr>
      </w:pPr>
    </w:p>
    <w:bookmarkStart w:id="47" w:name="page48"/>
    <w:bookmarkEnd w:id="47"/>
    <w:p>
      <w:pPr>
        <w:ind w:left="4180"/>
        <w:spacing w:after="0"/>
        <w:rPr>
          <w:sz w:val="20"/>
          <w:szCs w:val="20"/>
          <w:color w:val="auto"/>
        </w:rPr>
      </w:pPr>
      <w:r>
        <w:rPr>
          <w:rFonts w:ascii="Times New Roman" w:cs="Times New Roman" w:eastAsia="Times New Roman" w:hAnsi="Times New Roman"/>
          <w:sz w:val="20"/>
          <w:szCs w:val="20"/>
          <w:b w:val="1"/>
          <w:bCs w:val="1"/>
          <w:color w:val="auto"/>
        </w:rPr>
        <w:t>DBS BANK LTD.</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2"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Lim Sok Hoon</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06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Lim Sok Hoon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0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Assistant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41" w:right="1440" w:bottom="1440" w:gutter="0" w:footer="0" w:header="0"/>
        </w:sectPr>
      </w:pPr>
    </w:p>
    <w:bookmarkStart w:id="48" w:name="page49"/>
    <w:bookmarkEnd w:id="48"/>
    <w:p>
      <w:pPr>
        <w:ind w:left="4180"/>
        <w:spacing w:after="0"/>
        <w:rPr>
          <w:sz w:val="20"/>
          <w:szCs w:val="20"/>
          <w:color w:val="auto"/>
        </w:rPr>
      </w:pPr>
      <w:r>
        <w:rPr>
          <w:rFonts w:ascii="Times New Roman" w:cs="Times New Roman" w:eastAsia="Times New Roman" w:hAnsi="Times New Roman"/>
          <w:sz w:val="20"/>
          <w:szCs w:val="20"/>
          <w:b w:val="1"/>
          <w:bCs w:val="1"/>
          <w:color w:val="auto"/>
        </w:rPr>
        <w:t>KEYBANK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2"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John R. Macks</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John R. Macks</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120"/>
          </w:cols>
          <w:pgMar w:left="1440" w:top="1341" w:right="1339" w:bottom="1440" w:gutter="0" w:footer="0" w:header="0"/>
        </w:sectPr>
      </w:pPr>
    </w:p>
    <w:bookmarkStart w:id="49" w:name="page50"/>
    <w:bookmarkEnd w:id="49"/>
    <w:p>
      <w:pPr>
        <w:ind w:left="4180" w:right="300"/>
        <w:spacing w:after="0" w:line="273" w:lineRule="auto"/>
        <w:rPr>
          <w:sz w:val="20"/>
          <w:szCs w:val="20"/>
          <w:color w:val="auto"/>
        </w:rPr>
      </w:pPr>
      <w:r>
        <w:rPr>
          <w:rFonts w:ascii="Times New Roman" w:cs="Times New Roman" w:eastAsia="Times New Roman" w:hAnsi="Times New Roman"/>
          <w:sz w:val="20"/>
          <w:szCs w:val="20"/>
          <w:b w:val="1"/>
          <w:bCs w:val="1"/>
          <w:color w:val="auto"/>
        </w:rPr>
        <w:t>SUMITOMO MITSUI BANKING CORPORATION</w:t>
      </w:r>
      <w:r>
        <w:rPr>
          <w:rFonts w:ascii="Times New Roman" w:cs="Times New Roman" w:eastAsia="Times New Roman" w:hAnsi="Times New Roman"/>
          <w:sz w:val="20"/>
          <w:szCs w:val="20"/>
          <w:color w:val="auto"/>
        </w:rPr>
        <w: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Lender</w:t>
      </w:r>
    </w:p>
    <w:p>
      <w:pPr>
        <w:spacing w:after="0" w:line="398"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Nabeel Shah</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Nabeel Shah</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200"/>
          </w:cols>
          <w:pgMar w:left="1440" w:top="1341" w:right="1259" w:bottom="1440" w:gutter="0" w:footer="0" w:header="0"/>
        </w:sectPr>
      </w:pPr>
    </w:p>
    <w:bookmarkStart w:id="50" w:name="page51"/>
    <w:bookmarkEnd w:id="50"/>
    <w:p>
      <w:pPr>
        <w:ind w:left="4180"/>
        <w:spacing w:after="0"/>
        <w:rPr>
          <w:sz w:val="20"/>
          <w:szCs w:val="20"/>
          <w:color w:val="auto"/>
        </w:rPr>
      </w:pPr>
      <w:r>
        <w:rPr>
          <w:rFonts w:ascii="Times New Roman" w:cs="Times New Roman" w:eastAsia="Times New Roman" w:hAnsi="Times New Roman"/>
          <w:sz w:val="20"/>
          <w:szCs w:val="20"/>
          <w:b w:val="1"/>
          <w:bCs w:val="1"/>
          <w:color w:val="auto"/>
        </w:rPr>
        <w:t>THE TORONTO-DOMINION BANK, NEW YORK</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BRANCH</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36"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David Perlman</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8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David Perlman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Authorized Signatory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200"/>
          </w:cols>
          <w:pgMar w:left="1440" w:top="1341" w:right="1259" w:bottom="1440" w:gutter="0" w:footer="0" w:header="0"/>
        </w:sectPr>
      </w:pPr>
    </w:p>
    <w:bookmarkStart w:id="51" w:name="page52"/>
    <w:bookmarkEnd w:id="51"/>
    <w:p>
      <w:pPr>
        <w:ind w:left="418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2"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Alex Wilson</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Alex Wilson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120"/>
          </w:cols>
          <w:pgMar w:left="1440" w:top="1341" w:right="1339" w:bottom="1440" w:gutter="0" w:footer="0" w:header="0"/>
        </w:sectPr>
      </w:pPr>
    </w:p>
    <w:bookmarkStart w:id="52" w:name="page53"/>
    <w:bookmarkEnd w:id="52"/>
    <w:p>
      <w:pPr>
        <w:ind w:left="4180" w:right="240"/>
        <w:spacing w:after="0" w:line="273" w:lineRule="auto"/>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169"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Matt Milbourn</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Matt Milbourn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120"/>
          </w:cols>
          <w:pgMar w:left="1440" w:top="1341" w:right="1339" w:bottom="1440" w:gutter="0" w:footer="0" w:header="0"/>
        </w:sectPr>
      </w:pPr>
    </w:p>
    <w:bookmarkStart w:id="53" w:name="page54"/>
    <w:bookmarkEnd w:id="53"/>
    <w:p>
      <w:pPr>
        <w:ind w:left="4180"/>
        <w:spacing w:after="0"/>
        <w:rPr>
          <w:sz w:val="20"/>
          <w:szCs w:val="20"/>
          <w:color w:val="auto"/>
        </w:rPr>
      </w:pPr>
      <w:r>
        <w:rPr>
          <w:rFonts w:ascii="Times New Roman" w:cs="Times New Roman" w:eastAsia="Times New Roman" w:hAnsi="Times New Roman"/>
          <w:sz w:val="20"/>
          <w:szCs w:val="20"/>
          <w:b w:val="1"/>
          <w:bCs w:val="1"/>
          <w:color w:val="auto"/>
        </w:rPr>
        <w:t>STANDARD CHARTERED BANK</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2"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Vinai Krishnan</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Vinai Krishnan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120"/>
          </w:cols>
          <w:pgMar w:left="1440" w:top="1341" w:right="1339" w:bottom="1440" w:gutter="0" w:footer="0" w:header="0"/>
        </w:sectPr>
      </w:pPr>
    </w:p>
    <w:bookmarkStart w:id="54" w:name="page55"/>
    <w:bookmarkEnd w:id="54"/>
    <w:p>
      <w:pPr>
        <w:ind w:left="4200" w:right="3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BAYERISCHE LANDESBANK, NEW YORK BRANCH, </w:t>
      </w:r>
      <w:r>
        <w:rPr>
          <w:rFonts w:ascii="Times New Roman" w:cs="Times New Roman" w:eastAsia="Times New Roman" w:hAnsi="Times New Roman"/>
          <w:sz w:val="20"/>
          <w:szCs w:val="20"/>
          <w:color w:val="auto"/>
        </w:rPr>
        <w:t>as a Lender</w:t>
      </w:r>
    </w:p>
    <w:p>
      <w:pPr>
        <w:spacing w:after="0" w:line="398" w:lineRule="exact"/>
        <w:rPr>
          <w:sz w:val="20"/>
          <w:szCs w:val="20"/>
          <w:color w:val="auto"/>
        </w:rPr>
      </w:pPr>
    </w:p>
    <w:tbl>
      <w:tblPr>
        <w:tblLayout w:type="fixed"/>
        <w:tblInd w:w="42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Rolf Siebert</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20" w:type="dxa"/>
            <w:vAlign w:val="bottom"/>
            <w:vMerge w:val="continue"/>
          </w:tcPr>
          <w:p>
            <w:pPr>
              <w:spacing w:after="0"/>
              <w:rPr>
                <w:sz w:val="17"/>
                <w:szCs w:val="17"/>
                <w:color w:val="auto"/>
              </w:rPr>
            </w:pPr>
          </w:p>
        </w:tc>
        <w:tc>
          <w:tcPr>
            <w:tcW w:w="45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Rolf Siebert</w:t>
            </w: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Director</w:t>
            </w:r>
          </w:p>
        </w:tc>
        <w:tc>
          <w:tcPr>
            <w:tcW w:w="0" w:type="dxa"/>
            <w:vAlign w:val="bottom"/>
          </w:tcPr>
          <w:p>
            <w:pPr>
              <w:spacing w:after="0"/>
              <w:rPr>
                <w:sz w:val="1"/>
                <w:szCs w:val="1"/>
                <w:color w:val="auto"/>
              </w:rPr>
            </w:pPr>
          </w:p>
        </w:tc>
      </w:tr>
      <w:tr>
        <w:trPr>
          <w:trHeight w:val="4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Elke Videgain</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20" w:type="dxa"/>
            <w:vAlign w:val="bottom"/>
            <w:vMerge w:val="continue"/>
          </w:tcPr>
          <w:p>
            <w:pPr>
              <w:spacing w:after="0"/>
              <w:rPr>
                <w:sz w:val="17"/>
                <w:szCs w:val="17"/>
                <w:color w:val="auto"/>
              </w:rPr>
            </w:pPr>
          </w:p>
        </w:tc>
        <w:tc>
          <w:tcPr>
            <w:tcW w:w="45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Elke Videgain</w:t>
            </w:r>
          </w:p>
        </w:tc>
        <w:tc>
          <w:tcPr>
            <w:tcW w:w="0" w:type="dxa"/>
            <w:vAlign w:val="bottom"/>
          </w:tcPr>
          <w:p>
            <w:pPr>
              <w:spacing w:after="0"/>
              <w:rPr>
                <w:sz w:val="1"/>
                <w:szCs w:val="1"/>
                <w:color w:val="auto"/>
              </w:rPr>
            </w:pP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380"/>
          </w:cols>
          <w:pgMar w:left="1440" w:top="896" w:right="1079" w:bottom="1440" w:gutter="0" w:footer="0" w:header="0"/>
        </w:sectPr>
      </w:pPr>
    </w:p>
    <w:bookmarkStart w:id="55" w:name="page56"/>
    <w:bookmarkEnd w:id="55"/>
    <w:p>
      <w:pPr>
        <w:ind w:left="4180"/>
        <w:spacing w:after="0"/>
        <w:rPr>
          <w:sz w:val="20"/>
          <w:szCs w:val="20"/>
          <w:color w:val="auto"/>
        </w:rPr>
      </w:pPr>
      <w:r>
        <w:rPr>
          <w:rFonts w:ascii="Times New Roman" w:cs="Times New Roman" w:eastAsia="Times New Roman" w:hAnsi="Times New Roman"/>
          <w:sz w:val="20"/>
          <w:szCs w:val="20"/>
          <w:b w:val="1"/>
          <w:bCs w:val="1"/>
          <w:color w:val="auto"/>
        </w:rPr>
        <w:t>OVERSEA-CHINESE BANKING CORPORATION</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 xml:space="preserve">LIMITED, NEW YORK AGENCY, </w:t>
      </w:r>
      <w:r>
        <w:rPr>
          <w:rFonts w:ascii="Times New Roman" w:cs="Times New Roman" w:eastAsia="Times New Roman" w:hAnsi="Times New Roman"/>
          <w:sz w:val="20"/>
          <w:szCs w:val="20"/>
          <w:color w:val="auto"/>
        </w:rPr>
        <w:t>as a New Lender</w:t>
      </w:r>
    </w:p>
    <w:p>
      <w:pPr>
        <w:spacing w:after="0" w:line="207"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 Grace Sun</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4300" w:type="dxa"/>
            <w:vAlign w:val="bottom"/>
          </w:tcPr>
          <w:p>
            <w:pPr>
              <w:ind w:left="80"/>
              <w:spacing w:after="0" w:line="200" w:lineRule="exact"/>
              <w:rPr>
                <w:sz w:val="20"/>
                <w:szCs w:val="20"/>
                <w:color w:val="auto"/>
              </w:rPr>
            </w:pPr>
            <w:r>
              <w:rPr>
                <w:rFonts w:ascii="Times New Roman" w:cs="Times New Roman" w:eastAsia="Times New Roman" w:hAnsi="Times New Roman"/>
                <w:sz w:val="20"/>
                <w:szCs w:val="20"/>
                <w:color w:val="auto"/>
              </w:rPr>
              <w:t>Grace Sun</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Avnet, Inc.</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Amendment No. 2 to Third Amended and Restated Credit Agreement</w:t>
      </w: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120"/>
          </w:cols>
          <w:pgMar w:left="1440" w:top="896" w:right="1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I</w:t>
      </w:r>
    </w:p>
    <w:p>
      <w:pPr>
        <w:spacing w:after="0" w:line="249"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1700" w:type="dxa"/>
            <w:vAlign w:val="bottom"/>
            <w:tcBorders>
              <w:top w:val="single" w:sz="8" w:color="auto"/>
              <w:right w:val="single" w:sz="8" w:color="auto"/>
            </w:tcBorders>
            <w:shd w:val="clear" w:color="auto" w:fill="D9D9D9"/>
          </w:tcPr>
          <w:p>
            <w:pPr>
              <w:spacing w:after="0"/>
              <w:rPr>
                <w:sz w:val="19"/>
                <w:szCs w:val="19"/>
                <w:color w:val="auto"/>
              </w:rPr>
            </w:pPr>
          </w:p>
        </w:tc>
        <w:tc>
          <w:tcPr>
            <w:tcW w:w="17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2026</w:t>
            </w:r>
          </w:p>
        </w:tc>
        <w:tc>
          <w:tcPr>
            <w:tcW w:w="0" w:type="dxa"/>
            <w:vAlign w:val="bottom"/>
          </w:tcPr>
          <w:p>
            <w:pPr>
              <w:spacing w:after="0"/>
              <w:rPr>
                <w:sz w:val="1"/>
                <w:szCs w:val="1"/>
                <w:color w:val="auto"/>
              </w:rPr>
            </w:pPr>
          </w:p>
        </w:tc>
      </w:tr>
      <w:tr>
        <w:trPr>
          <w:trHeight w:val="230"/>
        </w:trPr>
        <w:tc>
          <w:tcPr>
            <w:tcW w:w="4600" w:type="dxa"/>
            <w:vAlign w:val="bottom"/>
            <w:tcBorders>
              <w:left w:val="single" w:sz="8" w:color="auto"/>
              <w:right w:val="single" w:sz="8" w:color="auto"/>
            </w:tcBorders>
            <w:shd w:val="clear" w:color="auto" w:fill="D9D9D9"/>
          </w:tcPr>
          <w:p>
            <w:pPr>
              <w:spacing w:after="0"/>
              <w:rPr>
                <w:sz w:val="19"/>
                <w:szCs w:val="19"/>
                <w:color w:val="auto"/>
              </w:rPr>
            </w:pPr>
          </w:p>
        </w:tc>
        <w:tc>
          <w:tcPr>
            <w:tcW w:w="1700" w:type="dxa"/>
            <w:vAlign w:val="bottom"/>
            <w:tcBorders>
              <w:right w:val="single" w:sz="8" w:color="auto"/>
            </w:tcBorders>
            <w:shd w:val="clear" w:color="auto" w:fill="D9D9D9"/>
          </w:tcPr>
          <w:p>
            <w:pPr>
              <w:spacing w:after="0"/>
              <w:rPr>
                <w:sz w:val="19"/>
                <w:szCs w:val="19"/>
                <w:color w:val="auto"/>
              </w:rPr>
            </w:pPr>
          </w:p>
        </w:tc>
        <w:tc>
          <w:tcPr>
            <w:tcW w:w="1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0" w:type="dxa"/>
            <w:vAlign w:val="bottom"/>
          </w:tcPr>
          <w:p>
            <w:pPr>
              <w:spacing w:after="0"/>
              <w:rPr>
                <w:sz w:val="1"/>
                <w:szCs w:val="1"/>
                <w:color w:val="auto"/>
              </w:rPr>
            </w:pPr>
          </w:p>
        </w:tc>
      </w:tr>
      <w:tr>
        <w:trPr>
          <w:trHeight w:val="243"/>
        </w:trPr>
        <w:tc>
          <w:tcPr>
            <w:tcW w:w="4600" w:type="dxa"/>
            <w:vAlign w:val="bottom"/>
            <w:tcBorders>
              <w:left w:val="single" w:sz="8" w:color="auto"/>
              <w:right w:val="single" w:sz="8" w:color="auto"/>
            </w:tcBorders>
            <w:vMerge w:val="restart"/>
            <w:shd w:val="clear" w:color="auto" w:fill="D9D9D9"/>
          </w:tcPr>
          <w:p>
            <w:pPr>
              <w:ind w:left="1520"/>
              <w:spacing w:after="0"/>
              <w:rPr>
                <w:sz w:val="20"/>
                <w:szCs w:val="20"/>
                <w:color w:val="auto"/>
              </w:rPr>
            </w:pPr>
            <w:r>
              <w:rPr>
                <w:rFonts w:ascii="Times New Roman" w:cs="Times New Roman" w:eastAsia="Times New Roman" w:hAnsi="Times New Roman"/>
                <w:sz w:val="20"/>
                <w:szCs w:val="20"/>
                <w:b w:val="1"/>
                <w:bCs w:val="1"/>
                <w:color w:val="auto"/>
              </w:rPr>
              <w:t>Increasing Lender</w:t>
            </w:r>
          </w:p>
        </w:tc>
        <w:tc>
          <w:tcPr>
            <w:tcW w:w="1700" w:type="dxa"/>
            <w:vAlign w:val="bottom"/>
            <w:tcBorders>
              <w:right w:val="single" w:sz="8" w:color="auto"/>
            </w:tcBorders>
            <w:shd w:val="clear" w:color="auto" w:fill="D9D9D9"/>
          </w:tcPr>
          <w:p>
            <w:pPr>
              <w:ind w:left="380"/>
              <w:spacing w:after="0"/>
              <w:rPr>
                <w:sz w:val="20"/>
                <w:szCs w:val="20"/>
                <w:color w:val="auto"/>
              </w:rPr>
            </w:pPr>
            <w:r>
              <w:rPr>
                <w:rFonts w:ascii="Times New Roman" w:cs="Times New Roman" w:eastAsia="Times New Roman" w:hAnsi="Times New Roman"/>
                <w:sz w:val="20"/>
                <w:szCs w:val="20"/>
                <w:b w:val="1"/>
                <w:bCs w:val="1"/>
                <w:color w:val="auto"/>
              </w:rPr>
              <w:t>Increase in</w:t>
            </w:r>
          </w:p>
        </w:tc>
        <w:tc>
          <w:tcPr>
            <w:tcW w:w="1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Increase</w:t>
            </w:r>
          </w:p>
        </w:tc>
        <w:tc>
          <w:tcPr>
            <w:tcW w:w="0" w:type="dxa"/>
            <w:vAlign w:val="bottom"/>
          </w:tcPr>
          <w:p>
            <w:pPr>
              <w:spacing w:after="0"/>
              <w:rPr>
                <w:sz w:val="1"/>
                <w:szCs w:val="1"/>
                <w:color w:val="auto"/>
              </w:rPr>
            </w:pPr>
          </w:p>
        </w:tc>
      </w:tr>
      <w:tr>
        <w:trPr>
          <w:trHeight w:val="256"/>
        </w:trPr>
        <w:tc>
          <w:tcPr>
            <w:tcW w:w="4600" w:type="dxa"/>
            <w:vAlign w:val="bottom"/>
            <w:tcBorders>
              <w:left w:val="single" w:sz="8" w:color="auto"/>
              <w:bottom w:val="single" w:sz="8" w:color="auto"/>
              <w:right w:val="single" w:sz="8" w:color="auto"/>
            </w:tcBorders>
            <w:vMerge w:val="continue"/>
            <w:shd w:val="clear" w:color="auto" w:fill="D9D9D9"/>
          </w:tcPr>
          <w:p>
            <w:pPr>
              <w:spacing w:after="0"/>
              <w:rPr>
                <w:sz w:val="22"/>
                <w:szCs w:val="22"/>
                <w:color w:val="auto"/>
              </w:rPr>
            </w:pPr>
          </w:p>
        </w:tc>
        <w:tc>
          <w:tcPr>
            <w:tcW w:w="1700" w:type="dxa"/>
            <w:vAlign w:val="bottom"/>
            <w:tcBorders>
              <w:bottom w:val="single" w:sz="8" w:color="auto"/>
              <w:right w:val="single" w:sz="8" w:color="auto"/>
            </w:tcBorders>
            <w:shd w:val="clear" w:color="auto" w:fill="D9D9D9"/>
          </w:tcPr>
          <w:p>
            <w:pPr>
              <w:ind w:left="280"/>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1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America, 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5.200000000%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BNP Paribas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5.200000000%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JPMorgan Chase Bank, 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5.200000000%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MUFG Bank, Ltd.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5.200000000%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Bank of Nova Scotia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5.200000000%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Truist Bank</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5.200000000%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Banco Santander, S.A.,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China, Los Angeles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Commerzbank AG,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DBS Bank Ltd.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26.800000000%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KeyBank National Association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Sumitomo Mitsui Banking Corporation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Toronto-Dominion Bank,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Oversea-Chinese Banking Corporation Limited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$49,000,000.00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7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$250,000,000.00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600325927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366395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II</w:t>
      </w:r>
    </w:p>
    <w:p>
      <w:pPr>
        <w:spacing w:after="0" w:line="24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b w:val="1"/>
          <w:bCs w:val="1"/>
          <w:i w:val="1"/>
          <w:iCs w:val="1"/>
          <w:color w:val="auto"/>
        </w:rPr>
        <w:t>SCHEDULE 2.01</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COMMITMENTS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APPLICABLE PERCENTAGES</w:t>
      </w:r>
    </w:p>
    <w:p>
      <w:pPr>
        <w:spacing w:after="0" w:line="264" w:lineRule="exact"/>
        <w:rPr>
          <w:sz w:val="20"/>
          <w:szCs w:val="20"/>
          <w:color w:val="auto"/>
        </w:rPr>
      </w:pPr>
    </w:p>
    <w:tbl>
      <w:tblPr>
        <w:tblLayout w:type="fixed"/>
        <w:tblInd w:w="510" w:type="dxa"/>
        <w:tblCellMar>
          <w:top w:w="0" w:type="dxa"/>
          <w:left w:w="0" w:type="dxa"/>
          <w:bottom w:w="0" w:type="dxa"/>
          <w:right w:w="0" w:type="dxa"/>
        </w:tblCellMar>
      </w:tblPr>
      <w:tr>
        <w:trPr>
          <w:trHeight w:val="270"/>
        </w:trPr>
        <w:tc>
          <w:tcPr>
            <w:tcW w:w="4600" w:type="dxa"/>
            <w:vAlign w:val="bottom"/>
            <w:tcBorders>
              <w:top w:val="single" w:sz="8" w:color="auto"/>
              <w:left w:val="single" w:sz="8" w:color="auto"/>
              <w:right w:val="single" w:sz="8" w:color="auto"/>
            </w:tcBorders>
            <w:shd w:val="clear" w:color="auto" w:fill="D9D9D9"/>
          </w:tcPr>
          <w:p>
            <w:pPr>
              <w:spacing w:after="0"/>
              <w:rPr>
                <w:sz w:val="23"/>
                <w:szCs w:val="23"/>
                <w:color w:val="auto"/>
              </w:rPr>
            </w:pPr>
          </w:p>
        </w:tc>
        <w:tc>
          <w:tcPr>
            <w:tcW w:w="1700" w:type="dxa"/>
            <w:vAlign w:val="bottom"/>
            <w:tcBorders>
              <w:top w:val="single" w:sz="8" w:color="auto"/>
              <w:right w:val="single" w:sz="8" w:color="auto"/>
            </w:tcBorders>
            <w:shd w:val="clear" w:color="auto" w:fill="D9D9D9"/>
          </w:tcPr>
          <w:p>
            <w:pPr>
              <w:spacing w:after="0"/>
              <w:rPr>
                <w:sz w:val="23"/>
                <w:szCs w:val="23"/>
                <w:color w:val="auto"/>
              </w:rPr>
            </w:pPr>
          </w:p>
        </w:tc>
        <w:tc>
          <w:tcPr>
            <w:tcW w:w="17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Applicable</w:t>
            </w:r>
          </w:p>
        </w:tc>
        <w:tc>
          <w:tcPr>
            <w:tcW w:w="0" w:type="dxa"/>
            <w:vAlign w:val="bottom"/>
          </w:tcPr>
          <w:p>
            <w:pPr>
              <w:spacing w:after="0"/>
              <w:rPr>
                <w:sz w:val="1"/>
                <w:szCs w:val="1"/>
                <w:color w:val="auto"/>
              </w:rPr>
            </w:pPr>
          </w:p>
        </w:tc>
      </w:tr>
      <w:tr>
        <w:trPr>
          <w:trHeight w:val="243"/>
        </w:trPr>
        <w:tc>
          <w:tcPr>
            <w:tcW w:w="4600" w:type="dxa"/>
            <w:vAlign w:val="bottom"/>
            <w:tcBorders>
              <w:left w:val="single" w:sz="8" w:color="auto"/>
              <w:right w:val="single" w:sz="8" w:color="auto"/>
            </w:tcBorders>
            <w:vMerge w:val="restart"/>
            <w:shd w:val="clear" w:color="auto" w:fill="D9D9D9"/>
          </w:tcPr>
          <w:p>
            <w:pPr>
              <w:ind w:left="198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1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0" w:type="dxa"/>
            <w:vAlign w:val="bottom"/>
          </w:tcPr>
          <w:p>
            <w:pPr>
              <w:spacing w:after="0"/>
              <w:rPr>
                <w:sz w:val="1"/>
                <w:szCs w:val="1"/>
                <w:color w:val="auto"/>
              </w:rPr>
            </w:pPr>
          </w:p>
        </w:tc>
      </w:tr>
      <w:tr>
        <w:trPr>
          <w:trHeight w:val="256"/>
        </w:trPr>
        <w:tc>
          <w:tcPr>
            <w:tcW w:w="4600" w:type="dxa"/>
            <w:vAlign w:val="bottom"/>
            <w:tcBorders>
              <w:left w:val="single" w:sz="8" w:color="auto"/>
              <w:bottom w:val="single" w:sz="8" w:color="auto"/>
              <w:right w:val="single" w:sz="8" w:color="auto"/>
            </w:tcBorders>
            <w:vMerge w:val="continue"/>
            <w:shd w:val="clear" w:color="auto" w:fill="D9D9D9"/>
          </w:tcPr>
          <w:p>
            <w:pPr>
              <w:spacing w:after="0"/>
              <w:rPr>
                <w:sz w:val="22"/>
                <w:szCs w:val="22"/>
                <w:color w:val="auto"/>
              </w:rPr>
            </w:pPr>
          </w:p>
        </w:tc>
        <w:tc>
          <w:tcPr>
            <w:tcW w:w="1700" w:type="dxa"/>
            <w:vAlign w:val="bottom"/>
            <w:tcBorders>
              <w:bottom w:val="single" w:sz="8" w:color="auto"/>
              <w:right w:val="single" w:sz="8" w:color="auto"/>
            </w:tcBorders>
            <w:vMerge w:val="continue"/>
            <w:shd w:val="clear" w:color="auto" w:fill="D9D9D9"/>
          </w:tcPr>
          <w:p>
            <w:pPr>
              <w:spacing w:after="0"/>
              <w:rPr>
                <w:sz w:val="22"/>
                <w:szCs w:val="22"/>
                <w:color w:val="auto"/>
              </w:rPr>
            </w:pPr>
          </w:p>
        </w:tc>
        <w:tc>
          <w:tcPr>
            <w:tcW w:w="1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America, 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BNP Paribas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DBS Bank Ltd.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JPMorgan Chase Bank, N.A.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MUFG Bank, Ltd.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Bank of Nova Scotia</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Truist Bank</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7.600000000%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Banco Santander, S.A.,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Bank of China, Los Angeles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Commerzbank AG,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KeyBank National Association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Sumitomo Mitsui Banking Corporation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Toronto-Dominion Bank,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$73,000,000.00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4.171428571%</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KBC Bank N.V.,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$49,000,000.00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Oversea-Chinese Banking Corporation Limited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$49,000,000.00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Standard Chartered Bank</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$49,000,000.00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 Huntington National Bank</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$49,000,000.00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2.800000000%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Bayerische Landesbank, New York Branch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$39,000,000.00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2.228571429%</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70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$1,750,000,000.00</w:t>
            </w:r>
          </w:p>
        </w:tc>
        <w:tc>
          <w:tcPr>
            <w:tcW w:w="17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0" w:type="dxa"/>
            <w:vAlign w:val="bottom"/>
          </w:tcPr>
          <w:p>
            <w:pPr>
              <w:spacing w:after="0"/>
              <w:rPr>
                <w:sz w:val="1"/>
                <w:szCs w:val="1"/>
                <w:color w:val="auto"/>
              </w:rPr>
            </w:pP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600325927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366395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60" w:name="page61"/>
    <w:bookmarkEnd w:id="6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28, 2026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2785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61" w:name="page62"/>
    <w:bookmarkEnd w:id="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28, 2026 (the “Report”), I, Kenneth A.</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Jacobson, Chief Financial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 2026</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2802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70"/>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upp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Roman"/>
      <w:start w:val="6"/>
    </w:lvl>
    <w:lvl w:ilvl="1">
      <w:lvlJc w:val="left"/>
      <w:lvlText w:val="(%2)"/>
      <w:numFmt w:val="lowerLetter"/>
      <w:start w:val="2"/>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3"/>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Roman"/>
      <w:start w:val="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2026-05-01T08:32:30Z</dcterms:created>
  <dcterms:modified xsi:type="dcterms:W3CDTF">2026-05-01T08:32:30Z</dcterms:modified>
</cp:coreProperties>
</file>